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6996430" cy="8714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8714740"/>
                    </a:xfrm>
                    <a:prstGeom prst="rect">
                      <a:avLst/>
                    </a:prstGeom>
                    <a:noFill/>
                  </pic:spPr>
                </pic:pic>
              </a:graphicData>
            </a:graphic>
          </wp:anchor>
        </w:drawing>
      </w:r>
    </w:p>
    <w:p>
      <w:pPr>
        <w:spacing w:after="0" w:line="1148" w:lineRule="exact"/>
        <w:rPr>
          <w:sz w:val="24"/>
          <w:szCs w:val="24"/>
          <w:color w:val="auto"/>
        </w:rPr>
      </w:pPr>
    </w:p>
    <w:p>
      <w:pPr>
        <w:sectPr>
          <w:pgSz w:w="11900" w:h="16844" w:orient="portrait"/>
          <w:cols w:equalWidth="0" w:num="2">
            <w:col w:w="2280" w:space="36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1"/>
                <w:szCs w:val="21"/>
                <w:color w:val="auto"/>
                <w:w w:val="96"/>
                <w:vertAlign w:val="superscript"/>
              </w:rPr>
              <w:t>*</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60" w:type="dxa"/>
            <w:vAlign w:val="bottom"/>
            <w:gridSpan w:val="5"/>
          </w:tcPr>
          <w:p>
            <w:pPr>
              <w:ind w:left="2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80" w:type="dxa"/>
            <w:vAlign w:val="bottom"/>
            <w:gridSpan w:val="5"/>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White Raymond T.</w:t>
              </w:r>
            </w:hyperlink>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gridSpan w:val="4"/>
          </w:tcPr>
          <w:p>
            <w:pPr>
              <w:ind w:left="20"/>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NN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w w:val="99"/>
              </w:rPr>
              <w:t>(Check all applicable)</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restart"/>
          </w:tcPr>
          <w:p>
            <w:pPr>
              <w:ind w:left="380"/>
              <w:spacing w:after="0" w:line="146" w:lineRule="exact"/>
              <w:rPr>
                <w:sz w:val="20"/>
                <w:szCs w:val="20"/>
                <w:color w:val="auto"/>
              </w:rPr>
            </w:pPr>
            <w:r>
              <w:rPr>
                <w:rFonts w:ascii="Arial" w:cs="Arial" w:eastAsia="Arial" w:hAnsi="Arial"/>
                <w:sz w:val="13"/>
                <w:szCs w:val="13"/>
                <w:color w:val="auto"/>
              </w:rPr>
              <w:t>Director</w:t>
            </w:r>
          </w:p>
        </w:tc>
        <w:tc>
          <w:tcPr>
            <w:tcW w:w="840" w:type="dxa"/>
            <w:vAlign w:val="bottom"/>
          </w:tcPr>
          <w:p>
            <w:pPr>
              <w:spacing w:after="0"/>
              <w:rPr>
                <w:sz w:val="4"/>
                <w:szCs w:val="4"/>
                <w:color w:val="auto"/>
              </w:rPr>
            </w:pPr>
          </w:p>
        </w:tc>
        <w:tc>
          <w:tcPr>
            <w:tcW w:w="1160" w:type="dxa"/>
            <w:vAlign w:val="bottom"/>
            <w:gridSpan w:val="2"/>
            <w:vMerge w:val="restart"/>
          </w:tcPr>
          <w:p>
            <w:pPr>
              <w:ind w:left="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40" w:type="dxa"/>
            <w:vAlign w:val="bottom"/>
            <w:gridSpan w:val="2"/>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36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2760" w:type="dxa"/>
            <w:vAlign w:val="bottom"/>
            <w:gridSpan w:val="5"/>
          </w:tcPr>
          <w:p>
            <w:pPr>
              <w:ind w:left="20"/>
              <w:spacing w:after="0"/>
              <w:rPr>
                <w:sz w:val="20"/>
                <w:szCs w:val="20"/>
                <w:color w:val="auto"/>
              </w:rPr>
            </w:pPr>
            <w:r>
              <w:rPr>
                <w:rFonts w:ascii="Arial" w:cs="Arial" w:eastAsia="Arial" w:hAnsi="Arial"/>
                <w:sz w:val="13"/>
                <w:szCs w:val="13"/>
                <w:color w:val="auto"/>
                <w:w w:val="96"/>
              </w:rPr>
              <w:t>3. Date of Earliest Transaction (Month/Day/Year)</w:t>
            </w: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ind w:left="380"/>
              <w:spacing w:after="0"/>
              <w:rPr>
                <w:sz w:val="20"/>
                <w:szCs w:val="20"/>
                <w:color w:val="auto"/>
              </w:rPr>
            </w:pPr>
            <w:r>
              <w:rPr>
                <w:rFonts w:ascii="Arial" w:cs="Arial" w:eastAsia="Arial" w:hAnsi="Arial"/>
                <w:sz w:val="13"/>
                <w:szCs w:val="13"/>
                <w:color w:val="auto"/>
              </w:rPr>
              <w:t>below)</w:t>
            </w:r>
          </w:p>
        </w:tc>
        <w:tc>
          <w:tcPr>
            <w:tcW w:w="8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12121 WILSHIRE BLVD.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05/12/2026</w:t>
            </w: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SUITE 1240</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40" w:type="dxa"/>
            <w:vAlign w:val="bottom"/>
            <w:gridSpan w:val="6"/>
            <w:vMerge w:val="restart"/>
          </w:tcPr>
          <w:p>
            <w:pPr>
              <w:ind w:left="20"/>
              <w:spacing w:after="0"/>
              <w:rPr>
                <w:sz w:val="20"/>
                <w:szCs w:val="20"/>
                <w:color w:val="auto"/>
              </w:rPr>
            </w:pPr>
            <w:r>
              <w:rPr>
                <w:rFonts w:ascii="Arial" w:cs="Arial" w:eastAsia="Arial" w:hAnsi="Arial"/>
                <w:sz w:val="13"/>
                <w:szCs w:val="13"/>
                <w:color w:val="auto"/>
                <w:w w:val="96"/>
              </w:rPr>
              <w:t>4. If Amendment, Date of Original Filed (Month/Day/Year)</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80" w:type="dxa"/>
            <w:vAlign w:val="bottom"/>
            <w:gridSpan w:val="5"/>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4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Line)</w:t>
            </w: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4"/>
          </w:tcPr>
          <w:p>
            <w:pPr>
              <w:ind w:left="3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0000FF"/>
              </w:rPr>
              <w:t>LOS ANGELES</w:t>
            </w:r>
          </w:p>
        </w:tc>
        <w:tc>
          <w:tcPr>
            <w:tcW w:w="124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6"/>
                <w:szCs w:val="16"/>
                <w:color w:val="0000FF"/>
              </w:rPr>
              <w:t>CA</w:t>
            </w:r>
          </w:p>
        </w:tc>
        <w:tc>
          <w:tcPr>
            <w:tcW w:w="1220" w:type="dxa"/>
            <w:vAlign w:val="bottom"/>
          </w:tcPr>
          <w:p>
            <w:pPr>
              <w:ind w:left="40"/>
              <w:spacing w:after="0" w:line="177" w:lineRule="exact"/>
              <w:rPr>
                <w:sz w:val="20"/>
                <w:szCs w:val="20"/>
                <w:color w:val="auto"/>
              </w:rPr>
            </w:pPr>
            <w:r>
              <w:rPr>
                <w:rFonts w:ascii="Times New Roman" w:cs="Times New Roman" w:eastAsia="Times New Roman" w:hAnsi="Times New Roman"/>
                <w:sz w:val="16"/>
                <w:szCs w:val="16"/>
                <w:color w:val="0000FF"/>
              </w:rPr>
              <w:t>90025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gridSpan w:val="4"/>
          </w:tcPr>
          <w:p>
            <w:pPr>
              <w:ind w:left="3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ind w:left="380"/>
              <w:spacing w:after="0"/>
              <w:rPr>
                <w:sz w:val="20"/>
                <w:szCs w:val="20"/>
                <w:color w:val="auto"/>
              </w:rPr>
            </w:pPr>
            <w:r>
              <w:rPr>
                <w:rFonts w:ascii="Arial" w:cs="Arial" w:eastAsia="Arial" w:hAnsi="Arial"/>
                <w:sz w:val="13"/>
                <w:szCs w:val="13"/>
                <w:color w:val="auto"/>
              </w:rPr>
              <w:t>Person</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36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3080" w:type="dxa"/>
            <w:vAlign w:val="bottom"/>
            <w:tcBorders>
              <w:bottom w:val="single" w:sz="8" w:color="2C2C2C"/>
            </w:tcBorders>
            <w:gridSpan w:val="5"/>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7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3"/>
          </w:tcPr>
          <w:p>
            <w:pPr>
              <w:ind w:left="500"/>
              <w:spacing w:after="0"/>
              <w:rPr>
                <w:sz w:val="20"/>
                <w:szCs w:val="20"/>
                <w:color w:val="auto"/>
              </w:rPr>
            </w:pPr>
            <w:r>
              <w:rPr>
                <w:rFonts w:ascii="Arial" w:cs="Arial" w:eastAsia="Arial" w:hAnsi="Arial"/>
                <w:sz w:val="11"/>
                <w:szCs w:val="11"/>
                <w:b w:val="1"/>
                <w:bCs w:val="1"/>
                <w:color w:val="auto"/>
              </w:rPr>
              <w:t>2. Transaction</w:t>
            </w:r>
          </w:p>
        </w:tc>
        <w:tc>
          <w:tcPr>
            <w:tcW w:w="2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60" w:type="dxa"/>
            <w:vAlign w:val="bottom"/>
            <w:gridSpan w:val="3"/>
          </w:tcPr>
          <w:p>
            <w:pPr>
              <w:ind w:left="500"/>
              <w:spacing w:after="0"/>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1180" w:type="dxa"/>
            <w:vAlign w:val="bottom"/>
            <w:gridSpan w:val="2"/>
          </w:tcPr>
          <w:p>
            <w:pPr>
              <w:ind w:left="1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8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560" w:type="dxa"/>
            <w:vAlign w:val="bottom"/>
            <w:gridSpan w:val="6"/>
          </w:tcPr>
          <w:p>
            <w:pPr>
              <w:ind w:left="50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1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5"/>
                <w:szCs w:val="5"/>
                <w:color w:val="auto"/>
              </w:rPr>
            </w:pPr>
          </w:p>
        </w:tc>
        <w:tc>
          <w:tcPr>
            <w:tcW w:w="11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By: Legion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2.4118</w:t>
            </w:r>
            <w:r>
              <w:rPr>
                <w:rFonts w:ascii="Times New Roman" w:cs="Times New Roman" w:eastAsia="Times New Roman" w:hAnsi="Times New Roman"/>
                <w:sz w:val="21"/>
                <w:szCs w:val="21"/>
                <w:color w:val="008000"/>
                <w:vertAlign w:val="superscript"/>
              </w:rPr>
              <w:t>(2)</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0000FF"/>
              </w:rPr>
              <w:t>05/12/2026</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right"/>
              <w:ind w:right="137"/>
              <w:spacing w:after="0"/>
              <w:rPr>
                <w:sz w:val="20"/>
                <w:szCs w:val="20"/>
                <w:color w:val="auto"/>
              </w:rPr>
            </w:pPr>
            <w:r>
              <w:rPr>
                <w:rFonts w:ascii="Times New Roman" w:cs="Times New Roman" w:eastAsia="Times New Roman" w:hAnsi="Times New Roman"/>
                <w:sz w:val="16"/>
                <w:szCs w:val="16"/>
                <w:color w:val="0000FF"/>
              </w:rPr>
              <w:t>18,782</w:t>
            </w:r>
          </w:p>
        </w:tc>
        <w:tc>
          <w:tcPr>
            <w:tcW w:w="4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gridSpan w:val="3"/>
            <w:vMerge w:val="continue"/>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858,283</w:t>
            </w:r>
          </w:p>
        </w:tc>
        <w:tc>
          <w:tcPr>
            <w:tcW w:w="84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Special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Opportunities,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L.P. XI</w:t>
            </w:r>
            <w:r>
              <w:rPr>
                <w:rFonts w:ascii="Times New Roman" w:cs="Times New Roman" w:eastAsia="Times New Roman" w:hAnsi="Times New Roman"/>
                <w:sz w:val="21"/>
                <w:szCs w:val="21"/>
                <w:color w:val="008000"/>
                <w:vertAlign w:val="superscript"/>
              </w:rPr>
              <w:t>(7)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By: Legion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3,519,420</w:t>
            </w:r>
          </w:p>
        </w:tc>
        <w:tc>
          <w:tcPr>
            <w:tcW w:w="84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Partners, L.P.</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140"/>
              <w:spacing w:after="0" w:line="265" w:lineRule="exact"/>
              <w:rPr>
                <w:sz w:val="20"/>
                <w:szCs w:val="20"/>
                <w:color w:val="auto"/>
              </w:rPr>
            </w:pPr>
            <w:r>
              <w:rPr>
                <w:rFonts w:ascii="Times New Roman" w:cs="Times New Roman" w:eastAsia="Times New Roman" w:hAnsi="Times New Roman"/>
                <w:sz w:val="30"/>
                <w:szCs w:val="30"/>
                <w:color w:val="0000FF"/>
                <w:vertAlign w:val="subscript"/>
              </w:rPr>
              <w:t>I</w:t>
            </w:r>
            <w:r>
              <w:rPr>
                <w:rFonts w:ascii="Times New Roman" w:cs="Times New Roman" w:eastAsia="Times New Roman" w:hAnsi="Times New Roman"/>
                <w:sz w:val="10"/>
                <w:szCs w:val="10"/>
                <w:color w:val="008000"/>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By: Legion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395,144</w:t>
            </w:r>
          </w:p>
        </w:tc>
        <w:tc>
          <w:tcPr>
            <w:tcW w:w="84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Partners, L.P.</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2"/>
          </w:tcPr>
          <w:p>
            <w:pPr>
              <w:ind w:left="140"/>
              <w:spacing w:after="0" w:line="345" w:lineRule="exact"/>
              <w:rPr>
                <w:sz w:val="20"/>
                <w:szCs w:val="20"/>
                <w:color w:val="auto"/>
              </w:rPr>
            </w:pPr>
            <w:r>
              <w:rPr>
                <w:rFonts w:ascii="Times New Roman" w:cs="Times New Roman" w:eastAsia="Times New Roman" w:hAnsi="Times New Roman"/>
                <w:sz w:val="32"/>
                <w:szCs w:val="32"/>
                <w:color w:val="0000FF"/>
                <w:vertAlign w:val="subscript"/>
              </w:rPr>
              <w:t>II</w:t>
            </w:r>
            <w:r>
              <w:rPr>
                <w:rFonts w:ascii="Times New Roman" w:cs="Times New Roman" w:eastAsia="Times New Roman" w:hAnsi="Times New Roman"/>
                <w:sz w:val="11"/>
                <w:szCs w:val="11"/>
                <w:color w:val="008000"/>
              </w:rPr>
              <w:t>(6)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0000FF"/>
              </w:rPr>
              <w:t>By: Legion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0000FF"/>
              </w:rPr>
              <w:t>300</w:t>
            </w:r>
          </w:p>
        </w:tc>
        <w:tc>
          <w:tcPr>
            <w:tcW w:w="9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0000FF"/>
              </w:rPr>
              <w:t>I</w:t>
            </w: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6"/>
                <w:szCs w:val="16"/>
                <w:color w:val="0000FF"/>
              </w:rPr>
              <w:t>Holdings,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w w:val="90"/>
              </w:rPr>
              <w:t>LLC</w:t>
            </w:r>
            <w:r>
              <w:rPr>
                <w:rFonts w:ascii="Times New Roman" w:cs="Times New Roman" w:eastAsia="Times New Roman" w:hAnsi="Times New Roman"/>
                <w:sz w:val="21"/>
                <w:szCs w:val="21"/>
                <w:color w:val="008000"/>
                <w:w w:val="90"/>
                <w:vertAlign w:val="superscript"/>
              </w:rPr>
              <w:t>(8)</w:t>
            </w:r>
          </w:p>
        </w:tc>
        <w:tc>
          <w:tcPr>
            <w:tcW w:w="5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49,079</w:t>
            </w:r>
            <w:r>
              <w:rPr>
                <w:rFonts w:ascii="Times New Roman" w:cs="Times New Roman" w:eastAsia="Times New Roman" w:hAnsi="Times New Roman"/>
                <w:sz w:val="21"/>
                <w:szCs w:val="21"/>
                <w:color w:val="008000"/>
                <w:vertAlign w:val="superscript"/>
              </w:rPr>
              <w:t>(3)</w:t>
            </w:r>
          </w:p>
        </w:tc>
        <w:tc>
          <w:tcPr>
            <w:tcW w:w="900" w:type="dxa"/>
            <w:vAlign w:val="bottom"/>
            <w:tcBorders>
              <w:bottom w:val="single" w:sz="8" w:color="2C2C2C"/>
            </w:tcBorders>
          </w:tcPr>
          <w:p>
            <w:pPr>
              <w:ind w:left="500"/>
              <w:spacing w:after="0" w:line="303" w:lineRule="exact"/>
              <w:rPr>
                <w:sz w:val="20"/>
                <w:szCs w:val="20"/>
                <w:color w:val="auto"/>
              </w:rPr>
            </w:pPr>
            <w:r>
              <w:rPr>
                <w:rFonts w:ascii="Times New Roman" w:cs="Times New Roman" w:eastAsia="Times New Roman" w:hAnsi="Times New Roman"/>
                <w:sz w:val="32"/>
                <w:szCs w:val="32"/>
                <w:color w:val="0000FF"/>
                <w:w w:val="92"/>
                <w:vertAlign w:val="subscript"/>
              </w:rPr>
              <w:t>D</w:t>
            </w:r>
            <w:r>
              <w:rPr>
                <w:rFonts w:ascii="Times New Roman" w:cs="Times New Roman" w:eastAsia="Times New Roman" w:hAnsi="Times New Roman"/>
                <w:sz w:val="11"/>
                <w:szCs w:val="11"/>
                <w:color w:val="008000"/>
                <w:w w:val="92"/>
              </w:rPr>
              <w:t>(3)(4)</w:t>
            </w: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 8)</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Form:</w:t>
            </w: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0"/>
                <w:szCs w:val="10"/>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0"/>
                <w:szCs w:val="10"/>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Cash-</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Settled</w:t>
            </w:r>
          </w:p>
        </w:tc>
        <w:tc>
          <w:tcPr>
            <w:tcW w:w="76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2.9853</w:t>
            </w:r>
            <w:r>
              <w:rPr>
                <w:rFonts w:ascii="Times New Roman" w:cs="Times New Roman" w:eastAsia="Times New Roman" w:hAnsi="Times New Roman"/>
                <w:sz w:val="21"/>
                <w:szCs w:val="21"/>
                <w:color w:val="008000"/>
                <w:vertAlign w:val="superscript"/>
              </w:rPr>
              <w:t>(9)</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4"/>
            <w:vMerge w:val="restart"/>
          </w:tcPr>
          <w:p>
            <w:pPr>
              <w:ind w:left="60"/>
              <w:spacing w:after="0" w:line="277" w:lineRule="exact"/>
              <w:rPr>
                <w:sz w:val="20"/>
                <w:szCs w:val="20"/>
                <w:color w:val="auto"/>
              </w:rPr>
            </w:pPr>
            <w:r>
              <w:rPr>
                <w:rFonts w:ascii="Times New Roman" w:cs="Times New Roman" w:eastAsia="Times New Roman" w:hAnsi="Times New Roman"/>
                <w:sz w:val="25"/>
                <w:szCs w:val="25"/>
                <w:color w:val="0000FF"/>
                <w:vertAlign w:val="subscript"/>
              </w:rPr>
              <w:t>S/K</w:t>
            </w:r>
            <w:r>
              <w:rPr>
                <w:rFonts w:ascii="Times New Roman" w:cs="Times New Roman" w:eastAsia="Times New Roman" w:hAnsi="Times New Roman"/>
                <w:sz w:val="11"/>
                <w:szCs w:val="11"/>
                <w:color w:val="008000"/>
              </w:rPr>
              <w:t>(10)</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134,423</w:t>
            </w: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By: Legion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Total</w:t>
            </w:r>
          </w:p>
        </w:tc>
        <w:tc>
          <w:tcPr>
            <w:tcW w:w="760" w:type="dxa"/>
            <w:vAlign w:val="bottom"/>
            <w:vMerge w:val="continue"/>
          </w:tcPr>
          <w:p>
            <w:pPr>
              <w:spacing w:after="0"/>
              <w:rPr>
                <w:sz w:val="12"/>
                <w:szCs w:val="12"/>
                <w:color w:val="auto"/>
              </w:rPr>
            </w:pPr>
          </w:p>
        </w:tc>
        <w:tc>
          <w:tcPr>
            <w:tcW w:w="110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3"/>
                <w:szCs w:val="13"/>
                <w:color w:val="0000FF"/>
              </w:rPr>
              <w:t>05/12/2026</w:t>
            </w:r>
          </w:p>
        </w:tc>
        <w:tc>
          <w:tcPr>
            <w:tcW w:w="10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820" w:type="dxa"/>
            <w:vAlign w:val="bottom"/>
          </w:tcPr>
          <w:p>
            <w:pPr>
              <w:jc w:val="right"/>
              <w:ind w:right="2"/>
              <w:spacing w:after="0" w:line="139" w:lineRule="exact"/>
              <w:rPr>
                <w:sz w:val="20"/>
                <w:szCs w:val="20"/>
                <w:color w:val="auto"/>
              </w:rPr>
            </w:pPr>
            <w:r>
              <w:rPr>
                <w:rFonts w:ascii="Times New Roman" w:cs="Times New Roman" w:eastAsia="Times New Roman" w:hAnsi="Times New Roman"/>
                <w:sz w:val="13"/>
                <w:szCs w:val="13"/>
                <w:color w:val="0000FF"/>
              </w:rPr>
              <w:t>134,423</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01/30/2029</w:t>
            </w:r>
          </w:p>
        </w:tc>
        <w:tc>
          <w:tcPr>
            <w:tcW w:w="6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(9)(10)</w:t>
            </w:r>
          </w:p>
        </w:tc>
        <w:tc>
          <w:tcPr>
            <w:tcW w:w="90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2,623,434</w:t>
            </w:r>
          </w:p>
        </w:tc>
        <w:tc>
          <w:tcPr>
            <w:tcW w:w="740" w:type="dxa"/>
            <w:vAlign w:val="bottom"/>
          </w:tcPr>
          <w:p>
            <w:pPr>
              <w:ind w:left="30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68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Return</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Borders>
              <w:right w:val="single" w:sz="8" w:color="2C2C2C"/>
            </w:tcBorders>
            <w:gridSpan w:val="3"/>
          </w:tcPr>
          <w:p>
            <w:pPr>
              <w:ind w:left="20"/>
              <w:spacing w:after="0" w:line="151" w:lineRule="exact"/>
              <w:rPr>
                <w:sz w:val="20"/>
                <w:szCs w:val="20"/>
                <w:color w:val="auto"/>
              </w:rPr>
            </w:pPr>
            <w:r>
              <w:rPr>
                <w:rFonts w:ascii="Times New Roman" w:cs="Times New Roman" w:eastAsia="Times New Roman" w:hAnsi="Times New Roman"/>
                <w:sz w:val="11"/>
                <w:szCs w:val="11"/>
                <w:color w:val="0000FF"/>
              </w:rPr>
              <w:t>L.P. I</w:t>
            </w:r>
            <w:r>
              <w:rPr>
                <w:rFonts w:ascii="Times New Roman" w:cs="Times New Roman" w:eastAsia="Times New Roman" w:hAnsi="Times New Roman"/>
                <w:sz w:val="17"/>
                <w:szCs w:val="17"/>
                <w:color w:val="008000"/>
                <w:vertAlign w:val="superscript"/>
              </w:rPr>
              <w:t>(5)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line="215" w:lineRule="exact"/>
              <w:rPr>
                <w:sz w:val="20"/>
                <w:szCs w:val="20"/>
                <w:color w:val="auto"/>
              </w:rPr>
            </w:pPr>
            <w:r>
              <w:rPr>
                <w:rFonts w:ascii="Times New Roman" w:cs="Times New Roman" w:eastAsia="Times New Roman" w:hAnsi="Times New Roman"/>
                <w:sz w:val="13"/>
                <w:szCs w:val="13"/>
                <w:color w:val="0000FF"/>
              </w:rPr>
              <w:t>Swap</w:t>
            </w:r>
            <w:r>
              <w:rPr>
                <w:rFonts w:ascii="Times New Roman" w:cs="Times New Roman" w:eastAsia="Times New Roman" w:hAnsi="Times New Roman"/>
                <w:sz w:val="21"/>
                <w:szCs w:val="21"/>
                <w:color w:val="008000"/>
                <w:vertAlign w:val="superscript"/>
              </w:rPr>
              <w:t>(1)</w:t>
            </w:r>
          </w:p>
        </w:tc>
        <w:tc>
          <w:tcPr>
            <w:tcW w:w="7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Cash-</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Settled</w:t>
            </w:r>
          </w:p>
        </w:tc>
        <w:tc>
          <w:tcPr>
            <w:tcW w:w="76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2.9327</w:t>
            </w:r>
            <w:r>
              <w:rPr>
                <w:rFonts w:ascii="Times New Roman" w:cs="Times New Roman" w:eastAsia="Times New Roman" w:hAnsi="Times New Roman"/>
                <w:sz w:val="21"/>
                <w:szCs w:val="21"/>
                <w:color w:val="008000"/>
                <w:vertAlign w:val="superscript"/>
              </w:rPr>
              <w:t>(9)</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S/K</w:t>
            </w:r>
            <w:r>
              <w:rPr>
                <w:rFonts w:ascii="Times New Roman" w:cs="Times New Roman" w:eastAsia="Times New Roman" w:hAnsi="Times New Roman"/>
                <w:sz w:val="11"/>
                <w:szCs w:val="11"/>
                <w:color w:val="008000"/>
              </w:rPr>
              <w:t>(10)</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color w:val="0000FF"/>
              </w:rPr>
              <w:t>13,750</w:t>
            </w: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By: Legion</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Total</w:t>
            </w:r>
          </w:p>
        </w:tc>
        <w:tc>
          <w:tcPr>
            <w:tcW w:w="760" w:type="dxa"/>
            <w:vAlign w:val="bottom"/>
            <w:vMerge w:val="continue"/>
          </w:tcPr>
          <w:p>
            <w:pPr>
              <w:spacing w:after="0"/>
              <w:rPr>
                <w:sz w:val="6"/>
                <w:szCs w:val="6"/>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rPr>
              <w:t>05/12/2026</w:t>
            </w:r>
          </w:p>
        </w:tc>
        <w:tc>
          <w:tcPr>
            <w:tcW w:w="104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820" w:type="dxa"/>
            <w:vAlign w:val="bottom"/>
            <w:vMerge w:val="restart"/>
          </w:tcPr>
          <w:p>
            <w:pPr>
              <w:jc w:val="right"/>
              <w:ind w:right="22"/>
              <w:spacing w:after="0"/>
              <w:rPr>
                <w:sz w:val="20"/>
                <w:szCs w:val="20"/>
                <w:color w:val="auto"/>
              </w:rPr>
            </w:pPr>
            <w:r>
              <w:rPr>
                <w:rFonts w:ascii="Times New Roman" w:cs="Times New Roman" w:eastAsia="Times New Roman" w:hAnsi="Times New Roman"/>
                <w:sz w:val="13"/>
                <w:szCs w:val="13"/>
                <w:color w:val="0000FF"/>
              </w:rPr>
              <w:t>13,750</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01/30/2029</w:t>
            </w: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(9)(10)</w:t>
            </w:r>
          </w:p>
        </w:tc>
        <w:tc>
          <w:tcPr>
            <w:tcW w:w="900" w:type="dxa"/>
            <w:vAlign w:val="bottom"/>
            <w:vMerge w:val="restart"/>
          </w:tcPr>
          <w:p>
            <w:pPr>
              <w:jc w:val="right"/>
              <w:ind w:right="221"/>
              <w:spacing w:after="0"/>
              <w:rPr>
                <w:sz w:val="20"/>
                <w:szCs w:val="20"/>
                <w:color w:val="auto"/>
              </w:rPr>
            </w:pPr>
            <w:r>
              <w:rPr>
                <w:rFonts w:ascii="Times New Roman" w:cs="Times New Roman" w:eastAsia="Times New Roman" w:hAnsi="Times New Roman"/>
                <w:sz w:val="13"/>
                <w:szCs w:val="13"/>
                <w:color w:val="0000FF"/>
              </w:rPr>
              <w:t>233,225</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68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Return</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Borders>
              <w:right w:val="single" w:sz="8" w:color="2C2C2C"/>
            </w:tcBorders>
            <w:gridSpan w:val="3"/>
            <w:vMerge w:val="restart"/>
          </w:tcPr>
          <w:p>
            <w:pPr>
              <w:ind w:left="20"/>
              <w:spacing w:after="0" w:line="139" w:lineRule="exact"/>
              <w:rPr>
                <w:sz w:val="20"/>
                <w:szCs w:val="20"/>
                <w:color w:val="auto"/>
              </w:rPr>
            </w:pPr>
            <w:r>
              <w:rPr>
                <w:rFonts w:ascii="Times New Roman" w:cs="Times New Roman" w:eastAsia="Times New Roman" w:hAnsi="Times New Roman"/>
                <w:sz w:val="10"/>
                <w:szCs w:val="10"/>
                <w:color w:val="0000FF"/>
              </w:rPr>
              <w:t>L.P. II</w:t>
            </w:r>
            <w:r>
              <w:rPr>
                <w:rFonts w:ascii="Times New Roman" w:cs="Times New Roman" w:eastAsia="Times New Roman" w:hAnsi="Times New Roman"/>
                <w:sz w:val="16"/>
                <w:szCs w:val="16"/>
                <w:color w:val="008000"/>
                <w:vertAlign w:val="superscript"/>
              </w:rPr>
              <w:t>(6)</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gridSpan w:val="3"/>
          </w:tcPr>
          <w:p>
            <w:pPr>
              <w:ind w:left="60"/>
              <w:spacing w:after="0" w:line="215" w:lineRule="exact"/>
              <w:rPr>
                <w:sz w:val="20"/>
                <w:szCs w:val="20"/>
                <w:color w:val="auto"/>
              </w:rPr>
            </w:pPr>
            <w:r>
              <w:rPr>
                <w:rFonts w:ascii="Times New Roman" w:cs="Times New Roman" w:eastAsia="Times New Roman" w:hAnsi="Times New Roman"/>
                <w:sz w:val="13"/>
                <w:szCs w:val="13"/>
                <w:color w:val="0000FF"/>
              </w:rPr>
              <w:t>Swap</w:t>
            </w:r>
            <w:r>
              <w:rPr>
                <w:rFonts w:ascii="Times New Roman" w:cs="Times New Roman" w:eastAsia="Times New Roman" w:hAnsi="Times New Roman"/>
                <w:sz w:val="21"/>
                <w:szCs w:val="21"/>
                <w:color w:val="008000"/>
                <w:vertAlign w:val="superscript"/>
              </w:rPr>
              <w:t>(1)</w:t>
            </w:r>
          </w:p>
        </w:tc>
        <w:tc>
          <w:tcPr>
            <w:tcW w:w="7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right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6"/>
          </w:tcPr>
          <w:p>
            <w:pPr>
              <w:ind w:left="60"/>
              <w:spacing w:after="0" w:line="225"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White Raymond T.</w:t>
              </w:r>
            </w:hyperlink>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-3074035</wp:posOffset>
            </wp:positionV>
            <wp:extent cx="28575" cy="2461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6126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12121 WILSHIRE BLVD.</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1240</w:t>
      </w:r>
    </w:p>
    <w:p>
      <w:pPr>
        <w:sectPr>
          <w:pgSz w:w="11900" w:h="16844" w:orient="portrait"/>
          <w:cols w:equalWidth="0" w:num="1">
            <w:col w:w="11080"/>
          </w:cols>
          <w:pgMar w:left="460" w:top="215" w:right="359" w:bottom="0" w:gutter="0" w:footer="0" w:header="0"/>
          <w:type w:val="continuous"/>
        </w:sect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44" w:orient="portrait"/>
          <w:cols w:equalWidth="0" w:num="1">
            <w:col w:w="11080"/>
          </w:cols>
          <w:pgMar w:left="460" w:top="215"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14"/>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LOS ANGELES</w:t>
            </w:r>
          </w:p>
        </w:tc>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90025</w:t>
            </w:r>
          </w:p>
        </w:tc>
      </w:tr>
      <w:tr>
        <w:trPr>
          <w:trHeight w:val="145"/>
        </w:trPr>
        <w:tc>
          <w:tcPr>
            <w:tcW w:w="1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2"/>
        </w:trPr>
        <w:tc>
          <w:tcPr>
            <w:tcW w:w="126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160"/>
              <w:spacing w:after="0"/>
              <w:rPr>
                <w:sz w:val="20"/>
                <w:szCs w:val="20"/>
                <w:color w:val="auto"/>
              </w:rPr>
            </w:pPr>
            <w:r>
              <w:rPr>
                <w:rFonts w:ascii="Arial" w:cs="Arial" w:eastAsia="Arial" w:hAnsi="Arial"/>
                <w:sz w:val="13"/>
                <w:szCs w:val="13"/>
                <w:color w:val="auto"/>
              </w:rPr>
              <w:t>(State)</w:t>
            </w:r>
          </w:p>
        </w:tc>
        <w:tc>
          <w:tcPr>
            <w:tcW w:w="190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-417195</wp:posOffset>
            </wp:positionV>
            <wp:extent cx="2813685" cy="10520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13685" cy="10520680"/>
                    </a:xfrm>
                    <a:prstGeom prst="rect">
                      <a:avLst/>
                    </a:prstGeom>
                    <a:noFill/>
                  </pic:spPr>
                </pic:pic>
              </a:graphicData>
            </a:graphic>
          </wp:anchor>
        </w:drawing>
      </w:r>
    </w:p>
    <w:p>
      <w:pPr>
        <w:spacing w:after="0" w:line="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Legion Partners Asset Management, LLC</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12121 WILSHIRE BLVD.</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SUITE 1240</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LOS ANGELES</w:t>
            </w: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90025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0"/>
        </w:trPr>
        <w:tc>
          <w:tcPr>
            <w:tcW w:w="2680" w:type="dxa"/>
            <w:vAlign w:val="bottom"/>
            <w:gridSpan w:val="6"/>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Legion Partners, L.P. I</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12121 WILSHIRE BLVD.</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SUITE 1240</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LOS ANGELES</w:t>
            </w: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90025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9"/>
        </w:trPr>
        <w:tc>
          <w:tcPr>
            <w:tcW w:w="100" w:type="dxa"/>
            <w:vAlign w:val="bottom"/>
            <w:tcBorders>
              <w:bottom w:val="single" w:sz="8" w:color="2C2C2C"/>
            </w:tcBorders>
            <w:gridSpan w:val="2"/>
          </w:tcPr>
          <w:p>
            <w:pPr>
              <w:spacing w:after="0"/>
              <w:rPr>
                <w:sz w:val="6"/>
                <w:szCs w:val="6"/>
                <w:color w:val="auto"/>
              </w:rPr>
            </w:pPr>
          </w:p>
        </w:tc>
        <w:tc>
          <w:tcPr>
            <w:tcW w:w="182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0"/>
        </w:trPr>
        <w:tc>
          <w:tcPr>
            <w:tcW w:w="2680" w:type="dxa"/>
            <w:vAlign w:val="bottom"/>
            <w:gridSpan w:val="6"/>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Legion Partners, L.P. II</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12121 WILSHIRE BLVD.</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SUITE 1240</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LOS ANGELES</w:t>
            </w: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90025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Legion Partners Special Opportunities, L.P. XI</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12121 WILSHIRE BLVD.</w:t>
            </w: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SUITE 1240</w:t>
            </w: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LOS ANGELES</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90025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2"/>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0"/>
        </w:trPr>
        <w:tc>
          <w:tcPr>
            <w:tcW w:w="2780" w:type="dxa"/>
            <w:vAlign w:val="bottom"/>
            <w:gridSpan w:val="6"/>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4"/>
          </w:tcPr>
          <w:p>
            <w:pPr>
              <w:spacing w:after="0" w:line="214"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Legion Partners, LLC</w:t>
              </w:r>
            </w:hyperlink>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12121 WILSHIRE BLVD.</w:t>
            </w: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SUITE 1240</w:t>
            </w: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LOS ANGELES</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90025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9"/>
        </w:trPr>
        <w:tc>
          <w:tcPr>
            <w:tcW w:w="100" w:type="dxa"/>
            <w:vAlign w:val="bottom"/>
            <w:tcBorders>
              <w:bottom w:val="single" w:sz="8" w:color="2C2C2C"/>
            </w:tcBorders>
            <w:gridSpan w:val="2"/>
          </w:tcPr>
          <w:p>
            <w:pPr>
              <w:spacing w:after="0"/>
              <w:rPr>
                <w:sz w:val="6"/>
                <w:szCs w:val="6"/>
                <w:color w:val="auto"/>
              </w:rPr>
            </w:pPr>
          </w:p>
        </w:tc>
        <w:tc>
          <w:tcPr>
            <w:tcW w:w="1760" w:type="dxa"/>
            <w:vAlign w:val="bottom"/>
            <w:tcBorders>
              <w:bottom w:val="single" w:sz="8" w:color="2C2C2C"/>
            </w:tcBorders>
            <w:gridSpan w:val="2"/>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0"/>
        </w:trPr>
        <w:tc>
          <w:tcPr>
            <w:tcW w:w="2780" w:type="dxa"/>
            <w:vAlign w:val="bottom"/>
            <w:gridSpan w:val="6"/>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4"/>
          </w:tcPr>
          <w:p>
            <w:pPr>
              <w:spacing w:after="0" w:line="214"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Legion Partners Holdings, LLC</w:t>
              </w:r>
            </w:hyperlink>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12121 WILSHIRE BLVD.</w:t>
      </w:r>
    </w:p>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SUITE 1240</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27" w:right="1440" w:bottom="0" w:gutter="0" w:footer="0" w:header="0"/>
        </w:sectPr>
      </w:pPr>
    </w:p>
    <w:p>
      <w:pPr>
        <w:spacing w:after="0" w:line="27"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6"/>
          <w:szCs w:val="16"/>
          <w:color w:val="0000FF"/>
        </w:rPr>
        <w:t>LOS ANGELES</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90025</w:t>
      </w:r>
    </w:p>
    <w:p>
      <w:pPr>
        <w:sectPr>
          <w:pgSz w:w="11900" w:h="16838" w:orient="portrait"/>
          <w:cols w:equalWidth="0" w:num="1">
            <w:col w:w="9979"/>
          </w:cols>
          <w:pgMar w:left="480" w:top="127"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0"/>
        </w:trPr>
        <w:tc>
          <w:tcPr>
            <w:tcW w:w="2680" w:type="dxa"/>
            <w:vAlign w:val="bottom"/>
            <w:gridSpan w:val="5"/>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4"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Kiper Christopher S</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12121 WILSHIRE BLVD.</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SUITE 1240</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LOS ANGELES</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90025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-1787525</wp:posOffset>
            </wp:positionV>
            <wp:extent cx="2813685" cy="1863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13685" cy="186372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20" w:right="20" w:hanging="1"/>
        <w:spacing w:after="0" w:line="233"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Legion Partners, L.P. I ("Legion Partners I"), Legion Partners, L.P. II ("Legion Partners II"), Legion Partners Special Opportunities, L.P. XI ("Legion Partners Special Opportunities"), Legion Partners, LLC ("General Partner"), Legion Partners Asset Management, LLC ("Legion Partners Asset Management"), Legion Partners Holdings, LLC ("Legion Partners Holdings"), Christopher S. Kiper and Raymond T. White (collectively, the "Reporting Persons").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20" w:right="60" w:hanging="1"/>
        <w:spacing w:after="0" w:line="23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$2.4000 to $2.5500,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20" w:hanging="1"/>
        <w:spacing w:after="0" w:line="231"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White serves on the Board of the Issuer as a representative of Legion Partners Asset Management and its affiliates. Mr. White does not have a right to any economic interest in securities of the Issuer granted to him by the Issuer in respect of his Board position, except to the extent of his role as a Managing Director of Legion Partners Asset Management. Legion Partners Asset Management is entitled to receive all of the economic interest in securities granted to Mr. White by the Issuer in respect of Mr. White's Board position. Mr. White disclaims beneficial ownership of the Issuer's securities to which this report relates and at no time has Mr. White had any economic interest in such securities except any indirect economic interest through Legion Partners Asset Management and its affiliates, entities in which Mr. White has a controlling interest and investment control.</w:t>
      </w:r>
    </w:p>
    <w:p>
      <w:pPr>
        <w:spacing w:after="0" w:line="25" w:lineRule="exact"/>
        <w:rPr>
          <w:rFonts w:ascii="Times New Roman" w:cs="Times New Roman" w:eastAsia="Times New Roman" w:hAnsi="Times New Roman"/>
          <w:sz w:val="13"/>
          <w:szCs w:val="13"/>
          <w:color w:val="008000"/>
        </w:rPr>
      </w:pPr>
    </w:p>
    <w:p>
      <w:pPr>
        <w:ind w:left="20" w:right="380" w:hanging="1"/>
        <w:spacing w:after="0" w:line="24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Legion Partners Holdings is the sole member of Legion Partners Asset Management and each of Messrs. Kiper and White are Managing Directors of Legion Partners Asset Management. As a result of these relationships, Legion Partners Holdings and Messrs. Kiper and White may be deemed to beneficially own the securities owned directly by Legion Partners Asset Management.</w:t>
      </w:r>
    </w:p>
    <w:p>
      <w:pPr>
        <w:spacing w:after="0" w:line="21" w:lineRule="exact"/>
        <w:rPr>
          <w:rFonts w:ascii="Times New Roman" w:cs="Times New Roman" w:eastAsia="Times New Roman" w:hAnsi="Times New Roman"/>
          <w:sz w:val="13"/>
          <w:szCs w:val="13"/>
          <w:color w:val="008000"/>
        </w:rPr>
      </w:pPr>
    </w:p>
    <w:p>
      <w:pPr>
        <w:ind w:left="20" w:right="20" w:hanging="1"/>
        <w:spacing w:after="0" w:line="233"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I. General Partner is the general partner of Legion Partners I, Legion Partners Asset Management is the investment advisor of Legion Partners 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w:t>
      </w:r>
    </w:p>
    <w:p>
      <w:pPr>
        <w:spacing w:after="0" w:line="25" w:lineRule="exact"/>
        <w:rPr>
          <w:rFonts w:ascii="Times New Roman" w:cs="Times New Roman" w:eastAsia="Times New Roman" w:hAnsi="Times New Roman"/>
          <w:sz w:val="13"/>
          <w:szCs w:val="13"/>
          <w:color w:val="008000"/>
        </w:rPr>
      </w:pPr>
    </w:p>
    <w:p>
      <w:pPr>
        <w:ind w:left="20" w:right="20" w:hanging="1"/>
        <w:spacing w:after="0" w:line="233"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II. General Partner is the general partner of Legion Partners II, Legion Partners Asset Management is the investment advisor of Legion Partners II,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II.</w:t>
      </w:r>
    </w:p>
    <w:p>
      <w:pPr>
        <w:spacing w:after="0" w:line="25" w:lineRule="exact"/>
        <w:rPr>
          <w:rFonts w:ascii="Times New Roman" w:cs="Times New Roman" w:eastAsia="Times New Roman" w:hAnsi="Times New Roman"/>
          <w:sz w:val="13"/>
          <w:szCs w:val="13"/>
          <w:color w:val="008000"/>
        </w:rPr>
      </w:pPr>
    </w:p>
    <w:p>
      <w:pPr>
        <w:ind w:left="20" w:right="20" w:hanging="1"/>
        <w:spacing w:after="0" w:line="233"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Special Opportunities. General Partner is the general partner of Legion Partners Special Opportunities, Legion Partners Asset Management is the investment advisor of Legion Partners Special Opportunities, Legion Partners Holdings is the sole member of Legion Partners Asset Management and managing member of General Partner, and each of Messrs. White and Kiper are managing directors of Legion Partners Asset Management and managing members of Legion Partners Holdings. As a result of these relationships, General Partner, Legion Partners Asset Management, Legion Partners Holdings and Messrs. White and Kiper may be deemed to beneficially own the securities owned directly by Legion Partners Special Opportunities.</w:t>
      </w:r>
    </w:p>
    <w:p>
      <w:pPr>
        <w:spacing w:after="0" w:line="25" w:lineRule="exact"/>
        <w:rPr>
          <w:rFonts w:ascii="Times New Roman" w:cs="Times New Roman" w:eastAsia="Times New Roman" w:hAnsi="Times New Roman"/>
          <w:sz w:val="13"/>
          <w:szCs w:val="13"/>
          <w:color w:val="008000"/>
        </w:rPr>
      </w:pPr>
    </w:p>
    <w:p>
      <w:pPr>
        <w:ind w:left="20" w:right="140" w:hanging="1"/>
        <w:spacing w:after="0" w:line="24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Holdings. As managing members of Legion Partners Holdings, Messrs. Kiper and White may be deemed to beneficially own the securities owned directly by Legion Partners Holdings.</w:t>
      </w:r>
    </w:p>
    <w:p>
      <w:pPr>
        <w:spacing w:after="0" w:line="21"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reference price associated with the applicable Swap Agreement (as defined below).</w:t>
      </w:r>
    </w:p>
    <w:p>
      <w:pPr>
        <w:spacing w:after="0" w:line="39" w:lineRule="exact"/>
        <w:rPr>
          <w:rFonts w:ascii="Times New Roman" w:cs="Times New Roman" w:eastAsia="Times New Roman" w:hAnsi="Times New Roman"/>
          <w:sz w:val="13"/>
          <w:szCs w:val="13"/>
          <w:color w:val="008000"/>
        </w:rPr>
      </w:pPr>
    </w:p>
    <w:p>
      <w:pPr>
        <w:ind w:left="20" w:right="160" w:hanging="1"/>
        <w:spacing w:after="0" w:line="256"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 certain cash-settled total return swap agreements (the "Swap Agreements") with an unaffiliated third party financial institution, which provide economic exposure to the number of notional shares set forth in Column 9. The Swap Agreements provide the holder thereof with economic results that are comparable to the economic results of ownership but do not provide the power to vote or direct the voting or dispose of or direct the disposition of the shares of common stock that are the subject of the Swap Agreements (the "Subject Shares"). The Reporting Persons do not have the right or ability to convert the Subject Shares into shares of common stock at any time. Each Reporting Person expressly disclaims beneficial ownership of the Subject Shares except to the extent of his or its pecuniary interest therein.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0"/>
          <w:szCs w:val="20"/>
          <w:color w:val="auto"/>
        </w:rPr>
      </w:pPr>
    </w:p>
    <w:p>
      <w:pPr>
        <w:ind w:left="20" w:right="340"/>
        <w:spacing w:after="0" w:line="246" w:lineRule="auto"/>
        <w:rPr>
          <w:sz w:val="20"/>
          <w:szCs w:val="20"/>
          <w:color w:val="auto"/>
        </w:rPr>
      </w:pPr>
      <w:r>
        <w:rPr>
          <w:rFonts w:ascii="Times New Roman" w:cs="Times New Roman" w:eastAsia="Times New Roman" w:hAnsi="Times New Roman"/>
          <w:sz w:val="13"/>
          <w:szCs w:val="13"/>
          <w:color w:val="008000"/>
        </w:rPr>
        <w:t>Raymond T. White, a managing director of Legion Partners Asset Management, is a director of the Issuer. For purposes of Section 16 of the Securities Exchange Act of 1934, as amended, each of the Reporting Persons (other than Mr. White) may be deemed a director by deputization by virtue of its or his representation on the Board of Directors of the Issuer.</w:t>
      </w:r>
    </w:p>
    <w:p>
      <w:pPr>
        <w:sectPr>
          <w:pgSz w:w="11900" w:h="16838" w:orient="portrait"/>
          <w:cols w:equalWidth="0" w:num="1">
            <w:col w:w="10920"/>
          </w:cols>
          <w:pgMar w:left="480" w:top="128" w:right="499" w:bottom="0" w:gutter="0" w:footer="0" w:header="0"/>
        </w:sectPr>
      </w:pPr>
    </w:p>
    <w:p>
      <w:pPr>
        <w:spacing w:after="0" w:line="4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-3810</wp:posOffset>
            </wp:positionV>
            <wp:extent cx="918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-3810</wp:posOffset>
            </wp:positionV>
            <wp:extent cx="920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1195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Raymond T. White,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268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346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6710"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Legion Partners, L.P. 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-3810</wp:posOffset>
            </wp:positionV>
            <wp:extent cx="11398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920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1195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Raymond T. White,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268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346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6710"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Legion Partners, L.P. II,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-3810</wp:posOffset>
            </wp:positionV>
            <wp:extent cx="11747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920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1195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Raymond T. White,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268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3467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6710"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Legion Partners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-3810</wp:posOffset>
            </wp:positionV>
            <wp:extent cx="9950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99504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Opportunities, L.P. XI,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125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258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920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1195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Raymond T. White,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268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346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6710"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Legion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-3810</wp:posOffset>
            </wp:positionV>
            <wp:extent cx="1113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Legion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345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By: /s/ 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1207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8013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Legion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-3810</wp:posOffset>
            </wp:positionV>
            <wp:extent cx="13455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1207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801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-3810</wp:posOffset>
            </wp:positionV>
            <wp:extent cx="989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0"/>
          <w:szCs w:val="20"/>
          <w:color w:val="auto"/>
        </w:rPr>
      </w:pPr>
    </w:p>
    <w:p>
      <w:pPr>
        <w:sectPr>
          <w:pgSz w:w="11900" w:h="16838" w:orient="portrait"/>
          <w:cols w:equalWidth="0" w:num="2">
            <w:col w:w="8700" w:space="80"/>
            <w:col w:w="2140"/>
          </w:cols>
          <w:pgMar w:left="480" w:top="128" w:right="499" w:bottom="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620" w:hanging="1"/>
        <w:spacing w:after="0" w:line="329"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8" w:right="4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13" Type="http://schemas.openxmlformats.org/officeDocument/2006/relationships/hyperlink" Target="http://www.sec.gov/cgi-bin/browse-edgar?action=getcompany&amp;CIK=0001682494" TargetMode="External"/><Relationship Id="rId14" Type="http://schemas.openxmlformats.org/officeDocument/2006/relationships/hyperlink" Target="http://www.sec.gov/cgi-bin/browse-edgar?action=getcompany&amp;CIK=0000918541" TargetMode="External"/><Relationship Id="rId17" Type="http://schemas.openxmlformats.org/officeDocument/2006/relationships/hyperlink" Target="http://www.sec.gov/cgi-bin/browse-edgar?action=getcompany&amp;CIK=0001560207" TargetMode="External"/><Relationship Id="rId18" Type="http://schemas.openxmlformats.org/officeDocument/2006/relationships/hyperlink" Target="http://www.sec.gov/cgi-bin/browse-edgar?action=getcompany&amp;CIK=0001595909" TargetMode="External"/><Relationship Id="rId19" Type="http://schemas.openxmlformats.org/officeDocument/2006/relationships/hyperlink" Target="http://www.sec.gov/cgi-bin/browse-edgar?action=getcompany&amp;CIK=0001618783" TargetMode="External"/><Relationship Id="rId20" Type="http://schemas.openxmlformats.org/officeDocument/2006/relationships/hyperlink" Target="http://www.sec.gov/cgi-bin/browse-edgar?action=getcompany&amp;CIK=0001768000" TargetMode="External"/><Relationship Id="rId21" Type="http://schemas.openxmlformats.org/officeDocument/2006/relationships/hyperlink" Target="http://www.sec.gov/cgi-bin/browse-edgar?action=getcompany&amp;CIK=0001682390" TargetMode="External"/><Relationship Id="rId22" Type="http://schemas.openxmlformats.org/officeDocument/2006/relationships/hyperlink" Target="http://www.sec.gov/cgi-bin/browse-edgar?action=getcompany&amp;CIK=0001682389" TargetMode="External"/><Relationship Id="rId23" Type="http://schemas.openxmlformats.org/officeDocument/2006/relationships/hyperlink" Target="http://www.sec.gov/cgi-bin/browse-edgar?action=getcompany&amp;CIK=0001432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2026-05-14T17:25:04Z</dcterms:created>
  <dcterms:modified xsi:type="dcterms:W3CDTF">2026-05-14T17:25:04Z</dcterms:modified>
</cp:coreProperties>
</file>