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364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6448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Holder Richard D</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0" w:hanging="356"/>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04/30/2018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1" w:lineRule="exact"/>
        <w:rPr>
          <w:sz w:val="24"/>
          <w:szCs w:val="24"/>
          <w:color w:val="auto"/>
        </w:rPr>
      </w:pPr>
    </w:p>
    <w:tbl>
      <w:tblPr>
        <w:tblLayout w:type="fixed"/>
        <w:tblInd w:w="198"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38"/>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vMerge w:val="restart"/>
          </w:tcPr>
          <w:p>
            <w:pPr>
              <w:ind w:left="20"/>
              <w:spacing w:after="0"/>
              <w:rPr>
                <w:sz w:val="20"/>
                <w:szCs w:val="20"/>
                <w:color w:val="auto"/>
              </w:rPr>
            </w:pPr>
            <w:r>
              <w:rPr>
                <w:rFonts w:ascii="Arial" w:cs="Arial" w:eastAsia="Arial" w:hAnsi="Arial"/>
                <w:sz w:val="17"/>
                <w:szCs w:val="17"/>
                <w:color w:val="0000FF"/>
              </w:rPr>
              <w:t>TN</w:t>
            </w:r>
          </w:p>
        </w:tc>
        <w:tc>
          <w:tcPr>
            <w:tcW w:w="92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7"/>
                <w:szCs w:val="17"/>
                <w:color w:val="0000FF"/>
              </w:rPr>
              <w:t>37604</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gridSpan w:val="2"/>
            <w:vMerge w:val="restart"/>
          </w:tcPr>
          <w:p>
            <w:pPr>
              <w:ind w:left="50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7"/>
                <w:szCs w:val="7"/>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2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ind w:left="160"/>
              <w:spacing w:after="0" w:line="120"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gridSpan w:val="2"/>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40" w:type="dxa"/>
            <w:vAlign w:val="bottom"/>
            <w:gridSpan w:val="3"/>
          </w:tcPr>
          <w:p>
            <w:pPr>
              <w:jc w:val="center"/>
              <w:ind w:left="6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87"/>
              <w:spacing w:after="0"/>
              <w:rPr>
                <w:sz w:val="20"/>
                <w:szCs w:val="20"/>
                <w:color w:val="auto"/>
              </w:rPr>
            </w:pPr>
            <w:r>
              <w:rPr>
                <w:rFonts w:ascii="Arial" w:cs="Arial" w:eastAsia="Arial" w:hAnsi="Arial"/>
                <w:sz w:val="17"/>
                <w:szCs w:val="17"/>
                <w:color w:val="0000FF"/>
                <w:w w:val="91"/>
              </w:rPr>
              <w:t>04/30/2018</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jc w:val="center"/>
              <w:ind w:left="32"/>
              <w:spacing w:after="0"/>
              <w:rPr>
                <w:sz w:val="20"/>
                <w:szCs w:val="20"/>
                <w:color w:val="auto"/>
              </w:rPr>
            </w:pPr>
            <w:r>
              <w:rPr>
                <w:rFonts w:ascii="Arial" w:cs="Arial" w:eastAsia="Arial" w:hAnsi="Arial"/>
                <w:sz w:val="17"/>
                <w:szCs w:val="17"/>
                <w:color w:val="0000FF"/>
                <w:w w:val="85"/>
              </w:rPr>
              <w:t>21,509</w:t>
            </w:r>
            <w:r>
              <w:rPr>
                <w:rFonts w:ascii="Arial" w:cs="Arial" w:eastAsia="Arial" w:hAnsi="Arial"/>
                <w:sz w:val="22"/>
                <w:szCs w:val="22"/>
                <w:color w:val="008000"/>
                <w:w w:val="85"/>
                <w:vertAlign w:val="superscript"/>
              </w:rPr>
              <w:t>(1)</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165,568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940" w:type="dxa"/>
            <w:vAlign w:val="bottom"/>
            <w:gridSpan w:val="3"/>
          </w:tcPr>
          <w:p>
            <w:pPr>
              <w:jc w:val="center"/>
              <w:ind w:left="687"/>
              <w:spacing w:after="0"/>
              <w:rPr>
                <w:sz w:val="20"/>
                <w:szCs w:val="20"/>
                <w:color w:val="auto"/>
              </w:rPr>
            </w:pPr>
            <w:r>
              <w:rPr>
                <w:rFonts w:ascii="Arial" w:cs="Arial" w:eastAsia="Arial" w:hAnsi="Arial"/>
                <w:sz w:val="17"/>
                <w:szCs w:val="17"/>
                <w:color w:val="0000FF"/>
                <w:w w:val="91"/>
              </w:rPr>
              <w:t>04/30/2018</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12"/>
              <w:spacing w:after="0"/>
              <w:rPr>
                <w:sz w:val="20"/>
                <w:szCs w:val="20"/>
                <w:color w:val="auto"/>
              </w:rPr>
            </w:pPr>
            <w:r>
              <w:rPr>
                <w:rFonts w:ascii="Arial" w:cs="Arial" w:eastAsia="Arial" w:hAnsi="Arial"/>
                <w:sz w:val="17"/>
                <w:szCs w:val="17"/>
                <w:color w:val="0000FF"/>
                <w:w w:val="92"/>
              </w:rPr>
              <w:t>14,752</w:t>
            </w:r>
          </w:p>
        </w:tc>
        <w:tc>
          <w:tcPr>
            <w:tcW w:w="80" w:type="dxa"/>
            <w:vAlign w:val="bottom"/>
          </w:tcPr>
          <w:p>
            <w:pPr>
              <w:spacing w:after="0"/>
              <w:rPr>
                <w:sz w:val="23"/>
                <w:szCs w:val="23"/>
                <w:color w:val="auto"/>
              </w:rPr>
            </w:pPr>
          </w:p>
        </w:tc>
        <w:tc>
          <w:tcPr>
            <w:tcW w:w="56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Pr>
          <w:p>
            <w:pPr>
              <w:spacing w:after="0"/>
              <w:rPr>
                <w:sz w:val="23"/>
                <w:szCs w:val="23"/>
                <w:color w:val="auto"/>
              </w:rPr>
            </w:pPr>
          </w:p>
        </w:tc>
        <w:tc>
          <w:tcPr>
            <w:tcW w:w="1320" w:type="dxa"/>
            <w:vAlign w:val="bottom"/>
            <w:gridSpan w:val="3"/>
          </w:tcPr>
          <w:p>
            <w:pPr>
              <w:ind w:left="380"/>
              <w:spacing w:after="0"/>
              <w:rPr>
                <w:sz w:val="20"/>
                <w:szCs w:val="20"/>
                <w:color w:val="auto"/>
              </w:rPr>
            </w:pPr>
            <w:r>
              <w:rPr>
                <w:rFonts w:ascii="Arial" w:cs="Arial" w:eastAsia="Arial" w:hAnsi="Arial"/>
                <w:sz w:val="17"/>
                <w:szCs w:val="17"/>
                <w:color w:val="0000FF"/>
              </w:rPr>
              <w:t>180,320</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87"/>
              <w:spacing w:after="0"/>
              <w:rPr>
                <w:sz w:val="20"/>
                <w:szCs w:val="20"/>
                <w:color w:val="auto"/>
              </w:rPr>
            </w:pPr>
            <w:r>
              <w:rPr>
                <w:rFonts w:ascii="Arial" w:cs="Arial" w:eastAsia="Arial" w:hAnsi="Arial"/>
                <w:sz w:val="17"/>
                <w:szCs w:val="17"/>
                <w:color w:val="0000FF"/>
                <w:w w:val="91"/>
              </w:rPr>
              <w:t>04/30/2018</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820" w:type="dxa"/>
            <w:vAlign w:val="bottom"/>
            <w:tcBorders>
              <w:bottom w:val="single" w:sz="8" w:color="2C2C2C"/>
            </w:tcBorders>
            <w:gridSpan w:val="2"/>
          </w:tcPr>
          <w:p>
            <w:pPr>
              <w:jc w:val="center"/>
              <w:ind w:left="32"/>
              <w:spacing w:after="0"/>
              <w:rPr>
                <w:sz w:val="20"/>
                <w:szCs w:val="20"/>
                <w:color w:val="auto"/>
              </w:rPr>
            </w:pPr>
            <w:r>
              <w:rPr>
                <w:rFonts w:ascii="Arial" w:cs="Arial" w:eastAsia="Arial" w:hAnsi="Arial"/>
                <w:sz w:val="17"/>
                <w:szCs w:val="17"/>
                <w:color w:val="0000FF"/>
                <w:w w:val="85"/>
              </w:rPr>
              <w:t>10,019</w:t>
            </w:r>
            <w:r>
              <w:rPr>
                <w:rFonts w:ascii="Arial" w:cs="Arial" w:eastAsia="Arial" w:hAnsi="Arial"/>
                <w:sz w:val="22"/>
                <w:szCs w:val="22"/>
                <w:color w:val="008000"/>
                <w:w w:val="85"/>
                <w:vertAlign w:val="superscript"/>
              </w:rPr>
              <w:t>(2)</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20.3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170,301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2"/>
          </w:tcPr>
          <w:p>
            <w:pPr>
              <w:jc w:val="right"/>
              <w:ind w:right="2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40" w:type="dxa"/>
            <w:vAlign w:val="bottom"/>
          </w:tcPr>
          <w:p>
            <w:pPr>
              <w:ind w:left="34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20"/>
                <w:szCs w:val="20"/>
                <w:color w:val="auto"/>
              </w:rPr>
            </w:pPr>
          </w:p>
        </w:tc>
        <w:tc>
          <w:tcPr>
            <w:tcW w:w="920" w:type="dxa"/>
            <w:vAlign w:val="bottom"/>
          </w:tcPr>
          <w:p>
            <w:pPr>
              <w:ind w:left="240"/>
              <w:spacing w:after="0"/>
              <w:rPr>
                <w:sz w:val="20"/>
                <w:szCs w:val="20"/>
                <w:color w:val="auto"/>
              </w:rPr>
            </w:pPr>
            <w:r>
              <w:rPr>
                <w:rFonts w:ascii="Arial" w:cs="Arial" w:eastAsia="Arial" w:hAnsi="Arial"/>
                <w:sz w:val="13"/>
                <w:szCs w:val="13"/>
                <w:color w:val="0000FF"/>
              </w:rPr>
              <w:t>04/30/2018</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0"/>
                <w:szCs w:val="20"/>
                <w:color w:val="auto"/>
              </w:rPr>
            </w:pPr>
          </w:p>
        </w:tc>
        <w:tc>
          <w:tcPr>
            <w:tcW w:w="860" w:type="dxa"/>
            <w:vAlign w:val="bottom"/>
          </w:tcPr>
          <w:p>
            <w:pPr>
              <w:ind w:left="400"/>
              <w:spacing w:after="0"/>
              <w:rPr>
                <w:sz w:val="20"/>
                <w:szCs w:val="20"/>
                <w:color w:val="auto"/>
              </w:rPr>
            </w:pPr>
            <w:r>
              <w:rPr>
                <w:rFonts w:ascii="Arial" w:cs="Arial" w:eastAsia="Arial" w:hAnsi="Arial"/>
                <w:sz w:val="13"/>
                <w:szCs w:val="13"/>
                <w:color w:val="0000FF"/>
              </w:rPr>
              <w:t>14,665</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40" w:type="dxa"/>
            <w:vAlign w:val="bottom"/>
          </w:tcPr>
          <w:p>
            <w:pPr>
              <w:ind w:left="260"/>
              <w:spacing w:after="0"/>
              <w:rPr>
                <w:sz w:val="20"/>
                <w:szCs w:val="20"/>
                <w:color w:val="auto"/>
              </w:rPr>
            </w:pPr>
            <w:r>
              <w:rPr>
                <w:rFonts w:ascii="Arial" w:cs="Arial" w:eastAsia="Arial" w:hAnsi="Arial"/>
                <w:sz w:val="11"/>
                <w:szCs w:val="11"/>
                <w:color w:val="008000"/>
              </w:rPr>
              <w:t>(4)</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14,665</w:t>
            </w:r>
          </w:p>
        </w:tc>
        <w:tc>
          <w:tcPr>
            <w:tcW w:w="6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6"/>
        <w:spacing w:after="0" w:line="265"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settlement of performance rights that vested on April 30, 2018 based on the return of invested capital of NN, Inc. (the "Issuer") over the performance period beginning February 1, 2015 and ending December 31, 2017.</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the amount of shares delivered to satisfy applicable tax withholding obligations in connection with the vesting of shares of restricted stock and performance rights.</w:t>
      </w:r>
    </w:p>
    <w:p>
      <w:pPr>
        <w:spacing w:after="0" w:line="50" w:lineRule="exact"/>
        <w:rPr>
          <w:rFonts w:ascii="Arial" w:cs="Arial" w:eastAsia="Arial" w:hAnsi="Arial"/>
          <w:sz w:val="13"/>
          <w:szCs w:val="13"/>
          <w:color w:val="008000"/>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represented a contingent right to receive one share of common stock of the Issuer.</w:t>
      </w:r>
    </w:p>
    <w:p>
      <w:pPr>
        <w:spacing w:after="0" w:line="50" w:lineRule="exact"/>
        <w:rPr>
          <w:rFonts w:ascii="Arial" w:cs="Arial" w:eastAsia="Arial" w:hAnsi="Arial"/>
          <w:sz w:val="13"/>
          <w:szCs w:val="13"/>
          <w:color w:val="008000"/>
        </w:rPr>
      </w:pPr>
    </w:p>
    <w:p>
      <w:pPr>
        <w:jc w:val="both"/>
        <w:ind w:left="40" w:right="220" w:firstLine="6"/>
        <w:spacing w:after="0" w:line="250"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was based on the relative total shareholder return ("TSR") of the Issuer, as compared to the TSR of the S&amp;P SmallCap 600 Index over the period beginning on February 1, 2015 and ending December 31, 2017. The performance rights vested on April 30, 2018. Performance rights granted represented the right to receive the target shares, and actual performance rights earned resulted in a payout of 100.6% of the target shares.</w:t>
      </w:r>
    </w:p>
    <w:p>
      <w:pPr>
        <w:sectPr>
          <w:pgSz w:w="11900" w:h="16838" w:orient="portrait"/>
          <w:cols w:equalWidth="0" w:num="1">
            <w:col w:w="11520"/>
          </w:cols>
          <w:pgMar w:left="240" w:top="225" w:right="139" w:bottom="1440" w:gutter="0" w:footer="0" w:header="0"/>
          <w:type w:val="continuous"/>
        </w:sectPr>
      </w:pP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5715</wp:posOffset>
            </wp:positionV>
            <wp:extent cx="1384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2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50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51"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1320" w:firstLine="6"/>
        <w:spacing w:after="0" w:line="318"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5"/>
          <w:szCs w:val="15"/>
          <w:color w:val="0000FF"/>
        </w:rPr>
        <w:t>05/02/2018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2" w:lineRule="exact"/>
        <w:rPr>
          <w:sz w:val="24"/>
          <w:szCs w:val="24"/>
          <w:color w:val="auto"/>
        </w:rPr>
      </w:pPr>
    </w:p>
    <w:p>
      <w:pPr>
        <w:sectPr>
          <w:pgSz w:w="11900" w:h="16838" w:orient="portrait"/>
          <w:cols w:equalWidth="0" w:num="2">
            <w:col w:w="9040" w:space="100"/>
            <w:col w:w="238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60591"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2019-12-27T10:04:35Z</dcterms:created>
  <dcterms:modified xsi:type="dcterms:W3CDTF">2019-12-27T10:04:35Z</dcterms:modified>
</cp:coreProperties>
</file>