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6"/>
          <w:szCs w:val="16"/>
          <w:color w:val="auto"/>
        </w:rPr>
        <w:t>DOCUMENT TYPE SC 13G/A</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TEXT</w:t>
      </w:r>
    </w:p>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Washington, D.C. 20549</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SCHEDULE 13G</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Under the Securities Exchange Act of 1934</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Amendment # 1</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 NN INC</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Title of Class</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of Securities: Common Stock</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Number: 629337106</w:t>
      </w:r>
    </w:p>
    <w:p>
      <w:pPr>
        <w:spacing w:after="0" w:line="197" w:lineRule="exact"/>
        <w:rPr>
          <w:sz w:val="24"/>
          <w:szCs w:val="24"/>
          <w:color w:val="auto"/>
        </w:rPr>
      </w:pPr>
    </w:p>
    <w:p>
      <w:pPr>
        <w:ind w:right="4659" w:firstLine="8"/>
        <w:spacing w:after="0" w:line="500" w:lineRule="auto"/>
        <w:tabs>
          <w:tab w:leader="none" w:pos="29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AND I.R.S. IDENTIFICATION NO. OF REPORTING PERSON Prudential Financial, Inc. 22-3703799</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 MEMBER OF A GROUP: (a) N/A</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 N/A</w:t>
      </w:r>
    </w:p>
    <w:p>
      <w:pPr>
        <w:spacing w:after="0" w:line="197" w:lineRule="exact"/>
        <w:rPr>
          <w:sz w:val="24"/>
          <w:szCs w:val="24"/>
          <w:color w:val="auto"/>
        </w:rPr>
      </w:pPr>
    </w:p>
    <w:p>
      <w:pPr>
        <w:ind w:left="300" w:hanging="292"/>
        <w:spacing w:after="0"/>
        <w:tabs>
          <w:tab w:leader="none" w:pos="3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 USE ONLY:</w:t>
      </w:r>
    </w:p>
    <w:p>
      <w:pPr>
        <w:spacing w:after="0" w:line="200" w:lineRule="exact"/>
        <w:rPr>
          <w:rFonts w:ascii="Courier New" w:cs="Courier New" w:eastAsia="Courier New" w:hAnsi="Courier New"/>
          <w:sz w:val="16"/>
          <w:szCs w:val="16"/>
          <w:color w:val="auto"/>
        </w:rPr>
      </w:pPr>
    </w:p>
    <w:p>
      <w:pPr>
        <w:spacing w:after="0" w:line="375" w:lineRule="exact"/>
        <w:rPr>
          <w:rFonts w:ascii="Courier New" w:cs="Courier New" w:eastAsia="Courier New" w:hAnsi="Courier New"/>
          <w:sz w:val="16"/>
          <w:szCs w:val="16"/>
          <w:color w:val="auto"/>
        </w:rPr>
      </w:pPr>
    </w:p>
    <w:p>
      <w:pPr>
        <w:ind w:left="300" w:hanging="292"/>
        <w:spacing w:after="0"/>
        <w:tabs>
          <w:tab w:leader="none" w:pos="3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PLACE OF ORGANIZATION: New Jersey</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REPORTING PERSON WITH:</w:t>
      </w:r>
    </w:p>
    <w:p>
      <w:pPr>
        <w:spacing w:after="0" w:line="197" w:lineRule="exact"/>
        <w:rPr>
          <w:sz w:val="24"/>
          <w:szCs w:val="24"/>
          <w:color w:val="auto"/>
        </w:rPr>
      </w:pPr>
    </w:p>
    <w:p>
      <w:pPr>
        <w:ind w:left="300" w:hanging="292"/>
        <w:spacing w:after="0"/>
        <w:tabs>
          <w:tab w:leader="none" w:pos="3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242,935 See Exhibit A</w:t>
      </w:r>
    </w:p>
    <w:p>
      <w:pPr>
        <w:spacing w:after="0" w:line="7" w:lineRule="exact"/>
        <w:rPr>
          <w:rFonts w:ascii="Courier New" w:cs="Courier New" w:eastAsia="Courier New" w:hAnsi="Courier New"/>
          <w:sz w:val="16"/>
          <w:szCs w:val="16"/>
          <w:color w:val="auto"/>
        </w:rPr>
      </w:pPr>
    </w:p>
    <w:p>
      <w:pPr>
        <w:ind w:left="300" w:hanging="292"/>
        <w:spacing w:after="0"/>
        <w:tabs>
          <w:tab w:leader="none" w:pos="3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Voting Power: 2,938,477 See Exhibit A</w:t>
      </w:r>
    </w:p>
    <w:p>
      <w:pPr>
        <w:spacing w:after="0" w:line="7" w:lineRule="exact"/>
        <w:rPr>
          <w:rFonts w:ascii="Courier New" w:cs="Courier New" w:eastAsia="Courier New" w:hAnsi="Courier New"/>
          <w:sz w:val="16"/>
          <w:szCs w:val="16"/>
          <w:color w:val="auto"/>
        </w:rPr>
      </w:pPr>
    </w:p>
    <w:p>
      <w:pPr>
        <w:ind w:left="300" w:hanging="292"/>
        <w:spacing w:after="0"/>
        <w:tabs>
          <w:tab w:leader="none" w:pos="3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Dispositive Power: 242,935 See Exhibit A</w:t>
      </w:r>
    </w:p>
    <w:p>
      <w:pPr>
        <w:spacing w:after="0" w:line="7" w:lineRule="exact"/>
        <w:rPr>
          <w:rFonts w:ascii="Courier New" w:cs="Courier New" w:eastAsia="Courier New" w:hAnsi="Courier New"/>
          <w:sz w:val="16"/>
          <w:szCs w:val="16"/>
          <w:color w:val="auto"/>
        </w:rPr>
      </w:pPr>
    </w:p>
    <w:p>
      <w:pPr>
        <w:ind w:left="300" w:hanging="292"/>
        <w:spacing w:after="0"/>
        <w:tabs>
          <w:tab w:leader="none" w:pos="3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Dispositive Power: 2,938,477 See Exhibit A</w:t>
      </w:r>
    </w:p>
    <w:p>
      <w:pPr>
        <w:spacing w:after="0" w:line="196" w:lineRule="exact"/>
        <w:rPr>
          <w:rFonts w:ascii="Courier New" w:cs="Courier New" w:eastAsia="Courier New" w:hAnsi="Courier New"/>
          <w:sz w:val="16"/>
          <w:szCs w:val="16"/>
          <w:color w:val="auto"/>
        </w:rPr>
      </w:pPr>
    </w:p>
    <w:p>
      <w:pPr>
        <w:ind w:left="300" w:hanging="292"/>
        <w:spacing w:after="0"/>
        <w:tabs>
          <w:tab w:leader="none" w:pos="3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3,181,412 See Exhibit A</w:t>
      </w:r>
    </w:p>
    <w:p>
      <w:pPr>
        <w:spacing w:after="0" w:line="196" w:lineRule="exact"/>
        <w:rPr>
          <w:rFonts w:ascii="Courier New" w:cs="Courier New" w:eastAsia="Courier New" w:hAnsi="Courier New"/>
          <w:sz w:val="16"/>
          <w:szCs w:val="16"/>
          <w:color w:val="auto"/>
        </w:rPr>
      </w:pPr>
    </w:p>
    <w:p>
      <w:pPr>
        <w:ind w:left="400" w:hanging="392"/>
        <w:spacing w:after="0"/>
        <w:tabs>
          <w:tab w:leader="none" w:pos="4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IN ROW (9) EXCLUDES SHARES: Not Applicable</w:t>
      </w:r>
    </w:p>
    <w:p>
      <w:pPr>
        <w:spacing w:after="0" w:line="196" w:lineRule="exact"/>
        <w:rPr>
          <w:rFonts w:ascii="Courier New" w:cs="Courier New" w:eastAsia="Courier New" w:hAnsi="Courier New"/>
          <w:sz w:val="16"/>
          <w:szCs w:val="16"/>
          <w:color w:val="auto"/>
        </w:rPr>
      </w:pPr>
    </w:p>
    <w:p>
      <w:pPr>
        <w:ind w:left="400" w:hanging="392"/>
        <w:spacing w:after="0"/>
        <w:tabs>
          <w:tab w:leader="none" w:pos="4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 11.9 See Exhibit A</w:t>
      </w:r>
    </w:p>
    <w:p>
      <w:pPr>
        <w:spacing w:after="0" w:line="196" w:lineRule="exact"/>
        <w:rPr>
          <w:rFonts w:ascii="Courier New" w:cs="Courier New" w:eastAsia="Courier New" w:hAnsi="Courier New"/>
          <w:sz w:val="16"/>
          <w:szCs w:val="16"/>
          <w:color w:val="auto"/>
        </w:rPr>
      </w:pPr>
    </w:p>
    <w:p>
      <w:pPr>
        <w:ind w:left="400" w:hanging="392"/>
        <w:spacing w:after="0"/>
        <w:tabs>
          <w:tab w:leader="none" w:pos="4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HC</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1(a). NAME OF ISSUER:</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NN INC</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1(b). ADDRESS OF ISSUER'S EXECUTIVE OFFICES:</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207 MOCKINGBIRD LANE</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JOHNSON CITY, TN 37604</w:t>
      </w:r>
    </w:p>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2(a). NAME OF PERSON FILING:</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Prudential Financial, Inc.</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2(b). ADDRESS OF PRINCIPAL BUSINESS OFFICE:</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751 Broad Street</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Newark, New Jersey 07102-3777</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2(c). CITIZENSHIP:</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New Jersey</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2(d). TITLE OF CLASS OF SECURITIES:</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Common Stock</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2(e). CUSIP NUMBER:</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629337106</w:t>
      </w:r>
    </w:p>
    <w:p>
      <w:pPr>
        <w:spacing w:after="0" w:line="197" w:lineRule="exact"/>
        <w:rPr>
          <w:sz w:val="24"/>
          <w:szCs w:val="24"/>
          <w:color w:val="auto"/>
        </w:rPr>
      </w:pPr>
    </w:p>
    <w:p>
      <w:pPr>
        <w:ind w:right="3299"/>
        <w:spacing w:after="0" w:line="251" w:lineRule="auto"/>
        <w:rPr>
          <w:sz w:val="20"/>
          <w:szCs w:val="20"/>
          <w:color w:val="auto"/>
        </w:rPr>
      </w:pPr>
      <w:r>
        <w:rPr>
          <w:rFonts w:ascii="Courier New" w:cs="Courier New" w:eastAsia="Courier New" w:hAnsi="Courier New"/>
          <w:sz w:val="16"/>
          <w:szCs w:val="16"/>
          <w:color w:val="auto"/>
        </w:rPr>
        <w:t>ITEM 3. The Person filing this statement is a Parent Holding Company as defined in Section 240.13d-1(b)(1)(ii)(G) of the Securities Exchange Act of 1934.</w:t>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4. OWNERSHIP:</w:t>
      </w:r>
    </w:p>
    <w:p>
      <w:pPr>
        <w:spacing w:after="0" w:line="197" w:lineRule="exact"/>
        <w:rPr>
          <w:sz w:val="24"/>
          <w:szCs w:val="24"/>
          <w:color w:val="auto"/>
        </w:rPr>
      </w:pPr>
    </w:p>
    <w:p>
      <w:pPr>
        <w:ind w:right="7399" w:firstLine="8"/>
        <w:spacing w:after="0" w:line="251" w:lineRule="auto"/>
        <w:tabs>
          <w:tab w:leader="none" w:pos="389"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Beneficially Owned: 3,181,412 See Exhibit A</w:t>
      </w:r>
    </w:p>
    <w:p>
      <w:pPr>
        <w:sectPr>
          <w:pgSz w:w="11900" w:h="16838" w:orient="portrait"/>
          <w:cols w:equalWidth="0" w:num="1">
            <w:col w:w="10219"/>
          </w:cols>
          <w:pgMar w:left="240" w:top="24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(b) Percent of Class: 11.9</w:t>
      </w:r>
    </w:p>
    <w:p>
      <w:pPr>
        <w:sectPr>
          <w:pgSz w:w="11900" w:h="16838" w:orient="portrait"/>
          <w:cols w:equalWidth="0" w:num="1">
            <w:col w:w="10219"/>
          </w:cols>
          <w:pgMar w:left="240" w:top="140" w:right="1440" w:bottom="0" w:gutter="0" w:footer="0" w:header="0"/>
        </w:sect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 Powers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Of Shares</w:t>
      </w:r>
    </w:p>
    <w:p>
      <w:pPr>
        <w:spacing w:after="0" w:line="197" w:lineRule="exact"/>
        <w:rPr>
          <w:sz w:val="20"/>
          <w:szCs w:val="20"/>
          <w:color w:val="auto"/>
        </w:rPr>
      </w:pPr>
    </w:p>
    <w:p>
      <w:pPr>
        <w:sectPr>
          <w:pgSz w:w="11900" w:h="16838" w:orient="portrait"/>
          <w:cols w:equalWidth="0" w:num="2">
            <w:col w:w="1820" w:space="720"/>
            <w:col w:w="7679"/>
          </w:cols>
          <w:pgMar w:left="240" w:top="140" w:right="1440" w:bottom="0" w:gutter="0" w:footer="0" w:header="0"/>
          <w:type w:val="continuous"/>
        </w:sectPr>
      </w:pPr>
    </w:p>
    <w:p>
      <w:pPr>
        <w:ind w:left="3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97" w:lineRule="exact"/>
        <w:rPr>
          <w:sz w:val="20"/>
          <w:szCs w:val="20"/>
          <w:color w:val="auto"/>
        </w:rPr>
      </w:pPr>
    </w:p>
    <w:p>
      <w:pPr>
        <w:sectPr>
          <w:pgSz w:w="11900" w:h="16838" w:orient="portrait"/>
          <w:cols w:equalWidth="0" w:num="2">
            <w:col w:w="1720" w:space="720"/>
            <w:col w:w="7779"/>
          </w:cols>
          <w:pgMar w:left="240" w:top="140"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Sole power to vote 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242,935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See Exhibit A</w:t>
      </w:r>
    </w:p>
    <w:p>
      <w:pPr>
        <w:spacing w:after="0" w:line="8" w:lineRule="exact"/>
        <w:rPr>
          <w:sz w:val="20"/>
          <w:szCs w:val="20"/>
          <w:color w:val="auto"/>
        </w:rPr>
      </w:pPr>
    </w:p>
    <w:p>
      <w:pPr>
        <w:sectPr>
          <w:pgSz w:w="11900" w:h="16838" w:orient="portrait"/>
          <w:cols w:equalWidth="0" w:num="3">
            <w:col w:w="2060" w:space="380"/>
            <w:col w:w="680" w:space="200"/>
            <w:col w:w="6899"/>
          </w:cols>
          <w:pgMar w:left="240" w:top="140"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to direct the vote</w:t>
      </w:r>
    </w:p>
    <w:p>
      <w:pPr>
        <w:sectPr>
          <w:pgSz w:w="11900" w:h="16838" w:orient="portrait"/>
          <w:cols w:equalWidth="0" w:num="1">
            <w:col w:w="10219"/>
          </w:cols>
          <w:pgMar w:left="240" w:top="140" w:right="1440" w:bottom="0" w:gutter="0" w:footer="0" w:header="0"/>
          <w:type w:val="continuous"/>
        </w:sectPr>
      </w:pP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Shared power to vote or</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2,938,477</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Exhibit A</w:t>
      </w:r>
    </w:p>
    <w:p>
      <w:pPr>
        <w:spacing w:after="0" w:line="8" w:lineRule="exact"/>
        <w:rPr>
          <w:sz w:val="20"/>
          <w:szCs w:val="20"/>
          <w:color w:val="auto"/>
        </w:rPr>
      </w:pPr>
    </w:p>
    <w:p>
      <w:pPr>
        <w:sectPr>
          <w:pgSz w:w="11900" w:h="16838" w:orient="portrait"/>
          <w:cols w:equalWidth="0" w:num="3">
            <w:col w:w="2240" w:space="300"/>
            <w:col w:w="880" w:space="180"/>
            <w:col w:w="6619"/>
          </w:cols>
          <w:pgMar w:left="240" w:top="140"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to direct the vote</w:t>
      </w:r>
    </w:p>
    <w:p>
      <w:pPr>
        <w:sectPr>
          <w:pgSz w:w="11900" w:h="16838" w:orient="portrait"/>
          <w:cols w:equalWidth="0" w:num="1">
            <w:col w:w="10219"/>
          </w:cols>
          <w:pgMar w:left="240" w:top="140" w:right="1440" w:bottom="0" w:gutter="0" w:footer="0" w:header="0"/>
          <w:type w:val="continuous"/>
        </w:sectPr>
      </w:pPr>
    </w:p>
    <w:p>
      <w:pPr>
        <w:spacing w:after="0" w:line="197"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6"/>
          <w:szCs w:val="16"/>
          <w:color w:val="auto"/>
        </w:rPr>
        <w:t>Sole power to dispose or</w:t>
        <w:tab/>
        <w:t>242,935 See Exhibit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direct disposition</w:t>
      </w:r>
    </w:p>
    <w:p>
      <w:pPr>
        <w:sectPr>
          <w:pgSz w:w="11900" w:h="16838" w:orient="portrait"/>
          <w:cols w:equalWidth="0" w:num="1">
            <w:col w:w="10219"/>
          </w:cols>
          <w:pgMar w:left="240" w:top="140" w:right="1440" w:bottom="0" w:gutter="0" w:footer="0" w:header="0"/>
          <w:type w:val="continuous"/>
        </w:sectPr>
      </w:pP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Shared power to dispose</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2,938,477</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Exhibit A</w:t>
      </w:r>
    </w:p>
    <w:p>
      <w:pPr>
        <w:spacing w:after="0" w:line="8" w:lineRule="exact"/>
        <w:rPr>
          <w:sz w:val="20"/>
          <w:szCs w:val="20"/>
          <w:color w:val="auto"/>
        </w:rPr>
      </w:pPr>
    </w:p>
    <w:p>
      <w:pPr>
        <w:sectPr>
          <w:pgSz w:w="11900" w:h="16838" w:orient="portrait"/>
          <w:cols w:equalWidth="0" w:num="3">
            <w:col w:w="2240" w:space="300"/>
            <w:col w:w="880" w:space="180"/>
            <w:col w:w="6619"/>
          </w:cols>
          <w:pgMar w:left="240" w:top="140"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or to direct disposition</w:t>
      </w:r>
    </w:p>
    <w:p>
      <w:pPr>
        <w:sectPr>
          <w:pgSz w:w="11900" w:h="16838" w:orient="portrait"/>
          <w:cols w:equalWidth="0" w:num="1">
            <w:col w:w="10219"/>
          </w:cols>
          <w:pgMar w:left="240" w:top="140" w:right="1440" w:bottom="0" w:gutter="0" w:footer="0" w:header="0"/>
          <w:type w:val="continuous"/>
        </w:sectPr>
      </w:pP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 OWNERSHIP OF 5% OR LESS OF A CLASS: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Applicable</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 OWNERSHIP OF MORE THAN 5% ON BEHALF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ANOTHER PERSON:</w:t>
      </w:r>
    </w:p>
    <w:p>
      <w:pPr>
        <w:spacing w:after="0" w:line="170" w:lineRule="exact"/>
        <w:rPr>
          <w:sz w:val="20"/>
          <w:szCs w:val="20"/>
          <w:color w:val="auto"/>
        </w:rPr>
      </w:pPr>
    </w:p>
    <w:p>
      <w:pPr>
        <w:jc w:val="both"/>
        <w:ind w:right="2539"/>
        <w:spacing w:after="0" w:line="251" w:lineRule="auto"/>
        <w:rPr>
          <w:sz w:val="20"/>
          <w:szCs w:val="20"/>
          <w:color w:val="auto"/>
        </w:rPr>
      </w:pPr>
      <w:r>
        <w:rPr>
          <w:rFonts w:ascii="Courier New" w:cs="Courier New" w:eastAsia="Courier New" w:hAnsi="Courier New"/>
          <w:sz w:val="16"/>
          <w:szCs w:val="16"/>
          <w:color w:val="auto"/>
        </w:rPr>
        <w:t>Our clients may have the right to receive or the power to direct the receipt of dividends from, or the proceeds from the sale of, such securities which are the subject of this filing.</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7. IDENTIFICATION AND CLASSIFICATION OF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 WHICH ACQUIRED THE SECURITY BEING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REPORTED ON BY THE ULTIMATE PARENT COMPANY:</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Exhibit A</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 IDENTIFICATION AND CLASSIFICATION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MEMBERS OF THE GROUP:</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Applicable</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 NOTICE OF DISSOLUTION OF GROUP:</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Applicable</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 CERTIFICATION:</w:t>
      </w:r>
    </w:p>
    <w:p>
      <w:pPr>
        <w:spacing w:after="0" w:line="359" w:lineRule="exact"/>
        <w:rPr>
          <w:sz w:val="20"/>
          <w:szCs w:val="20"/>
          <w:color w:val="auto"/>
        </w:rPr>
      </w:pPr>
    </w:p>
    <w:p>
      <w:pPr>
        <w:jc w:val="both"/>
        <w:ind w:right="2539"/>
        <w:spacing w:after="0" w:line="250" w:lineRule="auto"/>
        <w:rPr>
          <w:sz w:val="20"/>
          <w:szCs w:val="20"/>
          <w:color w:val="auto"/>
        </w:rPr>
      </w:pPr>
      <w:r>
        <w:rPr>
          <w:rFonts w:ascii="Courier New" w:cs="Courier New" w:eastAsia="Courier New" w:hAnsi="Courier New"/>
          <w:sz w:val="16"/>
          <w:szCs w:val="16"/>
          <w:color w:val="auto"/>
        </w:rPr>
        <w:t>By signing below, Prudential Financial, Inc. certifies that, to the best of its knowledge and belief, the securities referred to above were acquired</w:t>
      </w:r>
    </w:p>
    <w:p>
      <w:pPr>
        <w:spacing w:after="0" w:line="1" w:lineRule="exact"/>
        <w:rPr>
          <w:sz w:val="20"/>
          <w:szCs w:val="20"/>
          <w:color w:val="auto"/>
        </w:rPr>
      </w:pPr>
    </w:p>
    <w:p>
      <w:pPr>
        <w:ind w:right="2719"/>
        <w:spacing w:after="0" w:line="250" w:lineRule="auto"/>
        <w:rPr>
          <w:sz w:val="20"/>
          <w:szCs w:val="20"/>
          <w:color w:val="auto"/>
        </w:rPr>
      </w:pPr>
      <w:r>
        <w:rPr>
          <w:rFonts w:ascii="Courier New" w:cs="Courier New" w:eastAsia="Courier New" w:hAnsi="Courier New"/>
          <w:sz w:val="16"/>
          <w:szCs w:val="16"/>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315" w:lineRule="exact"/>
        <w:rPr>
          <w:sz w:val="20"/>
          <w:szCs w:val="20"/>
          <w:color w:val="auto"/>
        </w:rPr>
      </w:pPr>
    </w:p>
    <w:p>
      <w:pPr>
        <w:ind w:right="2239"/>
        <w:spacing w:after="0" w:line="251" w:lineRule="auto"/>
        <w:rPr>
          <w:sz w:val="20"/>
          <w:szCs w:val="20"/>
          <w:color w:val="auto"/>
        </w:rPr>
      </w:pPr>
      <w:r>
        <w:rPr>
          <w:rFonts w:ascii="Courier New" w:cs="Courier New" w:eastAsia="Courier New" w:hAnsi="Courier New"/>
          <w:sz w:val="16"/>
          <w:szCs w:val="16"/>
          <w:color w:val="auto"/>
        </w:rPr>
        <w:t>The filing of this statement should not be construed as an admission that Prudential Financial, Inc. is, for purposes of Sections 13 or 16 of the Securities Exchange Act of 1934, the beneficial owner of such shares.</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197" w:lineRule="exact"/>
        <w:rPr>
          <w:sz w:val="20"/>
          <w:szCs w:val="20"/>
          <w:color w:val="auto"/>
        </w:rPr>
      </w:pPr>
    </w:p>
    <w:p>
      <w:pPr>
        <w:ind w:right="2919"/>
        <w:spacing w:after="0" w:line="251" w:lineRule="auto"/>
        <w:rPr>
          <w:sz w:val="20"/>
          <w:szCs w:val="20"/>
          <w:color w:val="auto"/>
        </w:rPr>
      </w:pPr>
      <w:r>
        <w:rPr>
          <w:rFonts w:ascii="Courier New" w:cs="Courier New" w:eastAsia="Courier New" w:hAnsi="Courier New"/>
          <w:sz w:val="16"/>
          <w:szCs w:val="16"/>
          <w:color w:val="auto"/>
        </w:rPr>
        <w:t>After reasonable inquiry and to the best of its knowledge and belief, Prudential Financial, Inc. certifies that the information set forth in this statement is true, complete and correct.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PRUDENTIAL FINANCIAL, INC.</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Richard Baker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Second Vice President</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01/28/2016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of: 12/31/2015</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 OWNERSHIP:</w:t>
      </w:r>
    </w:p>
    <w:p>
      <w:pPr>
        <w:spacing w:after="0" w:line="359" w:lineRule="exact"/>
        <w:rPr>
          <w:sz w:val="20"/>
          <w:szCs w:val="20"/>
          <w:color w:val="auto"/>
        </w:rPr>
      </w:pPr>
    </w:p>
    <w:p>
      <w:pPr>
        <w:ind w:right="2719"/>
        <w:spacing w:after="0" w:line="252" w:lineRule="auto"/>
        <w:rPr>
          <w:sz w:val="20"/>
          <w:szCs w:val="20"/>
          <w:color w:val="auto"/>
        </w:rPr>
      </w:pPr>
      <w:r>
        <w:rPr>
          <w:rFonts w:ascii="Courier New" w:cs="Courier New" w:eastAsia="Courier New" w:hAnsi="Courier New"/>
          <w:sz w:val="16"/>
          <w:szCs w:val="16"/>
          <w:color w:val="auto"/>
        </w:rPr>
        <w:t>Through its parent/subsidiary relationship, Prudential Financial, Inc. may be deemed the beneficial owner of the same securities as the Item 7 listed</w:t>
      </w:r>
    </w:p>
    <w:p>
      <w:pPr>
        <w:sectPr>
          <w:pgSz w:w="11900" w:h="16838" w:orient="portrait"/>
          <w:cols w:equalWidth="0" w:num="1">
            <w:col w:w="10219"/>
          </w:cols>
          <w:pgMar w:left="240" w:top="140" w:right="1440" w:bottom="0" w:gutter="0" w:footer="0" w:header="0"/>
          <w:type w:val="continuous"/>
        </w:sectPr>
      </w:pPr>
    </w:p>
    <w:bookmarkStart w:id="2" w:name="page3"/>
    <w:bookmarkEnd w:id="2"/>
    <w:p>
      <w:pPr>
        <w:ind w:right="3499"/>
        <w:spacing w:after="0" w:line="252" w:lineRule="auto"/>
        <w:rPr>
          <w:sz w:val="20"/>
          <w:szCs w:val="20"/>
          <w:color w:val="auto"/>
        </w:rPr>
      </w:pPr>
      <w:r>
        <w:rPr>
          <w:rFonts w:ascii="Courier New" w:cs="Courier New" w:eastAsia="Courier New" w:hAnsi="Courier New"/>
          <w:sz w:val="16"/>
          <w:szCs w:val="16"/>
          <w:color w:val="auto"/>
        </w:rPr>
        <w:t>subsidiaries and may have direct or indirect voting and/or investment discretion over 3,181,412 shares.</w:t>
      </w:r>
    </w:p>
    <w:p>
      <w:pPr>
        <w:spacing w:after="0" w:line="187" w:lineRule="exact"/>
        <w:rPr>
          <w:sz w:val="20"/>
          <w:szCs w:val="20"/>
          <w:color w:val="auto"/>
        </w:rPr>
      </w:pPr>
    </w:p>
    <w:p>
      <w:pPr>
        <w:ind w:right="2539"/>
        <w:spacing w:after="0" w:line="250" w:lineRule="auto"/>
        <w:rPr>
          <w:sz w:val="20"/>
          <w:szCs w:val="20"/>
          <w:color w:val="auto"/>
        </w:rPr>
      </w:pPr>
      <w:r>
        <w:rPr>
          <w:rFonts w:ascii="Courier New" w:cs="Courier New" w:eastAsia="Courier New" w:hAnsi="Courier New"/>
          <w:sz w:val="16"/>
          <w:szCs w:val="16"/>
          <w:color w:val="auto"/>
        </w:rPr>
        <w:t>These shares were acquired in the ordinary course of business, and not with the purpose or effect of changing or influencing control of the Issuer. The filing of this statement should not be construed as an admission that Prudential Financial, Inc. is, for the purposes of Sections 13 or 16 of the Securities Exchange Act of 1934, the beneficial owner of these shares.</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7. IDENTIFICATION/CLASSIFICATION:</w:t>
      </w:r>
    </w:p>
    <w:p>
      <w:pPr>
        <w:spacing w:after="0" w:line="359" w:lineRule="exact"/>
        <w:rPr>
          <w:sz w:val="20"/>
          <w:szCs w:val="20"/>
          <w:color w:val="auto"/>
        </w:rPr>
      </w:pPr>
    </w:p>
    <w:p>
      <w:pPr>
        <w:jc w:val="both"/>
        <w:ind w:right="2539"/>
        <w:spacing w:after="0" w:line="251" w:lineRule="auto"/>
        <w:rPr>
          <w:sz w:val="20"/>
          <w:szCs w:val="20"/>
          <w:color w:val="auto"/>
        </w:rPr>
      </w:pPr>
      <w:r>
        <w:rPr>
          <w:rFonts w:ascii="Courier New" w:cs="Courier New" w:eastAsia="Courier New" w:hAnsi="Courier New"/>
          <w:sz w:val="16"/>
          <w:szCs w:val="16"/>
          <w:color w:val="auto"/>
        </w:rPr>
        <w:t>Prudential Financial, Inc. is a Parent Holding Company and the indirect parent of the following subsidiaries, who are the beneficial owners of the number and percentage of securities which are the subject of this filing as set forth next to their names: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4620" w:type="dxa"/>
            <w:vAlign w:val="bottom"/>
          </w:tcPr>
          <w:p>
            <w:pPr>
              <w:spacing w:after="0"/>
              <w:rPr>
                <w:sz w:val="20"/>
                <w:szCs w:val="20"/>
                <w:color w:val="auto"/>
              </w:rPr>
            </w:pPr>
            <w:r>
              <w:rPr>
                <w:rFonts w:ascii="Courier New" w:cs="Courier New" w:eastAsia="Courier New" w:hAnsi="Courier New"/>
                <w:sz w:val="16"/>
                <w:szCs w:val="16"/>
                <w:color w:val="auto"/>
              </w:rPr>
              <w:t>Subsidiaries</w:t>
            </w:r>
          </w:p>
        </w:tc>
        <w:tc>
          <w:tcPr>
            <w:tcW w:w="11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Courier New" w:cs="Courier New" w:eastAsia="Courier New" w:hAnsi="Courier New"/>
                <w:sz w:val="16"/>
                <w:szCs w:val="16"/>
                <w:color w:val="auto"/>
              </w:rPr>
              <w:t>Number of</w:t>
            </w:r>
          </w:p>
        </w:tc>
        <w:tc>
          <w:tcPr>
            <w:tcW w:w="1040" w:type="dxa"/>
            <w:vAlign w:val="bottom"/>
          </w:tcPr>
          <w:p>
            <w:pPr>
              <w:ind w:left="80"/>
              <w:spacing w:after="0"/>
              <w:rPr>
                <w:sz w:val="20"/>
                <w:szCs w:val="20"/>
                <w:color w:val="auto"/>
              </w:rPr>
            </w:pPr>
            <w:r>
              <w:rPr>
                <w:rFonts w:ascii="Courier New" w:cs="Courier New" w:eastAsia="Courier New" w:hAnsi="Courier New"/>
                <w:sz w:val="16"/>
                <w:szCs w:val="16"/>
                <w:color w:val="auto"/>
                <w:w w:val="97"/>
              </w:rPr>
              <w:t>Percentage</w:t>
            </w:r>
          </w:p>
        </w:tc>
      </w:tr>
      <w:tr>
        <w:trPr>
          <w:trHeight w:val="189"/>
        </w:trPr>
        <w:tc>
          <w:tcPr>
            <w:tcW w:w="46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Courier New" w:cs="Courier New" w:eastAsia="Courier New" w:hAnsi="Courier New"/>
                <w:sz w:val="16"/>
                <w:szCs w:val="16"/>
                <w:color w:val="auto"/>
              </w:rPr>
              <w:t>Shares</w:t>
            </w:r>
          </w:p>
        </w:tc>
        <w:tc>
          <w:tcPr>
            <w:tcW w:w="1040" w:type="dxa"/>
            <w:vAlign w:val="bottom"/>
          </w:tcPr>
          <w:p>
            <w:pPr>
              <w:spacing w:after="0"/>
              <w:rPr>
                <w:sz w:val="16"/>
                <w:szCs w:val="16"/>
                <w:color w:val="auto"/>
              </w:rPr>
            </w:pPr>
          </w:p>
        </w:tc>
      </w:tr>
      <w:tr>
        <w:trPr>
          <w:trHeight w:val="243"/>
        </w:trPr>
        <w:tc>
          <w:tcPr>
            <w:tcW w:w="4620" w:type="dxa"/>
            <w:vAlign w:val="bottom"/>
          </w:tcPr>
          <w:p>
            <w:pPr>
              <w:spacing w:after="0"/>
              <w:rPr>
                <w:sz w:val="20"/>
                <w:szCs w:val="20"/>
                <w:color w:val="auto"/>
              </w:rPr>
            </w:pPr>
            <w:r>
              <w:rPr>
                <w:rFonts w:ascii="Courier New" w:cs="Courier New" w:eastAsia="Courier New" w:hAnsi="Courier New"/>
                <w:sz w:val="16"/>
                <w:szCs w:val="16"/>
                <w:b w:val="1"/>
                <w:bCs w:val="1"/>
                <w:color w:val="auto"/>
              </w:rPr>
              <w:t>The Prudential Insurance Company of America</w:t>
            </w:r>
          </w:p>
        </w:tc>
        <w:tc>
          <w:tcPr>
            <w:tcW w:w="1120" w:type="dxa"/>
            <w:vAlign w:val="bottom"/>
          </w:tcPr>
          <w:p>
            <w:pPr>
              <w:ind w:left="420"/>
              <w:spacing w:after="0"/>
              <w:rPr>
                <w:sz w:val="20"/>
                <w:szCs w:val="20"/>
                <w:color w:val="auto"/>
              </w:rPr>
            </w:pPr>
            <w:r>
              <w:rPr>
                <w:rFonts w:ascii="Courier New" w:cs="Courier New" w:eastAsia="Courier New" w:hAnsi="Courier New"/>
                <w:sz w:val="16"/>
                <w:szCs w:val="16"/>
                <w:b w:val="1"/>
                <w:bCs w:val="1"/>
                <w:color w:val="auto"/>
              </w:rPr>
              <w:t>IC, IA</w:t>
            </w:r>
          </w:p>
        </w:tc>
        <w:tc>
          <w:tcPr>
            <w:tcW w:w="1080" w:type="dxa"/>
            <w:vAlign w:val="bottom"/>
          </w:tcPr>
          <w:p>
            <w:pPr>
              <w:jc w:val="center"/>
              <w:spacing w:after="0"/>
              <w:rPr>
                <w:sz w:val="20"/>
                <w:szCs w:val="20"/>
                <w:color w:val="auto"/>
              </w:rPr>
            </w:pPr>
            <w:r>
              <w:rPr>
                <w:rFonts w:ascii="Courier New" w:cs="Courier New" w:eastAsia="Courier New" w:hAnsi="Courier New"/>
                <w:sz w:val="16"/>
                <w:szCs w:val="16"/>
                <w:b w:val="1"/>
                <w:bCs w:val="1"/>
                <w:color w:val="auto"/>
              </w:rPr>
              <w:t>0</w:t>
            </w:r>
          </w:p>
        </w:tc>
        <w:tc>
          <w:tcPr>
            <w:tcW w:w="1040" w:type="dxa"/>
            <w:vAlign w:val="bottom"/>
          </w:tcPr>
          <w:p>
            <w:pPr>
              <w:jc w:val="center"/>
              <w:ind w:left="19"/>
              <w:spacing w:after="0"/>
              <w:rPr>
                <w:sz w:val="20"/>
                <w:szCs w:val="20"/>
                <w:color w:val="auto"/>
              </w:rPr>
            </w:pPr>
            <w:r>
              <w:rPr>
                <w:rFonts w:ascii="Courier New" w:cs="Courier New" w:eastAsia="Courier New" w:hAnsi="Courier New"/>
                <w:sz w:val="16"/>
                <w:szCs w:val="16"/>
                <w:b w:val="1"/>
                <w:bCs w:val="1"/>
                <w:color w:val="auto"/>
                <w:w w:val="98"/>
              </w:rPr>
              <w:t>0.00</w:t>
            </w:r>
          </w:p>
        </w:tc>
      </w:tr>
      <w:tr>
        <w:trPr>
          <w:trHeight w:val="243"/>
        </w:trPr>
        <w:tc>
          <w:tcPr>
            <w:tcW w:w="5740" w:type="dxa"/>
            <w:vAlign w:val="bottom"/>
            <w:gridSpan w:val="2"/>
          </w:tcPr>
          <w:p>
            <w:pPr>
              <w:spacing w:after="0"/>
              <w:rPr>
                <w:sz w:val="20"/>
                <w:szCs w:val="20"/>
                <w:color w:val="auto"/>
              </w:rPr>
            </w:pPr>
            <w:r>
              <w:rPr>
                <w:rFonts w:ascii="Courier New" w:cs="Courier New" w:eastAsia="Courier New" w:hAnsi="Courier New"/>
                <w:sz w:val="16"/>
                <w:szCs w:val="16"/>
                <w:b w:val="1"/>
                <w:bCs w:val="1"/>
                <w:color w:val="auto"/>
              </w:rPr>
              <w:t>Prudential Retirement Insurance and Annuity Company IC</w:t>
            </w:r>
          </w:p>
        </w:tc>
        <w:tc>
          <w:tcPr>
            <w:tcW w:w="1080" w:type="dxa"/>
            <w:vAlign w:val="bottom"/>
          </w:tcPr>
          <w:p>
            <w:pPr>
              <w:jc w:val="center"/>
              <w:spacing w:after="0"/>
              <w:rPr>
                <w:sz w:val="20"/>
                <w:szCs w:val="20"/>
                <w:color w:val="auto"/>
              </w:rPr>
            </w:pPr>
            <w:r>
              <w:rPr>
                <w:rFonts w:ascii="Courier New" w:cs="Courier New" w:eastAsia="Courier New" w:hAnsi="Courier New"/>
                <w:sz w:val="16"/>
                <w:szCs w:val="16"/>
                <w:b w:val="1"/>
                <w:bCs w:val="1"/>
                <w:color w:val="auto"/>
              </w:rPr>
              <w:t>229,600</w:t>
            </w:r>
          </w:p>
        </w:tc>
        <w:tc>
          <w:tcPr>
            <w:tcW w:w="1040" w:type="dxa"/>
            <w:vAlign w:val="bottom"/>
          </w:tcPr>
          <w:p>
            <w:pPr>
              <w:jc w:val="center"/>
              <w:ind w:left="19"/>
              <w:spacing w:after="0"/>
              <w:rPr>
                <w:sz w:val="20"/>
                <w:szCs w:val="20"/>
                <w:color w:val="auto"/>
              </w:rPr>
            </w:pPr>
            <w:r>
              <w:rPr>
                <w:rFonts w:ascii="Courier New" w:cs="Courier New" w:eastAsia="Courier New" w:hAnsi="Courier New"/>
                <w:sz w:val="16"/>
                <w:szCs w:val="16"/>
                <w:b w:val="1"/>
                <w:bCs w:val="1"/>
                <w:color w:val="auto"/>
                <w:w w:val="98"/>
              </w:rPr>
              <w:t>0.86</w:t>
            </w:r>
          </w:p>
        </w:tc>
      </w:tr>
      <w:tr>
        <w:trPr>
          <w:trHeight w:val="243"/>
        </w:trPr>
        <w:tc>
          <w:tcPr>
            <w:tcW w:w="4620" w:type="dxa"/>
            <w:vAlign w:val="bottom"/>
          </w:tcPr>
          <w:p>
            <w:pPr>
              <w:spacing w:after="0"/>
              <w:rPr>
                <w:sz w:val="20"/>
                <w:szCs w:val="20"/>
                <w:color w:val="auto"/>
              </w:rPr>
            </w:pPr>
            <w:r>
              <w:rPr>
                <w:rFonts w:ascii="Courier New" w:cs="Courier New" w:eastAsia="Courier New" w:hAnsi="Courier New"/>
                <w:sz w:val="16"/>
                <w:szCs w:val="16"/>
                <w:b w:val="1"/>
                <w:bCs w:val="1"/>
                <w:color w:val="auto"/>
              </w:rPr>
              <w:t>Jennison Associates LLC</w:t>
            </w:r>
          </w:p>
        </w:tc>
        <w:tc>
          <w:tcPr>
            <w:tcW w:w="1120" w:type="dxa"/>
            <w:vAlign w:val="bottom"/>
          </w:tcPr>
          <w:p>
            <w:pPr>
              <w:ind w:left="420"/>
              <w:spacing w:after="0"/>
              <w:rPr>
                <w:sz w:val="20"/>
                <w:szCs w:val="20"/>
                <w:color w:val="auto"/>
              </w:rPr>
            </w:pPr>
            <w:r>
              <w:rPr>
                <w:rFonts w:ascii="Courier New" w:cs="Courier New" w:eastAsia="Courier New" w:hAnsi="Courier New"/>
                <w:sz w:val="16"/>
                <w:szCs w:val="16"/>
                <w:b w:val="1"/>
                <w:bCs w:val="1"/>
                <w:color w:val="auto"/>
              </w:rPr>
              <w:t>IA</w:t>
            </w:r>
          </w:p>
        </w:tc>
        <w:tc>
          <w:tcPr>
            <w:tcW w:w="1080" w:type="dxa"/>
            <w:vAlign w:val="bottom"/>
          </w:tcPr>
          <w:p>
            <w:pPr>
              <w:jc w:val="center"/>
              <w:spacing w:after="0"/>
              <w:rPr>
                <w:sz w:val="20"/>
                <w:szCs w:val="20"/>
                <w:color w:val="auto"/>
              </w:rPr>
            </w:pPr>
            <w:r>
              <w:rPr>
                <w:rFonts w:ascii="Courier New" w:cs="Courier New" w:eastAsia="Courier New" w:hAnsi="Courier New"/>
                <w:sz w:val="16"/>
                <w:szCs w:val="16"/>
                <w:b w:val="1"/>
                <w:bCs w:val="1"/>
                <w:color w:val="auto"/>
              </w:rPr>
              <w:t>2,940,727</w:t>
            </w:r>
          </w:p>
        </w:tc>
        <w:tc>
          <w:tcPr>
            <w:tcW w:w="1040" w:type="dxa"/>
            <w:vAlign w:val="bottom"/>
          </w:tcPr>
          <w:p>
            <w:pPr>
              <w:jc w:val="center"/>
              <w:ind w:left="19"/>
              <w:spacing w:after="0"/>
              <w:rPr>
                <w:sz w:val="20"/>
                <w:szCs w:val="20"/>
                <w:color w:val="auto"/>
              </w:rPr>
            </w:pPr>
            <w:r>
              <w:rPr>
                <w:rFonts w:ascii="Courier New" w:cs="Courier New" w:eastAsia="Courier New" w:hAnsi="Courier New"/>
                <w:sz w:val="16"/>
                <w:szCs w:val="16"/>
                <w:b w:val="1"/>
                <w:bCs w:val="1"/>
                <w:color w:val="auto"/>
              </w:rPr>
              <w:t>10.96</w:t>
            </w:r>
          </w:p>
        </w:tc>
      </w:tr>
      <w:tr>
        <w:trPr>
          <w:trHeight w:val="243"/>
        </w:trPr>
        <w:tc>
          <w:tcPr>
            <w:tcW w:w="4620" w:type="dxa"/>
            <w:vAlign w:val="bottom"/>
          </w:tcPr>
          <w:p>
            <w:pPr>
              <w:spacing w:after="0"/>
              <w:rPr>
                <w:sz w:val="20"/>
                <w:szCs w:val="20"/>
                <w:color w:val="auto"/>
              </w:rPr>
            </w:pPr>
            <w:r>
              <w:rPr>
                <w:rFonts w:ascii="Courier New" w:cs="Courier New" w:eastAsia="Courier New" w:hAnsi="Courier New"/>
                <w:sz w:val="16"/>
                <w:szCs w:val="16"/>
                <w:b w:val="1"/>
                <w:bCs w:val="1"/>
                <w:color w:val="auto"/>
              </w:rPr>
              <w:t>PGIM, Inc.</w:t>
            </w:r>
          </w:p>
        </w:tc>
        <w:tc>
          <w:tcPr>
            <w:tcW w:w="1120" w:type="dxa"/>
            <w:vAlign w:val="bottom"/>
          </w:tcPr>
          <w:p>
            <w:pPr>
              <w:ind w:left="420"/>
              <w:spacing w:after="0"/>
              <w:rPr>
                <w:sz w:val="20"/>
                <w:szCs w:val="20"/>
                <w:color w:val="auto"/>
              </w:rPr>
            </w:pPr>
            <w:r>
              <w:rPr>
                <w:rFonts w:ascii="Courier New" w:cs="Courier New" w:eastAsia="Courier New" w:hAnsi="Courier New"/>
                <w:sz w:val="16"/>
                <w:szCs w:val="16"/>
                <w:b w:val="1"/>
                <w:bCs w:val="1"/>
                <w:color w:val="auto"/>
              </w:rPr>
              <w:t>IA</w:t>
            </w:r>
          </w:p>
        </w:tc>
        <w:tc>
          <w:tcPr>
            <w:tcW w:w="1080" w:type="dxa"/>
            <w:vAlign w:val="bottom"/>
          </w:tcPr>
          <w:p>
            <w:pPr>
              <w:jc w:val="center"/>
              <w:spacing w:after="0"/>
              <w:rPr>
                <w:sz w:val="20"/>
                <w:szCs w:val="20"/>
                <w:color w:val="auto"/>
              </w:rPr>
            </w:pPr>
            <w:r>
              <w:rPr>
                <w:rFonts w:ascii="Courier New" w:cs="Courier New" w:eastAsia="Courier New" w:hAnsi="Courier New"/>
                <w:sz w:val="16"/>
                <w:szCs w:val="16"/>
                <w:b w:val="1"/>
                <w:bCs w:val="1"/>
                <w:color w:val="auto"/>
              </w:rPr>
              <w:t>0</w:t>
            </w:r>
          </w:p>
        </w:tc>
        <w:tc>
          <w:tcPr>
            <w:tcW w:w="1040" w:type="dxa"/>
            <w:vAlign w:val="bottom"/>
          </w:tcPr>
          <w:p>
            <w:pPr>
              <w:jc w:val="center"/>
              <w:ind w:left="19"/>
              <w:spacing w:after="0"/>
              <w:rPr>
                <w:sz w:val="20"/>
                <w:szCs w:val="20"/>
                <w:color w:val="auto"/>
              </w:rPr>
            </w:pPr>
            <w:r>
              <w:rPr>
                <w:rFonts w:ascii="Courier New" w:cs="Courier New" w:eastAsia="Courier New" w:hAnsi="Courier New"/>
                <w:sz w:val="16"/>
                <w:szCs w:val="16"/>
                <w:b w:val="1"/>
                <w:bCs w:val="1"/>
                <w:color w:val="auto"/>
                <w:w w:val="98"/>
              </w:rPr>
              <w:t>0.00</w:t>
            </w:r>
          </w:p>
        </w:tc>
      </w:tr>
      <w:tr>
        <w:trPr>
          <w:trHeight w:val="243"/>
        </w:trPr>
        <w:tc>
          <w:tcPr>
            <w:tcW w:w="4620" w:type="dxa"/>
            <w:vAlign w:val="bottom"/>
          </w:tcPr>
          <w:p>
            <w:pPr>
              <w:spacing w:after="0"/>
              <w:rPr>
                <w:sz w:val="20"/>
                <w:szCs w:val="20"/>
                <w:color w:val="auto"/>
              </w:rPr>
            </w:pPr>
            <w:r>
              <w:rPr>
                <w:rFonts w:ascii="Courier New" w:cs="Courier New" w:eastAsia="Courier New" w:hAnsi="Courier New"/>
                <w:sz w:val="16"/>
                <w:szCs w:val="16"/>
                <w:b w:val="1"/>
                <w:bCs w:val="1"/>
                <w:color w:val="auto"/>
              </w:rPr>
              <w:t>Quantitative Management Associates LLC</w:t>
            </w:r>
          </w:p>
        </w:tc>
        <w:tc>
          <w:tcPr>
            <w:tcW w:w="1120" w:type="dxa"/>
            <w:vAlign w:val="bottom"/>
          </w:tcPr>
          <w:p>
            <w:pPr>
              <w:ind w:left="420"/>
              <w:spacing w:after="0"/>
              <w:rPr>
                <w:sz w:val="20"/>
                <w:szCs w:val="20"/>
                <w:color w:val="auto"/>
              </w:rPr>
            </w:pPr>
            <w:r>
              <w:rPr>
                <w:rFonts w:ascii="Courier New" w:cs="Courier New" w:eastAsia="Courier New" w:hAnsi="Courier New"/>
                <w:sz w:val="16"/>
                <w:szCs w:val="16"/>
                <w:b w:val="1"/>
                <w:bCs w:val="1"/>
                <w:color w:val="auto"/>
              </w:rPr>
              <w:t>IA</w:t>
            </w:r>
          </w:p>
        </w:tc>
        <w:tc>
          <w:tcPr>
            <w:tcW w:w="1080" w:type="dxa"/>
            <w:vAlign w:val="bottom"/>
          </w:tcPr>
          <w:p>
            <w:pPr>
              <w:jc w:val="center"/>
              <w:spacing w:after="0"/>
              <w:rPr>
                <w:sz w:val="20"/>
                <w:szCs w:val="20"/>
                <w:color w:val="auto"/>
              </w:rPr>
            </w:pPr>
            <w:r>
              <w:rPr>
                <w:rFonts w:ascii="Courier New" w:cs="Courier New" w:eastAsia="Courier New" w:hAnsi="Courier New"/>
                <w:sz w:val="16"/>
                <w:szCs w:val="16"/>
                <w:b w:val="1"/>
                <w:bCs w:val="1"/>
                <w:color w:val="auto"/>
              </w:rPr>
              <w:t>11,085</w:t>
            </w:r>
          </w:p>
        </w:tc>
        <w:tc>
          <w:tcPr>
            <w:tcW w:w="1040" w:type="dxa"/>
            <w:vAlign w:val="bottom"/>
          </w:tcPr>
          <w:p>
            <w:pPr>
              <w:jc w:val="center"/>
              <w:ind w:left="19"/>
              <w:spacing w:after="0"/>
              <w:rPr>
                <w:sz w:val="20"/>
                <w:szCs w:val="20"/>
                <w:color w:val="auto"/>
              </w:rPr>
            </w:pPr>
            <w:r>
              <w:rPr>
                <w:rFonts w:ascii="Courier New" w:cs="Courier New" w:eastAsia="Courier New" w:hAnsi="Courier New"/>
                <w:sz w:val="16"/>
                <w:szCs w:val="16"/>
                <w:b w:val="1"/>
                <w:bCs w:val="1"/>
                <w:color w:val="auto"/>
                <w:w w:val="98"/>
              </w:rPr>
              <w:t>0.04</w:t>
            </w:r>
          </w:p>
        </w:tc>
      </w:tr>
    </w:tbl>
    <w:p>
      <w:pPr>
        <w:spacing w:after="0" w:line="1" w:lineRule="exact"/>
        <w:rPr>
          <w:sz w:val="20"/>
          <w:szCs w:val="20"/>
          <w:color w:val="auto"/>
        </w:rPr>
      </w:pPr>
    </w:p>
    <w:sectPr>
      <w:pgSz w:w="11900" w:h="16838" w:orient="portrait"/>
      <w:cols w:equalWidth="0" w:num="1">
        <w:col w:w="10219"/>
      </w:cols>
      <w:pgMar w:left="24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3"/>
    </w:lvl>
  </w:abstractNum>
  <w:abstractNum w:abstractNumId="2">
    <w:nsid w:val="2AE8944A"/>
    <w:multiLevelType w:val="hybridMultilevel"/>
    <w:lvl w:ilvl="0">
      <w:lvlJc w:val="left"/>
      <w:lvlText w:val="%1)"/>
      <w:numFmt w:val="decimal"/>
      <w:start w:val="5"/>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2019-12-07T12:02:33Z</dcterms:created>
  <dcterms:modified xsi:type="dcterms:W3CDTF">2019-12-07T12:02:33Z</dcterms:modified>
</cp:coreProperties>
</file>