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United States 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5"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rFonts w:ascii="Courier New" w:cs="Courier New" w:eastAsia="Courier New" w:hAnsi="Courier New"/>
          <w:sz w:val="16"/>
          <w:szCs w:val="16"/>
          <w:color w:val="auto"/>
        </w:rPr>
      </w:pPr>
    </w:p>
    <w:p>
      <w:pPr>
        <w:ind w:left="380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FORM 8-K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Current Report</w:t>
      </w:r>
    </w:p>
    <w:p>
      <w:pPr>
        <w:jc w:val="center"/>
        <w:ind w:right="1779"/>
        <w:spacing w:after="0" w:line="238" w:lineRule="auto"/>
        <w:rPr>
          <w:sz w:val="20"/>
          <w:szCs w:val="20"/>
          <w:color w:val="auto"/>
        </w:rPr>
      </w:pPr>
      <w:r>
        <w:rPr>
          <w:rFonts w:ascii="Courier New" w:cs="Courier New" w:eastAsia="Courier New" w:hAnsi="Courier New"/>
          <w:sz w:val="18"/>
          <w:szCs w:val="18"/>
          <w:color w:val="auto"/>
        </w:rPr>
        <w:t>Pursuant To Section 13 or 15(d) of the Securities Exchange Act of 1934</w:t>
      </w:r>
    </w:p>
    <w:p>
      <w:pPr>
        <w:sectPr>
          <w:pgSz w:w="11900" w:h="16838" w:orient="portrait"/>
          <w:cols w:equalWidth="0" w:num="1">
            <w:col w:w="10219"/>
          </w:cols>
          <w:pgMar w:left="240" w:top="244" w:right="1440" w:bottom="1440" w:gutter="0" w:footer="0" w:header="0"/>
        </w:sectPr>
      </w:pPr>
    </w:p>
    <w:p>
      <w:pPr>
        <w:spacing w:after="0" w:line="200" w:lineRule="exact"/>
        <w:rPr>
          <w:sz w:val="24"/>
          <w:szCs w:val="24"/>
          <w:color w:val="auto"/>
        </w:rPr>
      </w:pPr>
    </w:p>
    <w:p>
      <w:pPr>
        <w:spacing w:after="0" w:line="210"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 (Date of earliest event reported):</w:t>
      </w:r>
    </w:p>
    <w:p>
      <w:pPr>
        <w:spacing w:after="0" w:line="20" w:lineRule="exact"/>
        <w:rPr>
          <w:sz w:val="24"/>
          <w:szCs w:val="24"/>
          <w:color w:val="auto"/>
        </w:rPr>
      </w:pPr>
      <w:r>
        <w:rPr>
          <w:sz w:val="24"/>
          <w:szCs w:val="24"/>
          <w:color w:val="auto"/>
        </w:rPr>
        <w:br w:type="column"/>
      </w:r>
    </w:p>
    <w:p>
      <w:pPr>
        <w:spacing w:after="0" w:line="3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December 17, 2004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160" w:space="640"/>
            <w:col w:w="4419"/>
          </w:cols>
          <w:pgMar w:left="240" w:top="244" w:right="1440" w:bottom="1440" w:gutter="0" w:footer="0" w:header="0"/>
          <w:type w:val="continuous"/>
        </w:sectPr>
      </w:pPr>
    </w:p>
    <w:p>
      <w:pPr>
        <w:spacing w:after="0" w:line="22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(Exact Name of Registrant as Specified in Charter)</w:t>
      </w:r>
    </w:p>
    <w:p>
      <w:pPr>
        <w:spacing w:after="0" w:line="200" w:lineRule="exact"/>
        <w:rPr>
          <w:sz w:val="24"/>
          <w:szCs w:val="24"/>
          <w:color w:val="auto"/>
        </w:rPr>
      </w:pPr>
    </w:p>
    <w:p>
      <w:pPr>
        <w:spacing w:after="0" w:line="204"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2260" w:type="dxa"/>
            <w:vAlign w:val="bottom"/>
          </w:tcPr>
          <w:p>
            <w:pPr>
              <w:spacing w:after="0"/>
              <w:rPr>
                <w:sz w:val="20"/>
                <w:szCs w:val="20"/>
                <w:color w:val="auto"/>
              </w:rPr>
            </w:pPr>
            <w:r>
              <w:rPr>
                <w:rFonts w:ascii="Courier New" w:cs="Courier New" w:eastAsia="Courier New" w:hAnsi="Courier New"/>
                <w:sz w:val="18"/>
                <w:szCs w:val="18"/>
                <w:color w:val="auto"/>
              </w:rPr>
              <w:t>Delaware</w:t>
            </w:r>
          </w:p>
        </w:tc>
        <w:tc>
          <w:tcPr>
            <w:tcW w:w="3060" w:type="dxa"/>
            <w:vAlign w:val="bottom"/>
          </w:tcPr>
          <w:p>
            <w:pPr>
              <w:jc w:val="right"/>
              <w:ind w:right="812"/>
              <w:spacing w:after="0"/>
              <w:rPr>
                <w:sz w:val="20"/>
                <w:szCs w:val="20"/>
                <w:color w:val="auto"/>
              </w:rPr>
            </w:pPr>
            <w:r>
              <w:rPr>
                <w:rFonts w:ascii="Courier New" w:cs="Courier New" w:eastAsia="Courier New" w:hAnsi="Courier New"/>
                <w:sz w:val="18"/>
                <w:szCs w:val="18"/>
                <w:color w:val="auto"/>
              </w:rPr>
              <w:t>0-23486</w:t>
            </w:r>
          </w:p>
        </w:tc>
        <w:tc>
          <w:tcPr>
            <w:tcW w:w="1940" w:type="dxa"/>
            <w:vAlign w:val="bottom"/>
          </w:tcPr>
          <w:p>
            <w:pPr>
              <w:jc w:val="right"/>
              <w:spacing w:after="0"/>
              <w:rPr>
                <w:sz w:val="20"/>
                <w:szCs w:val="20"/>
                <w:color w:val="auto"/>
              </w:rPr>
            </w:pPr>
            <w:r>
              <w:rPr>
                <w:rFonts w:ascii="Courier New" w:cs="Courier New" w:eastAsia="Courier New" w:hAnsi="Courier New"/>
                <w:sz w:val="18"/>
                <w:szCs w:val="18"/>
                <w:color w:val="auto"/>
              </w:rPr>
              <w:t>62-1096725</w:t>
            </w:r>
          </w:p>
        </w:tc>
      </w:tr>
    </w:tbl>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384" w:lineRule="exact"/>
        <w:rPr>
          <w:sz w:val="24"/>
          <w:szCs w:val="24"/>
          <w:color w:val="auto"/>
        </w:rPr>
      </w:pPr>
    </w:p>
    <w:p>
      <w:pPr>
        <w:ind w:left="320" w:right="1779" w:hanging="315"/>
        <w:spacing w:after="0" w:line="235" w:lineRule="auto"/>
        <w:rPr>
          <w:sz w:val="20"/>
          <w:szCs w:val="20"/>
          <w:color w:val="auto"/>
        </w:rPr>
      </w:pPr>
      <w:r>
        <w:rPr>
          <w:rFonts w:ascii="Courier New" w:cs="Courier New" w:eastAsia="Courier New" w:hAnsi="Courier New"/>
          <w:sz w:val="18"/>
          <w:szCs w:val="18"/>
          <w:color w:val="auto"/>
        </w:rPr>
        <w:t>(State or Other Jurisdiction of</w:t>
      </w:r>
      <w:r>
        <w:rPr>
          <w:sz w:val="20"/>
          <w:szCs w:val="20"/>
          <w:color w:val="auto"/>
        </w:rPr>
        <w:t xml:space="preserve"> </w:t>
      </w:r>
      <w:r>
        <w:rPr>
          <w:rFonts w:ascii="Courier New" w:cs="Courier New" w:eastAsia="Courier New" w:hAnsi="Courier New"/>
          <w:sz w:val="18"/>
          <w:szCs w:val="18"/>
          <w:color w:val="auto"/>
        </w:rPr>
        <w:t>(Commission (I.R.S. Employer Incorporation or Organization) File Number) Identification Number)</w:t>
      </w:r>
    </w:p>
    <w:p>
      <w:pPr>
        <w:spacing w:after="0" w:line="203" w:lineRule="exact"/>
        <w:rPr>
          <w:sz w:val="24"/>
          <w:szCs w:val="24"/>
          <w:color w:val="auto"/>
        </w:rPr>
      </w:pPr>
    </w:p>
    <w:p>
      <w:pPr>
        <w:ind w:left="1480"/>
        <w:spacing w:after="0"/>
        <w:rPr>
          <w:sz w:val="20"/>
          <w:szCs w:val="20"/>
          <w:color w:val="auto"/>
        </w:rPr>
      </w:pPr>
      <w:r>
        <w:rPr>
          <w:rFonts w:ascii="Courier New" w:cs="Courier New" w:eastAsia="Courier New" w:hAnsi="Courier New"/>
          <w:sz w:val="18"/>
          <w:szCs w:val="18"/>
          <w:color w:val="auto"/>
        </w:rPr>
        <w:t>2000 Waters Edge Drive, Johnson City, Tennessee 37604</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(Address of Principal Executive Offices) (Zip Code)</w:t>
      </w:r>
    </w:p>
    <w:p>
      <w:pPr>
        <w:sectPr>
          <w:pgSz w:w="11900" w:h="16838" w:orient="portrait"/>
          <w:cols w:equalWidth="0" w:num="1">
            <w:col w:w="10219"/>
          </w:cols>
          <w:pgMar w:left="240" w:top="244" w:right="1440" w:bottom="144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840"/>
        <w:spacing w:after="0"/>
        <w:rPr>
          <w:sz w:val="20"/>
          <w:szCs w:val="20"/>
          <w:color w:val="auto"/>
        </w:rPr>
      </w:pPr>
      <w:r>
        <w:rPr>
          <w:rFonts w:ascii="Courier New" w:cs="Courier New" w:eastAsia="Courier New" w:hAnsi="Courier New"/>
          <w:sz w:val="18"/>
          <w:szCs w:val="18"/>
          <w:color w:val="auto"/>
        </w:rPr>
        <w:t>(423) 743-9151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5380" w:space="420"/>
            <w:col w:w="4419"/>
          </w:cols>
          <w:pgMar w:left="240" w:top="244" w:right="1440" w:bottom="1440" w:gutter="0" w:footer="0" w:header="0"/>
          <w:type w:val="continuous"/>
        </w:sectPr>
      </w:pPr>
    </w:p>
    <w:p>
      <w:pPr>
        <w:spacing w:after="0" w:line="18"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Not Applicable</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8" w:lineRule="exact"/>
        <w:rPr>
          <w:sz w:val="24"/>
          <w:szCs w:val="24"/>
          <w:color w:val="auto"/>
        </w:rPr>
      </w:pPr>
    </w:p>
    <w:p>
      <w:pPr>
        <w:jc w:val="both"/>
        <w:ind w:left="1160" w:right="1779" w:hanging="1158"/>
        <w:spacing w:after="0" w:line="235" w:lineRule="auto"/>
        <w:tabs>
          <w:tab w:leader="none" w:pos="1140" w:val="left"/>
        </w:tabs>
        <w:rPr>
          <w:sz w:val="20"/>
          <w:szCs w:val="20"/>
          <w:color w:val="auto"/>
        </w:rPr>
      </w:pPr>
      <w:r>
        <w:rPr>
          <w:rFonts w:ascii="Courier New" w:cs="Courier New" w:eastAsia="Courier New" w:hAnsi="Courier New"/>
          <w:sz w:val="18"/>
          <w:szCs w:val="18"/>
          <w:color w:val="auto"/>
        </w:rPr>
        <w:t>Item 5.02</w:t>
        <w:tab/>
        <w:t>Departure of Directors or Principal Officers; Election of Director; Appointment of Principal Officers</w:t>
      </w:r>
    </w:p>
    <w:p>
      <w:pPr>
        <w:spacing w:after="0" w:line="208"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On December 17, 2004, the Company issued a press release announcing the resignation of its Chief Financial Officer Dave Dyckman who has accepted the position of Executive Vice President and Chief Financial Officer with Thermadyne Holdings Corporation.</w:t>
      </w:r>
    </w:p>
    <w:p>
      <w:pPr>
        <w:spacing w:after="0" w:line="202" w:lineRule="exact"/>
        <w:rPr>
          <w:sz w:val="24"/>
          <w:szCs w:val="24"/>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Item 9.01</w:t>
      </w:r>
      <w:r>
        <w:rPr>
          <w:sz w:val="20"/>
          <w:szCs w:val="20"/>
          <w:color w:val="auto"/>
        </w:rPr>
        <w:tab/>
      </w:r>
      <w:r>
        <w:rPr>
          <w:rFonts w:ascii="Courier New" w:cs="Courier New" w:eastAsia="Courier New" w:hAnsi="Courier New"/>
          <w:sz w:val="16"/>
          <w:szCs w:val="16"/>
          <w:color w:val="auto"/>
        </w:rPr>
        <w:t>Financial Statements and Exhibits.</w:t>
      </w:r>
    </w:p>
    <w:p>
      <w:pPr>
        <w:spacing w:after="0" w:line="207" w:lineRule="exact"/>
        <w:rPr>
          <w:sz w:val="24"/>
          <w:szCs w:val="24"/>
          <w:color w:val="auto"/>
        </w:rPr>
      </w:pPr>
    </w:p>
    <w:p>
      <w:pPr>
        <w:ind w:left="1580" w:right="3159" w:hanging="413"/>
        <w:spacing w:after="0" w:line="558" w:lineRule="auto"/>
        <w:tabs>
          <w:tab w:leader="none" w:pos="158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Exhibits. The following exhibits are filed herewith: 99.1 Press Release dated December 17, 2004.</w:t>
      </w:r>
    </w:p>
    <w:p>
      <w:pPr>
        <w:sectPr>
          <w:pgSz w:w="11900" w:h="16838" w:orient="portrait"/>
          <w:cols w:equalWidth="0" w:num="1">
            <w:col w:w="10219"/>
          </w:cols>
          <w:pgMar w:left="240" w:top="244" w:right="1440" w:bottom="1440" w:gutter="0" w:footer="0" w:header="0"/>
          <w:type w:val="continuous"/>
        </w:sectPr>
      </w:pPr>
    </w:p>
    <w:bookmarkStart w:id="1" w:name="page2"/>
    <w:bookmarkEnd w:id="1"/>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6"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NN, INC.</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December 21, 2004</w:t>
      </w:r>
    </w:p>
    <w:p>
      <w:pPr>
        <w:spacing w:after="0" w:line="20" w:lineRule="exact"/>
        <w:rPr>
          <w:sz w:val="20"/>
          <w:szCs w:val="20"/>
          <w:color w:val="auto"/>
        </w:rPr>
      </w:pPr>
      <w:r>
        <w:rPr>
          <w:sz w:val="20"/>
          <w:szCs w:val="20"/>
          <w:color w:val="auto"/>
        </w:rPr>
        <w:br w:type="column"/>
      </w:r>
    </w:p>
    <w:p>
      <w:pPr>
        <w:spacing w:after="0" w:line="38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William C. Kelly, Jr.,</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Secretary, Treasurer and Chief Administrative</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Officer</w:t>
      </w:r>
    </w:p>
    <w:p>
      <w:pPr>
        <w:sectPr>
          <w:pgSz w:w="11900" w:h="16838" w:orient="portrait"/>
          <w:cols w:equalWidth="0" w:num="3">
            <w:col w:w="640" w:space="320"/>
            <w:col w:w="2020" w:space="720"/>
            <w:col w:w="6519"/>
          </w:cols>
          <w:pgMar w:left="240" w:top="919" w:right="1440" w:bottom="1440" w:gutter="0" w:footer="0" w:header="0"/>
          <w:type w:val="continuous"/>
        </w:sectPr>
      </w:pPr>
    </w:p>
    <w:bookmarkStart w:id="2" w:name="page3"/>
    <w:bookmarkEnd w:id="2"/>
    <w:p>
      <w:pPr>
        <w:spacing w:after="0"/>
        <w:tabs>
          <w:tab w:leader="none" w:pos="2940" w:val="left"/>
        </w:tabs>
        <w:rPr>
          <w:sz w:val="20"/>
          <w:szCs w:val="20"/>
          <w:color w:val="auto"/>
        </w:rPr>
      </w:pPr>
      <w:r>
        <w:rPr>
          <w:rFonts w:ascii="Courier New" w:cs="Courier New" w:eastAsia="Courier New" w:hAnsi="Courier New"/>
          <w:sz w:val="18"/>
          <w:szCs w:val="18"/>
          <w:color w:val="auto"/>
        </w:rPr>
        <w:t>Exhibit No.</w:t>
      </w:r>
      <w:r>
        <w:rPr>
          <w:sz w:val="20"/>
          <w:szCs w:val="20"/>
          <w:color w:val="auto"/>
        </w:rPr>
        <w:tab/>
      </w:r>
      <w:r>
        <w:rPr>
          <w:rFonts w:ascii="Courier New" w:cs="Courier New" w:eastAsia="Courier New" w:hAnsi="Courier New"/>
          <w:sz w:val="16"/>
          <w:szCs w:val="16"/>
          <w:color w:val="auto"/>
        </w:rPr>
        <w:t>Description</w:t>
      </w:r>
    </w:p>
    <w:p>
      <w:pPr>
        <w:spacing w:after="0" w:line="201" w:lineRule="exact"/>
        <w:rPr>
          <w:sz w:val="20"/>
          <w:szCs w:val="20"/>
          <w:color w:val="auto"/>
        </w:rPr>
      </w:pPr>
    </w:p>
    <w:p>
      <w:pPr>
        <w:ind w:left="540"/>
        <w:spacing w:after="0"/>
        <w:tabs>
          <w:tab w:leader="none" w:pos="1880" w:val="left"/>
        </w:tabs>
        <w:rPr>
          <w:sz w:val="20"/>
          <w:szCs w:val="20"/>
          <w:color w:val="auto"/>
        </w:rPr>
      </w:pPr>
      <w:r>
        <w:rPr>
          <w:rFonts w:ascii="Courier New" w:cs="Courier New" w:eastAsia="Courier New" w:hAnsi="Courier New"/>
          <w:sz w:val="18"/>
          <w:szCs w:val="18"/>
          <w:color w:val="auto"/>
        </w:rPr>
        <w:t>99.1</w:t>
      </w:r>
      <w:r>
        <w:rPr>
          <w:sz w:val="20"/>
          <w:szCs w:val="20"/>
          <w:color w:val="auto"/>
        </w:rPr>
        <w:tab/>
      </w:r>
      <w:r>
        <w:rPr>
          <w:rFonts w:ascii="Courier New" w:cs="Courier New" w:eastAsia="Courier New" w:hAnsi="Courier New"/>
          <w:sz w:val="16"/>
          <w:szCs w:val="16"/>
          <w:color w:val="auto"/>
        </w:rPr>
        <w:t>Press Release of NN, Inc. dated December 17, 2004.</w:t>
      </w:r>
    </w:p>
    <w:p>
      <w:pPr>
        <w:sectPr>
          <w:pgSz w:w="11900" w:h="16838" w:orient="portrait"/>
          <w:cols w:equalWidth="0" w:num="1">
            <w:col w:w="10219"/>
          </w:cols>
          <w:pgMar w:left="240" w:top="919" w:right="1440" w:bottom="1440" w:gutter="0" w:footer="0" w:header="0"/>
        </w:sectPr>
      </w:pPr>
    </w:p>
    <w:bookmarkStart w:id="3" w:name="page4"/>
    <w:bookmarkEnd w:id="3"/>
    <w:p>
      <w:pPr>
        <w:ind w:left="7180"/>
        <w:spacing w:after="0"/>
        <w:rPr>
          <w:sz w:val="20"/>
          <w:szCs w:val="20"/>
          <w:color w:val="auto"/>
        </w:rPr>
      </w:pPr>
      <w:r>
        <w:rPr>
          <w:rFonts w:ascii="Courier New" w:cs="Courier New" w:eastAsia="Courier New" w:hAnsi="Courier New"/>
          <w:sz w:val="16"/>
          <w:szCs w:val="16"/>
          <w:color w:val="auto"/>
        </w:rPr>
        <w:t>EXHIBIT 99.1</w:t>
      </w:r>
    </w:p>
    <w:p>
      <w:pPr>
        <w:spacing w:after="0" w:line="21" w:lineRule="exact"/>
        <w:rPr>
          <w:sz w:val="20"/>
          <w:szCs w:val="20"/>
          <w:color w:val="auto"/>
        </w:rPr>
      </w:pPr>
    </w:p>
    <w:p>
      <w:pPr>
        <w:ind w:left="7180"/>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ind w:left="6120"/>
        <w:spacing w:after="0"/>
        <w:rPr>
          <w:sz w:val="20"/>
          <w:szCs w:val="20"/>
          <w:color w:val="auto"/>
        </w:rPr>
      </w:pPr>
      <w:r>
        <w:rPr>
          <w:rFonts w:ascii="Courier New" w:cs="Courier New" w:eastAsia="Courier New" w:hAnsi="Courier New"/>
          <w:sz w:val="18"/>
          <w:szCs w:val="18"/>
          <w:color w:val="auto"/>
        </w:rPr>
        <w:t>RE: NN, Inc.</w:t>
      </w:r>
    </w:p>
    <w:p>
      <w:pPr>
        <w:spacing w:after="0" w:line="4"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2000 Waters Edge Drive</w:t>
      </w:r>
    </w:p>
    <w:p>
      <w:pPr>
        <w:spacing w:after="0" w:line="21" w:lineRule="exact"/>
        <w:rPr>
          <w:sz w:val="20"/>
          <w:szCs w:val="20"/>
          <w:color w:val="auto"/>
        </w:rPr>
      </w:pPr>
    </w:p>
    <w:p>
      <w:pPr>
        <w:ind w:left="6120"/>
        <w:spacing w:after="0"/>
        <w:rPr>
          <w:sz w:val="20"/>
          <w:szCs w:val="20"/>
          <w:color w:val="auto"/>
        </w:rPr>
      </w:pPr>
      <w:r>
        <w:rPr>
          <w:rFonts w:ascii="Courier New" w:cs="Courier New" w:eastAsia="Courier New" w:hAnsi="Courier New"/>
          <w:sz w:val="16"/>
          <w:szCs w:val="16"/>
          <w:color w:val="auto"/>
        </w:rPr>
        <w:t>Johnson City, TN 37604</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FOR FURTHER INFORMATION:</w:t>
      </w:r>
    </w:p>
    <w:p>
      <w:pPr>
        <w:sectPr>
          <w:pgSz w:w="11900" w:h="16838" w:orient="portrait"/>
          <w:cols w:equalWidth="0" w:num="1">
            <w:col w:w="10219"/>
          </w:cols>
          <w:pgMar w:left="240" w:top="142" w:right="1440" w:bottom="1440" w:gutter="0" w:footer="0" w:header="0"/>
        </w:sectPr>
      </w:pP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AT THE COMPANY</w:t>
      </w:r>
    </w:p>
    <w:p>
      <w:pPr>
        <w:spacing w:after="0" w:line="238" w:lineRule="auto"/>
        <w:rPr>
          <w:sz w:val="20"/>
          <w:szCs w:val="20"/>
          <w:color w:val="auto"/>
        </w:rPr>
      </w:pPr>
      <w:r>
        <w:rPr>
          <w:rFonts w:ascii="Courier New" w:cs="Courier New" w:eastAsia="Courier New" w:hAnsi="Courier New"/>
          <w:sz w:val="18"/>
          <w:szCs w:val="18"/>
          <w:color w:val="auto"/>
        </w:rPr>
        <w:t>- --------------</w:t>
      </w:r>
    </w:p>
    <w:p>
      <w:pPr>
        <w:spacing w:after="0"/>
        <w:rPr>
          <w:sz w:val="20"/>
          <w:szCs w:val="20"/>
          <w:color w:val="auto"/>
        </w:rPr>
      </w:pPr>
      <w:r>
        <w:rPr>
          <w:rFonts w:ascii="Courier New" w:cs="Courier New" w:eastAsia="Courier New" w:hAnsi="Courier New"/>
          <w:sz w:val="18"/>
          <w:szCs w:val="18"/>
          <w:color w:val="auto"/>
        </w:rPr>
        <w:t>Will Kelly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Treasurer &amp; Manager of Investor Relations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(423) 743-9151</w:t>
      </w:r>
    </w:p>
    <w:p>
      <w:pPr>
        <w:spacing w:after="0" w:line="20" w:lineRule="exact"/>
        <w:rPr>
          <w:sz w:val="20"/>
          <w:szCs w:val="20"/>
          <w:color w:val="auto"/>
        </w:rPr>
      </w:pPr>
      <w:r>
        <w:rPr>
          <w:sz w:val="20"/>
          <w:szCs w:val="20"/>
          <w:color w:val="auto"/>
        </w:rPr>
        <w:br w:type="column"/>
      </w:r>
    </w:p>
    <w:p>
      <w:pPr>
        <w:spacing w:after="0" w:line="18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AT FINANCIAL RELATIONS BOARD</w:t>
      </w:r>
    </w:p>
    <w:p>
      <w:pPr>
        <w:spacing w:after="0" w:line="4"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Marilynn Meek</w:t>
      </w:r>
      <w:r>
        <w:rPr>
          <w:sz w:val="20"/>
          <w:szCs w:val="20"/>
          <w:color w:val="auto"/>
        </w:rPr>
        <w:tab/>
      </w:r>
      <w:r>
        <w:rPr>
          <w:rFonts w:ascii="Courier New" w:cs="Courier New" w:eastAsia="Courier New" w:hAnsi="Courier New"/>
          <w:sz w:val="16"/>
          <w:szCs w:val="16"/>
          <w:color w:val="auto"/>
        </w:rPr>
        <w:t>Susan Garland</w:t>
      </w:r>
    </w:p>
    <w:p>
      <w:pPr>
        <w:spacing w:after="0"/>
        <w:tabs>
          <w:tab w:leader="none" w:pos="1880" w:val="left"/>
        </w:tabs>
        <w:rPr>
          <w:sz w:val="20"/>
          <w:szCs w:val="20"/>
          <w:color w:val="auto"/>
        </w:rPr>
      </w:pPr>
      <w:r>
        <w:rPr>
          <w:rFonts w:ascii="Courier New" w:cs="Courier New" w:eastAsia="Courier New" w:hAnsi="Courier New"/>
          <w:sz w:val="18"/>
          <w:szCs w:val="18"/>
          <w:color w:val="auto"/>
        </w:rPr>
        <w:t>(General info)</w:t>
      </w:r>
      <w:r>
        <w:rPr>
          <w:sz w:val="20"/>
          <w:szCs w:val="20"/>
          <w:color w:val="auto"/>
        </w:rPr>
        <w:tab/>
      </w:r>
      <w:r>
        <w:rPr>
          <w:rFonts w:ascii="Courier New" w:cs="Courier New" w:eastAsia="Courier New" w:hAnsi="Courier New"/>
          <w:sz w:val="16"/>
          <w:szCs w:val="16"/>
          <w:color w:val="auto"/>
        </w:rPr>
        <w:t>(Analyst info)</w:t>
      </w:r>
    </w:p>
    <w:p>
      <w:pPr>
        <w:spacing w:after="0"/>
        <w:tabs>
          <w:tab w:leader="none" w:pos="1880" w:val="left"/>
        </w:tabs>
        <w:rPr>
          <w:sz w:val="20"/>
          <w:szCs w:val="20"/>
          <w:color w:val="auto"/>
        </w:rPr>
      </w:pPr>
      <w:r>
        <w:rPr>
          <w:rFonts w:ascii="Courier New" w:cs="Courier New" w:eastAsia="Courier New" w:hAnsi="Courier New"/>
          <w:sz w:val="18"/>
          <w:szCs w:val="18"/>
          <w:color w:val="auto"/>
        </w:rPr>
        <w:t>212-827-3773</w:t>
      </w:r>
      <w:r>
        <w:rPr>
          <w:sz w:val="20"/>
          <w:szCs w:val="20"/>
          <w:color w:val="auto"/>
        </w:rPr>
        <w:tab/>
      </w:r>
      <w:r>
        <w:rPr>
          <w:rFonts w:ascii="Courier New" w:cs="Courier New" w:eastAsia="Courier New" w:hAnsi="Courier New"/>
          <w:sz w:val="16"/>
          <w:szCs w:val="16"/>
          <w:color w:val="auto"/>
        </w:rPr>
        <w:t>212-827-3775</w:t>
      </w:r>
    </w:p>
    <w:p>
      <w:pPr>
        <w:spacing w:after="0" w:line="200" w:lineRule="exact"/>
        <w:rPr>
          <w:sz w:val="20"/>
          <w:szCs w:val="20"/>
          <w:color w:val="auto"/>
        </w:rPr>
      </w:pPr>
    </w:p>
    <w:p>
      <w:pPr>
        <w:sectPr>
          <w:pgSz w:w="11900" w:h="16838" w:orient="portrait"/>
          <w:cols w:equalWidth="0" w:num="2">
            <w:col w:w="4340" w:space="720"/>
            <w:col w:w="5159"/>
          </w:cols>
          <w:pgMar w:left="24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FOR IMMEDIATE RELEASE</w:t>
      </w:r>
    </w:p>
    <w:p>
      <w:pPr>
        <w:spacing w:after="0" w:line="238" w:lineRule="auto"/>
        <w:rPr>
          <w:sz w:val="20"/>
          <w:szCs w:val="20"/>
          <w:color w:val="auto"/>
        </w:rPr>
      </w:pPr>
      <w:r>
        <w:rPr>
          <w:rFonts w:ascii="Courier New" w:cs="Courier New" w:eastAsia="Courier New" w:hAnsi="Courier New"/>
          <w:sz w:val="18"/>
          <w:szCs w:val="18"/>
          <w:color w:val="auto"/>
        </w:rPr>
        <w:t>December 17, 2004</w:t>
      </w:r>
    </w:p>
    <w:p>
      <w:pPr>
        <w:spacing w:after="0" w:line="202"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NN, INC.'S CHIEF FINANCIAL OFFICER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RESIGNS TO ACCEPT NEW POSITION</w:t>
      </w:r>
    </w:p>
    <w:p>
      <w:pPr>
        <w:spacing w:after="0" w:line="207"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Johnson City, Tenn., December 17, 2004 - NN, Inc. (Nasdaq: NNBR) today announced that the Company's Chief Financial Officer, David L. Dyckman has resigned, effective January 14, 2005 to accept the position of Executive Vice President and Chief Financial Officer with Thermadyne Holdings Corporation (OTC: THMD.OB). In addition to his role as NN's Chief Financial Officer, which he held for the past six years, Mr. Dyckman was also responsible for corporate development initiatives.</w:t>
      </w:r>
    </w:p>
    <w:p>
      <w:pPr>
        <w:spacing w:after="0" w:line="211"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Roderick R. Baty, Chairman and Chief Executive Officer, commented, "Dave has been an important part of NN's management team and has made significant contributions to our success over the past six years. We will miss him and wish he and his family the very best as he assumes his new position at Thermadyne."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Management is currently working on Mr. Dyckman's replacement.</w:t>
      </w:r>
    </w:p>
    <w:p>
      <w:pPr>
        <w:spacing w:after="0" w:line="207" w:lineRule="exact"/>
        <w:rPr>
          <w:sz w:val="20"/>
          <w:szCs w:val="20"/>
          <w:color w:val="auto"/>
        </w:rPr>
      </w:pPr>
    </w:p>
    <w:p>
      <w:pPr>
        <w:jc w:val="both"/>
        <w:ind w:right="1779"/>
        <w:spacing w:after="0" w:line="275" w:lineRule="auto"/>
        <w:rPr>
          <w:sz w:val="20"/>
          <w:szCs w:val="20"/>
          <w:color w:val="auto"/>
        </w:rPr>
      </w:pPr>
      <w:r>
        <w:rPr>
          <w:rFonts w:ascii="Courier New" w:cs="Courier New" w:eastAsia="Courier New" w:hAnsi="Courier New"/>
          <w:sz w:val="16"/>
          <w:szCs w:val="16"/>
          <w:color w:val="auto"/>
        </w:rPr>
        <w:t>NN, Inc. manufacturers and supplies high precision bearing components consisting of balls, rollers, seals, and retainers for leading bearing manufacturers on a global basis. In addition, the company manufactures a variety of other plastic components. NN, Inc. had sales of US $253 million in 2003.</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2019-12-12T11:33:06Z</dcterms:created>
  <dcterms:modified xsi:type="dcterms:W3CDTF">2019-12-12T11:33:06Z</dcterms:modified>
</cp:coreProperties>
</file>