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4)1</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NN BALL &amp; ROLLER, INC.</w:t>
      </w:r>
    </w:p>
    <w:p>
      <w:pPr>
        <w:spacing w:after="0" w:line="2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629305103</w:t>
      </w:r>
    </w:p>
    <w:p>
      <w:pPr>
        <w:spacing w:after="0" w:line="2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right="3039"/>
        <w:spacing w:after="0" w:line="265"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ind w:right="315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6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201" w:lineRule="exact"/>
        <w:rPr>
          <w:sz w:val="24"/>
          <w:szCs w:val="24"/>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CUSIP No. 629305103 13G Page 2 of 7 Pages - ----------------------------------------------------------------</w:t>
      </w:r>
    </w:p>
    <w:p>
      <w:pPr>
        <w:ind w:left="1700" w:hanging="1692"/>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rPr>
          <w:sz w:val="20"/>
          <w:szCs w:val="20"/>
          <w:color w:val="auto"/>
        </w:rPr>
      </w:pPr>
      <w:r>
        <w:rPr>
          <w:rFonts w:ascii="Courier New" w:cs="Courier New" w:eastAsia="Courier New" w:hAnsi="Courier New"/>
          <w:sz w:val="18"/>
          <w:szCs w:val="18"/>
          <w:color w:val="auto"/>
        </w:rPr>
        <w:t>S.S. or I.R.S. identification no. of above persons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Wellington Management Company, LLP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04-2683227</w:t>
      </w:r>
    </w:p>
    <w:p>
      <w:pPr>
        <w:spacing w:after="0" w:line="238" w:lineRule="auto"/>
        <w:rPr>
          <w:sz w:val="20"/>
          <w:szCs w:val="20"/>
          <w:color w:val="auto"/>
        </w:rPr>
      </w:pPr>
      <w:r>
        <w:rPr>
          <w:rFonts w:ascii="Courier New" w:cs="Courier New" w:eastAsia="Courier New" w:hAnsi="Courier New"/>
          <w:sz w:val="18"/>
          <w:szCs w:val="18"/>
          <w:color w:val="auto"/>
        </w:rPr>
        <w:t>- ----------------------------------------------------------------</w:t>
      </w:r>
    </w:p>
    <w:p>
      <w:pPr>
        <w:ind w:left="1700" w:hanging="1692"/>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w:t>
      </w: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w:t>
      </w:r>
    </w:p>
    <w:p>
      <w:pPr>
        <w:ind w:left="1700" w:hanging="1692"/>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4"/>
          <w:szCs w:val="24"/>
          <w:color w:val="auto"/>
        </w:rPr>
      </w:pPr>
    </w:p>
    <w:p>
      <w:pPr>
        <w:ind w:left="1700" w:hanging="1692"/>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Massachusetts</w:t>
      </w:r>
    </w:p>
    <w:p>
      <w:pPr>
        <w:spacing w:after="0" w:line="169"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6760" w:hanging="852"/>
        <w:spacing w:after="0" w:line="238" w:lineRule="auto"/>
        <w:tabs>
          <w:tab w:leader="none" w:pos="67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36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Number of</w:t>
            </w: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6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vMerge w:val="continue"/>
          </w:tcPr>
          <w:p>
            <w:pPr>
              <w:spacing w:after="0"/>
              <w:rPr>
                <w:sz w:val="17"/>
                <w:szCs w:val="17"/>
                <w:color w:val="auto"/>
              </w:rPr>
            </w:pPr>
          </w:p>
        </w:tc>
        <w:tc>
          <w:tcPr>
            <w:tcW w:w="1680" w:type="dxa"/>
            <w:vAlign w:val="bottom"/>
            <w:vMerge w:val="restart"/>
          </w:tcPr>
          <w:p>
            <w:pPr>
              <w:jc w:val="right"/>
              <w:spacing w:after="0"/>
              <w:rPr>
                <w:sz w:val="20"/>
                <w:szCs w:val="20"/>
                <w:color w:val="auto"/>
              </w:rPr>
            </w:pPr>
            <w:r>
              <w:rPr>
                <w:rFonts w:ascii="Courier New" w:cs="Courier New" w:eastAsia="Courier New" w:hAnsi="Courier New"/>
                <w:sz w:val="20"/>
                <w:szCs w:val="20"/>
                <w:color w:val="auto"/>
                <w:w w:val="73"/>
                <w:vertAlign w:val="subscript"/>
              </w:rPr>
              <w:t>6.</w:t>
            </w:r>
            <w:r>
              <w:rPr>
                <w:rFonts w:ascii="Courier New" w:cs="Courier New" w:eastAsia="Courier New" w:hAnsi="Courier New"/>
                <w:sz w:val="12"/>
                <w:szCs w:val="12"/>
                <w:color w:val="auto"/>
                <w:w w:val="73"/>
              </w:rPr>
              <w:t>-----------------------------</w:t>
            </w:r>
          </w:p>
        </w:tc>
        <w:tc>
          <w:tcPr>
            <w:tcW w:w="31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shares</w:t>
            </w:r>
          </w:p>
        </w:tc>
        <w:tc>
          <w:tcPr>
            <w:tcW w:w="1680" w:type="dxa"/>
            <w:vAlign w:val="bottom"/>
            <w:vMerge w:val="continue"/>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16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Courier New" w:cs="Courier New" w:eastAsia="Courier New" w:hAnsi="Courier New"/>
                <w:sz w:val="18"/>
                <w:szCs w:val="18"/>
                <w:color w:val="auto"/>
              </w:rPr>
              <w:t>733,750</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owned by</w:t>
            </w:r>
          </w:p>
        </w:tc>
        <w:tc>
          <w:tcPr>
            <w:tcW w:w="16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1680" w:type="dxa"/>
            <w:vAlign w:val="bottom"/>
          </w:tcPr>
          <w:p>
            <w:pPr>
              <w:jc w:val="right"/>
              <w:spacing w:after="0"/>
              <w:rPr>
                <w:sz w:val="20"/>
                <w:szCs w:val="20"/>
                <w:color w:val="auto"/>
              </w:rPr>
            </w:pPr>
            <w:r>
              <w:rPr>
                <w:rFonts w:ascii="Courier New" w:cs="Courier New" w:eastAsia="Courier New" w:hAnsi="Courier New"/>
                <w:sz w:val="13"/>
                <w:szCs w:val="13"/>
                <w:color w:val="auto"/>
                <w:w w:val="73"/>
              </w:rPr>
              <w:t>-----------------------------</w:t>
            </w:r>
          </w:p>
        </w:tc>
        <w:tc>
          <w:tcPr>
            <w:tcW w:w="800" w:type="dxa"/>
            <w:vAlign w:val="bottom"/>
            <w:vMerge w:val="restart"/>
          </w:tcPr>
          <w:p>
            <w:pPr>
              <w:spacing w:after="0"/>
              <w:rPr>
                <w:sz w:val="20"/>
                <w:szCs w:val="20"/>
                <w:color w:val="auto"/>
              </w:rPr>
            </w:pPr>
            <w:r>
              <w:rPr>
                <w:rFonts w:ascii="Courier New" w:cs="Courier New" w:eastAsia="Courier New" w:hAnsi="Courier New"/>
                <w:sz w:val="18"/>
                <w:szCs w:val="18"/>
                <w:color w:val="auto"/>
              </w:rPr>
              <w:t>7.</w:t>
            </w:r>
          </w:p>
        </w:tc>
        <w:tc>
          <w:tcPr>
            <w:tcW w:w="23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5"/>
              </w:rPr>
              <w:t>Sole Dispositive Power</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reporting</w:t>
            </w:r>
          </w:p>
        </w:tc>
        <w:tc>
          <w:tcPr>
            <w:tcW w:w="16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person</w:t>
            </w:r>
          </w:p>
        </w:tc>
        <w:tc>
          <w:tcPr>
            <w:tcW w:w="16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Courier New" w:cs="Courier New" w:eastAsia="Courier New" w:hAnsi="Courier New"/>
                <w:sz w:val="18"/>
                <w:szCs w:val="18"/>
                <w:color w:val="auto"/>
              </w:rPr>
              <w:t>0</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16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40" w:type="dxa"/>
            <w:vAlign w:val="bottom"/>
            <w:vMerge w:val="restart"/>
          </w:tcPr>
          <w:p>
            <w:pPr>
              <w:spacing w:after="0"/>
              <w:rPr>
                <w:sz w:val="20"/>
                <w:szCs w:val="20"/>
                <w:color w:val="auto"/>
              </w:rPr>
            </w:pPr>
            <w:r>
              <w:rPr>
                <w:rFonts w:ascii="Courier New" w:cs="Courier New" w:eastAsia="Courier New" w:hAnsi="Courier New"/>
                <w:sz w:val="18"/>
                <w:szCs w:val="18"/>
                <w:color w:val="auto"/>
              </w:rPr>
              <w:t>8.</w:t>
            </w:r>
          </w:p>
        </w:tc>
        <w:tc>
          <w:tcPr>
            <w:tcW w:w="36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Shared Dispositive Power</w:t>
            </w:r>
          </w:p>
        </w:tc>
        <w:tc>
          <w:tcPr>
            <w:tcW w:w="168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0" w:type="dxa"/>
            <w:vAlign w:val="bottom"/>
            <w:vMerge w:val="continue"/>
          </w:tcPr>
          <w:p>
            <w:pPr>
              <w:spacing w:after="0"/>
              <w:rPr>
                <w:sz w:val="17"/>
                <w:szCs w:val="17"/>
                <w:color w:val="auto"/>
              </w:rPr>
            </w:pPr>
          </w:p>
        </w:tc>
        <w:tc>
          <w:tcPr>
            <w:tcW w:w="368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1,429,450</w:t>
            </w:r>
          </w:p>
        </w:tc>
        <w:tc>
          <w:tcPr>
            <w:tcW w:w="0" w:type="dxa"/>
            <w:vAlign w:val="bottom"/>
          </w:tcPr>
          <w:p>
            <w:pPr>
              <w:spacing w:after="0"/>
              <w:rPr>
                <w:sz w:val="1"/>
                <w:szCs w:val="1"/>
                <w:color w:val="auto"/>
              </w:rPr>
            </w:pPr>
          </w:p>
        </w:tc>
      </w:tr>
      <w:tr>
        <w:trPr>
          <w:trHeight w:val="109"/>
        </w:trPr>
        <w:tc>
          <w:tcPr>
            <w:tcW w:w="5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90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8520" w:type="dxa"/>
            <w:vAlign w:val="bottom"/>
            <w:gridSpan w:val="4"/>
          </w:tcPr>
          <w:p>
            <w:pPr>
              <w:ind w:left="1160"/>
              <w:spacing w:after="0"/>
              <w:rPr>
                <w:sz w:val="20"/>
                <w:szCs w:val="20"/>
                <w:color w:val="auto"/>
              </w:rPr>
            </w:pPr>
            <w:r>
              <w:rPr>
                <w:rFonts w:ascii="Courier New" w:cs="Courier New" w:eastAsia="Courier New" w:hAnsi="Courier New"/>
                <w:sz w:val="18"/>
                <w:szCs w:val="18"/>
                <w:color w:val="auto"/>
              </w:rPr>
              <w:t>Aggregate amount beneficially owned by each reporting person</w:t>
            </w:r>
          </w:p>
        </w:tc>
        <w:tc>
          <w:tcPr>
            <w:tcW w:w="0" w:type="dxa"/>
            <w:vAlign w:val="bottom"/>
          </w:tcPr>
          <w:p>
            <w:pPr>
              <w:spacing w:after="0"/>
              <w:rPr>
                <w:sz w:val="1"/>
                <w:szCs w:val="1"/>
                <w:color w:val="auto"/>
              </w:rPr>
            </w:pPr>
          </w:p>
        </w:tc>
      </w:tr>
    </w:tbl>
    <w:p>
      <w:pPr>
        <w:sectPr>
          <w:pgSz w:w="11900" w:h="16921" w:orient="portrait"/>
          <w:cols w:equalWidth="0" w:num="1">
            <w:col w:w="10219"/>
          </w:cols>
          <w:pgMar w:left="240" w:top="623"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1,429,450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jc w:val="both"/>
        <w:ind w:left="10960"/>
        <w:spacing w:after="0"/>
        <w:tabs>
          <w:tab w:leader="none" w:pos="11360" w:val="left"/>
        </w:tabs>
        <w:rPr>
          <w:sz w:val="20"/>
          <w:szCs w:val="20"/>
          <w:color w:val="auto"/>
        </w:rPr>
      </w:pPr>
      <w:r>
        <w:rPr>
          <w:rFonts w:ascii="Courier New" w:cs="Courier New" w:eastAsia="Courier New" w:hAnsi="Courier New"/>
          <w:sz w:val="18"/>
          <w:szCs w:val="18"/>
          <w:color w:val="auto"/>
        </w:rPr>
        <w:t>[</w:t>
        <w:tab/>
        <w:t>]</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9.66%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IA, HC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629305103</w:t>
            </w:r>
          </w:p>
        </w:tc>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20"/>
              <w:spacing w:after="0"/>
              <w:rPr>
                <w:sz w:val="20"/>
                <w:szCs w:val="20"/>
                <w:color w:val="auto"/>
              </w:rPr>
            </w:pPr>
            <w:r>
              <w:rPr>
                <w:rFonts w:ascii="Courier New" w:cs="Courier New" w:eastAsia="Courier New" w:hAnsi="Courier New"/>
                <w:sz w:val="18"/>
                <w:szCs w:val="18"/>
                <w:color w:val="auto"/>
                <w:w w:val="95"/>
              </w:rPr>
              <w:t>Page 3 of 7 Pages</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Name of Issuer:</w:t>
            </w:r>
          </w:p>
        </w:tc>
        <w:tc>
          <w:tcPr>
            <w:tcW w:w="152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BALL &amp; ROLLER, INC.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 Tennessee Road</w:t>
      </w:r>
    </w:p>
    <w:p>
      <w:pPr>
        <w:spacing w:after="0" w:line="3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Erwin TN</w:t>
      </w:r>
      <w:r>
        <w:rPr>
          <w:sz w:val="20"/>
          <w:szCs w:val="20"/>
          <w:color w:val="auto"/>
        </w:rPr>
        <w:tab/>
      </w:r>
      <w:r>
        <w:rPr>
          <w:rFonts w:ascii="Courier New" w:cs="Courier New" w:eastAsia="Courier New" w:hAnsi="Courier New"/>
          <w:sz w:val="16"/>
          <w:szCs w:val="16"/>
          <w:color w:val="auto"/>
        </w:rPr>
        <w:t>37650</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Residence: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 State Street</w:t>
      </w:r>
    </w:p>
    <w:p>
      <w:pPr>
        <w:spacing w:after="0" w:line="31"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629305103</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spacing w:after="0" w:line="31"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8"/>
          <w:szCs w:val="18"/>
          <w:color w:val="auto"/>
        </w:rPr>
        <w:t>13d-2(b), check whether the person filing is a:</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296"/>
        </w:trPr>
        <w:tc>
          <w:tcPr>
            <w:tcW w:w="680" w:type="dxa"/>
            <w:vAlign w:val="bottom"/>
          </w:tcPr>
          <w:p>
            <w:pPr>
              <w:spacing w:after="0"/>
              <w:rPr>
                <w:sz w:val="20"/>
                <w:szCs w:val="20"/>
                <w:color w:val="auto"/>
              </w:rPr>
            </w:pPr>
            <w:r>
              <w:rPr>
                <w:rFonts w:ascii="Courier New" w:cs="Courier New" w:eastAsia="Courier New" w:hAnsi="Courier New"/>
                <w:sz w:val="18"/>
                <w:szCs w:val="18"/>
                <w:color w:val="auto"/>
              </w:rPr>
              <w:t>(a)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62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Broker or Dealer registered under Section 15 of the Act,</w:t>
            </w: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(b)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Bank as defined in</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Section 3(a)(6) of the Act,</w:t>
            </w:r>
          </w:p>
        </w:tc>
      </w:tr>
      <w:tr>
        <w:trPr>
          <w:trHeight w:val="311"/>
        </w:trPr>
        <w:tc>
          <w:tcPr>
            <w:tcW w:w="680" w:type="dxa"/>
            <w:vAlign w:val="bottom"/>
          </w:tcPr>
          <w:p>
            <w:pPr>
              <w:spacing w:after="0"/>
              <w:rPr>
                <w:sz w:val="20"/>
                <w:szCs w:val="20"/>
                <w:color w:val="auto"/>
              </w:rPr>
            </w:pPr>
            <w:r>
              <w:rPr>
                <w:rFonts w:ascii="Courier New" w:cs="Courier New" w:eastAsia="Courier New" w:hAnsi="Courier New"/>
                <w:sz w:val="18"/>
                <w:szCs w:val="18"/>
                <w:color w:val="auto"/>
              </w:rPr>
              <w:t>(c)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62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8"/>
              </w:rPr>
              <w:t>Insurance Company as defined in Section 3(a)(19) of the</w:t>
            </w:r>
          </w:p>
        </w:tc>
      </w:tr>
      <w:tr>
        <w:trPr>
          <w:trHeight w:val="296"/>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rPr>
              <w:t>Act,</w:t>
            </w:r>
          </w:p>
        </w:tc>
        <w:tc>
          <w:tcPr>
            <w:tcW w:w="3960" w:type="dxa"/>
            <w:vAlign w:val="bottom"/>
          </w:tcPr>
          <w:p>
            <w:pPr>
              <w:spacing w:after="0"/>
              <w:rPr>
                <w:sz w:val="24"/>
                <w:szCs w:val="24"/>
                <w:color w:val="auto"/>
              </w:rPr>
            </w:pPr>
          </w:p>
        </w:tc>
      </w:tr>
      <w:tr>
        <w:trPr>
          <w:trHeight w:val="311"/>
        </w:trPr>
        <w:tc>
          <w:tcPr>
            <w:tcW w:w="680" w:type="dxa"/>
            <w:vAlign w:val="bottom"/>
          </w:tcPr>
          <w:p>
            <w:pPr>
              <w:spacing w:after="0"/>
              <w:rPr>
                <w:sz w:val="20"/>
                <w:szCs w:val="20"/>
                <w:color w:val="auto"/>
              </w:rPr>
            </w:pPr>
            <w:r>
              <w:rPr>
                <w:rFonts w:ascii="Courier New" w:cs="Courier New" w:eastAsia="Courier New" w:hAnsi="Courier New"/>
                <w:sz w:val="18"/>
                <w:szCs w:val="18"/>
                <w:color w:val="auto"/>
              </w:rPr>
              <w:t>(d)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Investment Company</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registered under Section 8 of the</w:t>
            </w:r>
          </w:p>
        </w:tc>
      </w:tr>
      <w:tr>
        <w:trPr>
          <w:trHeight w:val="296"/>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Investment Company</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Act,</w:t>
            </w:r>
          </w:p>
        </w:tc>
      </w:tr>
    </w:tbl>
    <w:p>
      <w:pPr>
        <w:spacing w:after="0" w:line="109" w:lineRule="exact"/>
        <w:rPr>
          <w:sz w:val="20"/>
          <w:szCs w:val="20"/>
          <w:color w:val="auto"/>
        </w:rPr>
      </w:pPr>
    </w:p>
    <w:p>
      <w:pPr>
        <w:ind w:left="3380" w:right="2440" w:hanging="1686"/>
        <w:spacing w:after="0" w:line="347" w:lineRule="auto"/>
        <w:tabs>
          <w:tab w:leader="none" w:pos="21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]Investment Adviser registered under Section 203 of the Investment Advisers Act of 1940,</w:t>
      </w:r>
    </w:p>
    <w:p>
      <w:pPr>
        <w:sectPr>
          <w:pgSz w:w="11900" w:h="16838" w:orient="portrait"/>
          <w:cols w:equalWidth="0" w:num="1">
            <w:col w:w="11500"/>
          </w:cols>
          <w:pgMar w:left="240" w:top="312" w:right="159" w:bottom="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629305103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200" w:lineRule="exact"/>
        <w:rPr>
          <w:sz w:val="20"/>
          <w:szCs w:val="20"/>
          <w:color w:val="auto"/>
        </w:rPr>
      </w:pPr>
    </w:p>
    <w:p>
      <w:pPr>
        <w:sectPr>
          <w:pgSz w:w="11900" w:h="16838" w:orient="portrait"/>
          <w:cols w:equalWidth="0" w:num="3">
            <w:col w:w="2760" w:space="720"/>
            <w:col w:w="1820" w:space="720"/>
            <w:col w:w="5480"/>
          </w:cols>
          <w:pgMar w:left="240" w:top="312" w:right="159" w:bottom="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120"/>
        <w:spacing w:after="0" w:line="344" w:lineRule="auto"/>
        <w:rPr>
          <w:sz w:val="20"/>
          <w:szCs w:val="20"/>
          <w:color w:val="auto"/>
        </w:rPr>
      </w:pP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13d-1(b)(1)(ii)(F),</w:t>
      </w:r>
    </w:p>
    <w:p>
      <w:pPr>
        <w:spacing w:after="0" w:line="31" w:lineRule="exact"/>
        <w:rPr>
          <w:sz w:val="20"/>
          <w:szCs w:val="20"/>
          <w:color w:val="auto"/>
        </w:rPr>
      </w:pPr>
    </w:p>
    <w:p>
      <w:pPr>
        <w:sectPr>
          <w:pgSz w:w="11900" w:h="16838" w:orient="portrait"/>
          <w:cols w:equalWidth="0" w:num="3">
            <w:col w:w="2220" w:space="320"/>
            <w:col w:w="120" w:space="720"/>
            <w:col w:w="8120"/>
          </w:cols>
          <w:pgMar w:left="240" w:top="312" w:right="159" w:bottom="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(g) [ X ]</w:t>
      </w:r>
    </w:p>
    <w:p>
      <w:pPr>
        <w:spacing w:after="0" w:line="20" w:lineRule="exact"/>
        <w:rPr>
          <w:sz w:val="20"/>
          <w:szCs w:val="20"/>
          <w:color w:val="auto"/>
        </w:rPr>
      </w:pPr>
      <w:r>
        <w:rPr>
          <w:sz w:val="20"/>
          <w:szCs w:val="20"/>
          <w:color w:val="auto"/>
        </w:rPr>
        <w:br w:type="column"/>
      </w:r>
    </w:p>
    <w:p>
      <w:pPr>
        <w:ind w:right="2640"/>
        <w:spacing w:after="0" w:line="347" w:lineRule="auto"/>
        <w:rPr>
          <w:sz w:val="20"/>
          <w:szCs w:val="20"/>
          <w:color w:val="auto"/>
        </w:rPr>
      </w:pPr>
      <w:r>
        <w:rPr>
          <w:rFonts w:ascii="Courier New" w:cs="Courier New" w:eastAsia="Courier New" w:hAnsi="Courier New"/>
          <w:sz w:val="18"/>
          <w:szCs w:val="18"/>
          <w:color w:val="auto"/>
        </w:rPr>
        <w:t>Parent Holding Company, in accordance with Rule 13d-1(b)(1)(ii)(G); see Item 7,</w:t>
      </w:r>
    </w:p>
    <w:p>
      <w:pPr>
        <w:spacing w:after="0" w:line="18" w:lineRule="exact"/>
        <w:rPr>
          <w:sz w:val="20"/>
          <w:szCs w:val="20"/>
          <w:color w:val="auto"/>
        </w:rPr>
      </w:pPr>
    </w:p>
    <w:p>
      <w:pPr>
        <w:sectPr>
          <w:pgSz w:w="11900" w:h="16838" w:orient="portrait"/>
          <w:cols w:equalWidth="0" w:num="2">
            <w:col w:w="2660" w:space="720"/>
            <w:col w:w="8120"/>
          </w:cols>
          <w:pgMar w:left="240" w:top="312" w:right="159" w:bottom="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(h)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Group, in accordance with Rule 13d-1(b)(1)(ii)(H).</w:t>
      </w:r>
    </w:p>
    <w:p>
      <w:pPr>
        <w:spacing w:after="0" w:line="200" w:lineRule="exact"/>
        <w:rPr>
          <w:sz w:val="20"/>
          <w:szCs w:val="20"/>
          <w:color w:val="auto"/>
        </w:rPr>
      </w:pPr>
    </w:p>
    <w:p>
      <w:pPr>
        <w:sectPr>
          <w:pgSz w:w="11900" w:h="16838" w:orient="portrait"/>
          <w:cols w:equalWidth="0" w:num="3">
            <w:col w:w="2220" w:space="320"/>
            <w:col w:w="120" w:space="720"/>
            <w:col w:w="8120"/>
          </w:cols>
          <w:pgMar w:left="240" w:top="312" w:right="15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ectPr>
          <w:pgSz w:w="11900" w:h="16838" w:orient="portrait"/>
          <w:cols w:equalWidth="0" w:num="1">
            <w:col w:w="11500"/>
          </w:cols>
          <w:pgMar w:left="240" w:top="312" w:right="159" w:bottom="0" w:gutter="0" w:footer="0" w:header="0"/>
          <w:type w:val="continuous"/>
        </w:sectPr>
      </w:pPr>
    </w:p>
    <w:p>
      <w:pPr>
        <w:spacing w:after="0" w:line="224" w:lineRule="exact"/>
        <w:rPr>
          <w:sz w:val="20"/>
          <w:szCs w:val="20"/>
          <w:color w:val="auto"/>
        </w:rPr>
      </w:pPr>
    </w:p>
    <w:p>
      <w:pPr>
        <w:ind w:right="4540" w:firstLine="851"/>
        <w:spacing w:after="0" w:line="257" w:lineRule="auto"/>
        <w:tabs>
          <w:tab w:leader="none" w:pos="168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w:t>
      </w:r>
    </w:p>
    <w:p>
      <w:pPr>
        <w:ind w:right="5380"/>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1,429,450 shares of the Issuer which are held of record by clients of WMC.</w:t>
      </w:r>
    </w:p>
    <w:p>
      <w:pPr>
        <w:spacing w:after="0" w:line="50"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9.66%</w:t>
      </w:r>
    </w:p>
    <w:p>
      <w:pPr>
        <w:sectPr>
          <w:pgSz w:w="11900" w:h="16838" w:orient="portrait"/>
          <w:cols w:equalWidth="0" w:num="1">
            <w:col w:w="11500"/>
          </w:cols>
          <w:pgMar w:left="240" w:top="312" w:right="159" w:bottom="0" w:gutter="0" w:footer="0" w:header="0"/>
          <w:type w:val="continuous"/>
        </w:sectPr>
      </w:pPr>
    </w:p>
    <w:bookmarkStart w:id="2" w:name="page3"/>
    <w:bookmarkEnd w:id="2"/>
    <w:p>
      <w:pPr>
        <w:ind w:left="1700" w:hanging="849"/>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418"/>
        <w:spacing w:after="0"/>
        <w:tabs>
          <w:tab w:leader="none" w:pos="14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0" w:type="dxa"/>
        <w:tblCellMar>
          <w:top w:w="0" w:type="dxa"/>
          <w:left w:w="0" w:type="dxa"/>
          <w:bottom w:w="0" w:type="dxa"/>
          <w:right w:w="0" w:type="dxa"/>
        </w:tblCellMar>
      </w:tblPr>
      <w:tr>
        <w:trPr>
          <w:trHeight w:val="201"/>
        </w:trPr>
        <w:tc>
          <w:tcPr>
            <w:tcW w:w="3020" w:type="dxa"/>
            <w:vAlign w:val="bottom"/>
            <w:gridSpan w:val="2"/>
          </w:tcPr>
          <w:p>
            <w:pPr>
              <w:jc w:val="right"/>
              <w:ind w:right="292"/>
              <w:spacing w:after="0" w:line="201" w:lineRule="exact"/>
              <w:rPr>
                <w:sz w:val="20"/>
                <w:szCs w:val="20"/>
                <w:color w:val="auto"/>
              </w:rPr>
            </w:pPr>
            <w:r>
              <w:rPr>
                <w:rFonts w:ascii="Courier New" w:cs="Courier New" w:eastAsia="Courier New" w:hAnsi="Courier New"/>
                <w:sz w:val="18"/>
                <w:szCs w:val="18"/>
                <w:color w:val="auto"/>
              </w:rPr>
              <w:t>the vote</w:t>
            </w:r>
          </w:p>
        </w:tc>
        <w:tc>
          <w:tcPr>
            <w:tcW w:w="460" w:type="dxa"/>
            <w:vAlign w:val="bottom"/>
          </w:tcPr>
          <w:p>
            <w:pPr>
              <w:ind w:left="360"/>
              <w:spacing w:after="0" w:line="201" w:lineRule="exact"/>
              <w:rPr>
                <w:sz w:val="20"/>
                <w:szCs w:val="20"/>
                <w:color w:val="auto"/>
              </w:rPr>
            </w:pPr>
            <w:r>
              <w:rPr>
                <w:rFonts w:ascii="Courier New" w:cs="Courier New" w:eastAsia="Courier New" w:hAnsi="Courier New"/>
                <w:sz w:val="18"/>
                <w:szCs w:val="18"/>
                <w:color w:val="auto"/>
                <w:w w:val="73"/>
              </w:rPr>
              <w:t>0</w:t>
            </w:r>
          </w:p>
        </w:tc>
        <w:tc>
          <w:tcPr>
            <w:tcW w:w="15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power to vote or to direct</w:t>
            </w:r>
          </w:p>
        </w:tc>
        <w:tc>
          <w:tcPr>
            <w:tcW w:w="0" w:type="dxa"/>
            <w:vAlign w:val="bottom"/>
          </w:tcPr>
          <w:p>
            <w:pPr>
              <w:spacing w:after="0"/>
              <w:rPr>
                <w:sz w:val="1"/>
                <w:szCs w:val="1"/>
                <w:color w:val="auto"/>
              </w:rPr>
            </w:pPr>
          </w:p>
        </w:tc>
      </w:tr>
      <w:tr>
        <w:trPr>
          <w:trHeight w:val="203"/>
        </w:trPr>
        <w:tc>
          <w:tcPr>
            <w:tcW w:w="2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(iii)</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vote</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733,750</w:t>
            </w: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vMerge w:val="continue"/>
          </w:tcPr>
          <w:p>
            <w:pPr>
              <w:spacing w:after="0"/>
              <w:rPr>
                <w:sz w:val="17"/>
                <w:szCs w:val="17"/>
                <w:color w:val="auto"/>
              </w:rPr>
            </w:pPr>
          </w:p>
        </w:tc>
        <w:tc>
          <w:tcPr>
            <w:tcW w:w="55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Sole power to dispose or to direct</w:t>
            </w:r>
          </w:p>
        </w:tc>
        <w:tc>
          <w:tcPr>
            <w:tcW w:w="0" w:type="dxa"/>
            <w:vAlign w:val="bottom"/>
          </w:tcPr>
          <w:p>
            <w:pPr>
              <w:spacing w:after="0"/>
              <w:rPr>
                <w:sz w:val="1"/>
                <w:szCs w:val="1"/>
                <w:color w:val="auto"/>
              </w:rPr>
            </w:pPr>
          </w:p>
        </w:tc>
      </w:tr>
      <w:tr>
        <w:trPr>
          <w:trHeight w:val="203"/>
        </w:trPr>
        <w:tc>
          <w:tcPr>
            <w:tcW w:w="2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(iv)</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disposition of</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280" w:type="dxa"/>
            <w:vAlign w:val="bottom"/>
            <w:vMerge w:val="continue"/>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power to dispose or to direct</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2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disposition of</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1,429,450</w:t>
            </w:r>
          </w:p>
        </w:tc>
        <w:tc>
          <w:tcPr>
            <w:tcW w:w="0" w:type="dxa"/>
            <w:vAlign w:val="bottom"/>
          </w:tcPr>
          <w:p>
            <w:pPr>
              <w:spacing w:after="0"/>
              <w:rPr>
                <w:sz w:val="1"/>
                <w:szCs w:val="1"/>
                <w:color w:val="auto"/>
              </w:rPr>
            </w:pPr>
          </w:p>
        </w:tc>
      </w:tr>
      <w:tr>
        <w:trPr>
          <w:trHeight w:val="405"/>
        </w:trPr>
        <w:tc>
          <w:tcPr>
            <w:tcW w:w="22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6"/>
              </w:rPr>
              <w:t>CUSIP No. 629305103</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ind w:right="1132"/>
              <w:spacing w:after="0"/>
              <w:rPr>
                <w:sz w:val="20"/>
                <w:szCs w:val="20"/>
                <w:color w:val="auto"/>
              </w:rPr>
            </w:pPr>
            <w:r>
              <w:rPr>
                <w:rFonts w:ascii="Courier New" w:cs="Courier New" w:eastAsia="Courier New" w:hAnsi="Courier New"/>
                <w:sz w:val="18"/>
                <w:szCs w:val="18"/>
                <w:color w:val="auto"/>
                <w:w w:val="92"/>
              </w:rPr>
              <w:t>13G</w:t>
            </w:r>
          </w:p>
        </w:tc>
        <w:tc>
          <w:tcPr>
            <w:tcW w:w="2780" w:type="dxa"/>
            <w:vAlign w:val="bottom"/>
          </w:tcPr>
          <w:p>
            <w:pPr>
              <w:ind w:left="1000"/>
              <w:spacing w:after="0"/>
              <w:rPr>
                <w:sz w:val="20"/>
                <w:szCs w:val="20"/>
                <w:color w:val="auto"/>
              </w:rPr>
            </w:pPr>
            <w:r>
              <w:rPr>
                <w:rFonts w:ascii="Courier New" w:cs="Courier New" w:eastAsia="Courier New" w:hAnsi="Courier New"/>
                <w:sz w:val="18"/>
                <w:szCs w:val="18"/>
                <w:color w:val="auto"/>
                <w:w w:val="95"/>
              </w:rPr>
              <w:t>Page 5 of 7 Pages</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1159" w:firstLine="2529"/>
        <w:spacing w:after="0" w:line="25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ind w:right="4099"/>
        <w:spacing w:after="0" w:line="309"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 ].</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Person.</w:t>
      </w:r>
    </w:p>
    <w:p>
      <w:pPr>
        <w:spacing w:after="0" w:line="169" w:lineRule="exact"/>
        <w:rPr>
          <w:sz w:val="20"/>
          <w:szCs w:val="20"/>
          <w:color w:val="auto"/>
        </w:rPr>
      </w:pPr>
    </w:p>
    <w:p>
      <w:pPr>
        <w:ind w:right="3679"/>
        <w:spacing w:after="0" w:line="293" w:lineRule="auto"/>
        <w:rPr>
          <w:sz w:val="20"/>
          <w:szCs w:val="20"/>
          <w:color w:val="auto"/>
        </w:rPr>
      </w:pPr>
      <w:r>
        <w:rPr>
          <w:rFonts w:ascii="Courier New" w:cs="Courier New" w:eastAsia="Courier New" w:hAnsi="Courier New"/>
          <w:sz w:val="16"/>
          <w:szCs w:val="16"/>
          <w:color w:val="auto"/>
        </w:rPr>
        <w:t>The securities as to which this Schedule is filed by WMC, in its capacity as investment adviser, are owned of record by clients of WMC.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7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spacing w:after="0" w:line="31" w:lineRule="exact"/>
        <w:rPr>
          <w:sz w:val="20"/>
          <w:szCs w:val="20"/>
          <w:color w:val="auto"/>
        </w:rPr>
      </w:pPr>
    </w:p>
    <w:p>
      <w:pPr>
        <w:ind w:left="2540" w:right="1259"/>
        <w:spacing w:after="0" w:line="309"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right="2939" w:firstLine="843"/>
        <w:spacing w:after="0" w:line="347" w:lineRule="auto"/>
        <w:rPr>
          <w:sz w:val="20"/>
          <w:szCs w:val="20"/>
          <w:color w:val="auto"/>
        </w:rPr>
      </w:pPr>
      <w:r>
        <w:rPr>
          <w:rFonts w:ascii="Courier New" w:cs="Courier New" w:eastAsia="Courier New" w:hAnsi="Courier New"/>
          <w:sz w:val="18"/>
          <w:szCs w:val="18"/>
          <w:color w:val="auto"/>
        </w:rPr>
        <w:t>Not Applicable. This schedule is not being filed pursuant to Rule 13d-1(b)(1)(ii)(H) or Rule 13d-1(c).</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3779"/>
        <w:spacing w:after="0" w:line="29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72" w:lineRule="exact"/>
        <w:rPr>
          <w:sz w:val="20"/>
          <w:szCs w:val="20"/>
          <w:color w:val="auto"/>
        </w:rPr>
      </w:pPr>
    </w:p>
    <w:p>
      <w:pPr>
        <w:spacing w:after="0"/>
        <w:tabs>
          <w:tab w:leader="none" w:pos="3460" w:val="left"/>
          <w:tab w:leader="none" w:pos="600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8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10" w:right="1440" w:bottom="1440" w:gutter="0" w:footer="0" w:header="0"/>
        </w:sectPr>
      </w:pPr>
    </w:p>
    <w:p>
      <w:pPr>
        <w:spacing w:after="0" w:line="6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Date:</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ind w:left="254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P. Hillery//--</w:t>
      </w:r>
    </w:p>
    <w:p>
      <w:pPr>
        <w:spacing w:after="0" w:line="238" w:lineRule="auto"/>
        <w:rPr>
          <w:sz w:val="20"/>
          <w:szCs w:val="20"/>
          <w:color w:val="auto"/>
        </w:rPr>
      </w:pPr>
      <w:r>
        <w:rPr>
          <w:rFonts w:ascii="Courier New" w:cs="Courier New" w:eastAsia="Courier New" w:hAnsi="Courier New"/>
          <w:sz w:val="18"/>
          <w:szCs w:val="18"/>
          <w:color w:val="auto"/>
        </w:rPr>
        <w:t>Brian P. Hillery</w:t>
      </w:r>
    </w:p>
    <w:p>
      <w:pPr>
        <w:ind w:left="840"/>
        <w:spacing w:after="0"/>
        <w:rPr>
          <w:sz w:val="20"/>
          <w:szCs w:val="20"/>
          <w:color w:val="auto"/>
        </w:rPr>
      </w:pPr>
      <w:r>
        <w:rPr>
          <w:rFonts w:ascii="Courier New" w:cs="Courier New" w:eastAsia="Courier New" w:hAnsi="Courier New"/>
          <w:sz w:val="16"/>
          <w:szCs w:val="16"/>
          <w:color w:val="auto"/>
        </w:rPr>
        <w:t>Assistant Vice President</w:t>
      </w:r>
    </w:p>
    <w:p>
      <w:pPr>
        <w:sectPr>
          <w:pgSz w:w="11900" w:h="16838" w:orient="portrait"/>
          <w:cols w:equalWidth="0" w:num="2">
            <w:col w:w="3700" w:space="520"/>
            <w:col w:w="5999"/>
          </w:cols>
          <w:pgMar w:left="240" w:top="110" w:right="1440" w:bottom="1440" w:gutter="0" w:footer="0" w:header="0"/>
          <w:type w:val="continuous"/>
        </w:sectPr>
      </w:pPr>
    </w:p>
    <w:bookmarkStart w:id="3" w:name="page4"/>
    <w:bookmarkEnd w:id="3"/>
    <w:p>
      <w:pPr>
        <w:ind w:right="2519" w:firstLine="8"/>
        <w:spacing w:after="0" w:line="347"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23" w:lineRule="exact"/>
        <w:rPr>
          <w:sz w:val="20"/>
          <w:szCs w:val="20"/>
          <w:color w:val="auto"/>
        </w:rPr>
      </w:pPr>
    </w:p>
    <w:p>
      <w:pPr>
        <w:spacing w:after="0"/>
        <w:tabs>
          <w:tab w:leader="none" w:pos="3460" w:val="left"/>
          <w:tab w:leader="none" w:pos="600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519"/>
        <w:spacing w:after="0" w:line="306" w:lineRule="auto"/>
        <w:rPr>
          <w:sz w:val="20"/>
          <w:szCs w:val="20"/>
          <w:color w:val="auto"/>
        </w:rPr>
      </w:pPr>
      <w:r>
        <w:rPr>
          <w:rFonts w:ascii="Courier New" w:cs="Courier New" w:eastAsia="Courier New" w:hAnsi="Courier New"/>
          <w:sz w:val="16"/>
          <w:szCs w:val="16"/>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9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
      <w:numFmt w:val="bullet"/>
      <w:start w:val="1"/>
    </w:lvl>
    <w:lvl w:ilvl="1">
      <w:lvlJc w:val="left"/>
      <w:lvlText w:val="%2."/>
      <w:numFmt w:val="decimal"/>
      <w:start w:val="5"/>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lowerLetter"/>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lvl w:ilvl="1">
      <w:lvlJc w:val="left"/>
      <w:lvlText w:val="(%2)"/>
      <w:numFmt w:val="lowerLetter"/>
      <w:start w:val="9"/>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2020-02-22T10:59:39Z</dcterms:created>
  <dcterms:modified xsi:type="dcterms:W3CDTF">2020-02-22T10:59:39Z</dcterms:modified>
</cp:coreProperties>
</file>