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5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00"/>
        <w:spacing w:after="0"/>
        <w:rPr>
          <w:sz w:val="20"/>
          <w:szCs w:val="20"/>
          <w:color w:val="auto"/>
        </w:rPr>
      </w:pPr>
      <w:r>
        <w:rPr>
          <w:rFonts w:ascii="Arial" w:cs="Arial" w:eastAsia="Arial" w:hAnsi="Arial"/>
          <w:sz w:val="19"/>
          <w:szCs w:val="19"/>
          <w:b w:val="1"/>
          <w:bCs w:val="1"/>
          <w:color w:val="auto"/>
        </w:rPr>
        <w:t>Date of Report (Date of earliest event reported): November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444500</wp:posOffset>
            </wp:positionV>
            <wp:extent cx="685800"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820" w:space="720"/>
            <w:col w:w="2900" w:space="720"/>
            <w:col w:w="1660"/>
          </w:cols>
          <w:pgMar w:left="240" w:top="368" w:right="8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780"/>
          </w:cols>
          <w:pgMar w:left="240" w:top="368" w:right="839" w:bottom="1440" w:gutter="0" w:footer="0" w:header="0"/>
          <w:type w:val="continuous"/>
        </w:sectPr>
      </w:pPr>
    </w:p>
    <w:p>
      <w:pPr>
        <w:spacing w:after="0" w:line="19" w:lineRule="exact"/>
        <w:rPr>
          <w:sz w:val="24"/>
          <w:szCs w:val="24"/>
          <w:color w:val="auto"/>
        </w:rPr>
      </w:pPr>
    </w:p>
    <w:p>
      <w:pPr>
        <w:ind w:left="980"/>
        <w:spacing w:after="0"/>
        <w:rPr>
          <w:sz w:val="20"/>
          <w:szCs w:val="20"/>
          <w:color w:val="auto"/>
        </w:rPr>
      </w:pPr>
      <w:r>
        <w:rPr>
          <w:rFonts w:ascii="Arial" w:cs="Arial" w:eastAsia="Arial" w:hAnsi="Arial"/>
          <w:sz w:val="15"/>
          <w:szCs w:val="15"/>
          <w:b w:val="1"/>
          <w:bCs w:val="1"/>
          <w:color w:val="auto"/>
        </w:rPr>
        <w:t>2000 Waters Edge Drive, Johnson City, Tennessee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37604</w:t>
      </w:r>
    </w:p>
    <w:p>
      <w:pPr>
        <w:spacing w:after="0" w:line="50" w:lineRule="exact"/>
        <w:rPr>
          <w:sz w:val="24"/>
          <w:szCs w:val="24"/>
          <w:color w:val="auto"/>
        </w:rPr>
      </w:pPr>
    </w:p>
    <w:p>
      <w:pPr>
        <w:sectPr>
          <w:pgSz w:w="11900" w:h="16838" w:orient="portrait"/>
          <w:cols w:equalWidth="0" w:num="2">
            <w:col w:w="7700" w:space="720"/>
            <w:col w:w="2400"/>
          </w:cols>
          <w:pgMar w:left="240" w:top="368" w:right="83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500"/>
          </w:cols>
          <w:pgMar w:left="240" w:top="368" w:right="839" w:bottom="1440" w:gutter="0" w:footer="0" w:header="0"/>
          <w:type w:val="continuous"/>
        </w:sectPr>
      </w:pPr>
    </w:p>
    <w:p>
      <w:pPr>
        <w:jc w:val="center"/>
        <w:ind w:right="-6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 AMENDMENTS TO ARTICLES OF INCORPORATION OR BYLAWS; CHANGES IN FISCAL YEAR</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November 11, 2014, the Board of Directors of NN, Inc. (the “Company”) approved an amendment to the Company’s Restated By-laws (the “By-law Amendment”) to implement a majority vote standard for the election of directors in uncontested director elections (with a plurality vote standard applying to contested director elections), coupled with a director resignation policy for those incumbent directors who do not receive a majority vote. Prior to this amendment, election of the Company’s directors was subject in all cases to a plurality vote standard and the Company did not have a related director resignation policy.</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description of the By-law Amendment is qualified in its entirety by the By-law Amendment filed as Exhibit 3.1 to this Current Report on Form 8-K and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On November 11, 2014, the Company issued a press release announcing the declaration of a quarterly cash dividend of $0.07 per common share payable on December 19, 2014, to shareholders of record as of the close of business on December 5, 2014. The full text of the press release is attached as Exhibit 99.1 to this Current Report on Form 8-K and is incorporated herein by reference.</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0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59"/>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Amendment to Restated Bylaws of NN, Inc.</w:t>
            </w:r>
          </w:p>
        </w:tc>
        <w:tc>
          <w:tcPr>
            <w:tcW w:w="0" w:type="dxa"/>
            <w:vAlign w:val="bottom"/>
          </w:tcPr>
          <w:p>
            <w:pPr>
              <w:spacing w:after="0"/>
              <w:rPr>
                <w:sz w:val="1"/>
                <w:szCs w:val="1"/>
                <w:color w:val="auto"/>
              </w:rPr>
            </w:pPr>
          </w:p>
        </w:tc>
      </w:tr>
      <w:tr>
        <w:trPr>
          <w:trHeight w:val="324"/>
        </w:trPr>
        <w:tc>
          <w:tcPr>
            <w:tcW w:w="460" w:type="dxa"/>
            <w:vAlign w:val="bottom"/>
          </w:tcPr>
          <w:p>
            <w:pPr>
              <w:jc w:val="right"/>
              <w:ind w:right="59"/>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w w:val="88"/>
              </w:rPr>
              <w:t>Press Release of NN, Inc. dated November 11, 2014.</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jc w:val="both"/>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Chief Administrative Officer</w:t>
      </w:r>
    </w:p>
    <w:p>
      <w:pPr>
        <w:sectPr>
          <w:pgSz w:w="11900" w:h="16838" w:orient="portrait"/>
          <w:cols w:equalWidth="0" w:num="1">
            <w:col w:w="11260"/>
          </w:cols>
          <w:pgMar w:left="240" w:top="270" w:right="39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0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59"/>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Amendment to Restated Bylaws of NN, Inc.</w:t>
            </w:r>
          </w:p>
        </w:tc>
        <w:tc>
          <w:tcPr>
            <w:tcW w:w="0" w:type="dxa"/>
            <w:vAlign w:val="bottom"/>
          </w:tcPr>
          <w:p>
            <w:pPr>
              <w:spacing w:after="0"/>
              <w:rPr>
                <w:sz w:val="1"/>
                <w:szCs w:val="1"/>
                <w:color w:val="auto"/>
              </w:rPr>
            </w:pPr>
          </w:p>
        </w:tc>
      </w:tr>
      <w:tr>
        <w:trPr>
          <w:trHeight w:val="324"/>
        </w:trPr>
        <w:tc>
          <w:tcPr>
            <w:tcW w:w="460" w:type="dxa"/>
            <w:vAlign w:val="bottom"/>
          </w:tcPr>
          <w:p>
            <w:pPr>
              <w:jc w:val="right"/>
              <w:ind w:right="59"/>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w w:val="88"/>
              </w:rPr>
              <w:t>Press Release of NN, Inc. dated November 11, 2014.</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By-Laws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0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Effective: November 11, 2014</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Restated By-Laws of NN, Inc., as amended, are further amended as follows:</w:t>
      </w:r>
    </w:p>
    <w:p>
      <w:pPr>
        <w:spacing w:after="0" w:line="225" w:lineRule="exact"/>
        <w:rPr>
          <w:sz w:val="20"/>
          <w:szCs w:val="20"/>
          <w:color w:val="auto"/>
        </w:rPr>
      </w:pPr>
    </w:p>
    <w:p>
      <w:pPr>
        <w:ind w:left="460" w:right="3000" w:hanging="452"/>
        <w:spacing w:after="0" w:line="501" w:lineRule="auto"/>
        <w:tabs>
          <w:tab w:leader="none" w:pos="18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Article II, Section 10 of the Corporation’s By-Laws be, and it hereby is, amended to read in its entirety as follows: “Section (10) </w:t>
      </w:r>
      <w:r>
        <w:rPr>
          <w:rFonts w:ascii="Arial" w:cs="Arial" w:eastAsia="Arial" w:hAnsi="Arial"/>
          <w:sz w:val="18"/>
          <w:szCs w:val="18"/>
          <w:u w:val="single" w:color="auto"/>
          <w:color w:val="auto"/>
        </w:rPr>
        <w:t>Procedure for Election of Directors; Required Vote; Resignation Policy</w:t>
      </w:r>
      <w:r>
        <w:rPr>
          <w:rFonts w:ascii="Arial" w:cs="Arial" w:eastAsia="Arial" w:hAnsi="Arial"/>
          <w:sz w:val="18"/>
          <w:szCs w:val="18"/>
          <w:color w:val="auto"/>
        </w:rPr>
        <w:t>.</w:t>
      </w:r>
    </w:p>
    <w:p>
      <w:pPr>
        <w:ind w:right="20" w:firstLine="464"/>
        <w:spacing w:after="0" w:line="269" w:lineRule="auto"/>
        <w:tabs>
          <w:tab w:leader="none" w:pos="701" w:val="left"/>
        </w:tabs>
        <w:numPr>
          <w:ilvl w:val="1"/>
          <w:numId w:val="2"/>
        </w:numPr>
        <w:rPr>
          <w:rFonts w:ascii="Arial" w:cs="Arial" w:eastAsia="Arial" w:hAnsi="Arial"/>
          <w:sz w:val="17"/>
          <w:szCs w:val="17"/>
          <w:color w:val="auto"/>
        </w:rPr>
      </w:pPr>
      <w:r>
        <w:rPr>
          <w:rFonts w:ascii="Arial" w:cs="Arial" w:eastAsia="Arial" w:hAnsi="Arial"/>
          <w:sz w:val="17"/>
          <w:szCs w:val="17"/>
          <w:color w:val="auto"/>
        </w:rPr>
        <w:t>Except as set forth below, election of directors at all meetings of the stockholders at which directors are to be elected shall be by ballot, and, subject to the rights of the holders of any series of Preferred Stock to elect directors under specified circumstances, a majority of votes cast at any meeting for the election of directors at which a quorum is present shall elect directors. For purposes of this By-Law, a majority of votes cast shall mean that the number of shares voted “for” a director’s election must exceed the number of votes cast “against” the election of that director. Votes cast shall include direction to withhold authority in each case and exclude abstentions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these Bylaws, a “contested election” shall mean any election of directors where, as of the tenth (10th) day preceding the date on which the Corporation first mails its notice of meeting, for the meeting at which directors are being elected, the number of nominees for director exceeds the number of directors to be elected. 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spacing w:after="0" w:line="182" w:lineRule="exact"/>
        <w:rPr>
          <w:rFonts w:ascii="Arial" w:cs="Arial" w:eastAsia="Arial" w:hAnsi="Arial"/>
          <w:sz w:val="17"/>
          <w:szCs w:val="17"/>
          <w:color w:val="auto"/>
        </w:rPr>
      </w:pPr>
    </w:p>
    <w:p>
      <w:pPr>
        <w:ind w:right="120" w:firstLine="464"/>
        <w:spacing w:after="0" w:line="270" w:lineRule="auto"/>
        <w:tabs>
          <w:tab w:leader="none" w:pos="711" w:val="left"/>
        </w:tabs>
        <w:numPr>
          <w:ilvl w:val="1"/>
          <w:numId w:val="2"/>
        </w:numPr>
        <w:rPr>
          <w:rFonts w:ascii="Arial" w:cs="Arial" w:eastAsia="Arial" w:hAnsi="Arial"/>
          <w:sz w:val="17"/>
          <w:szCs w:val="17"/>
          <w:color w:val="auto"/>
        </w:rPr>
      </w:pPr>
      <w:r>
        <w:rPr>
          <w:rFonts w:ascii="Arial" w:cs="Arial" w:eastAsia="Arial" w:hAnsi="Arial"/>
          <w:sz w:val="17"/>
          <w:szCs w:val="17"/>
          <w:color w:val="auto"/>
        </w:rPr>
        <w:t>If a nominee for director who is an incumbent director is not elected and no successor has been elected at such meeting, the director shall promptly tender his or her resignation to the Board of Directors. The Governance Committee shall make a recommendation to the Board of Directors as to whether to accept or reject the tendered resignation, or whether other action should be taken. The Board of Directors shall act on the tendered resignation, taking into account the Governance Committee’s recommendation, and publicly disclose (by a press release, a filing with the Securities and Exchange Commission or other broadly disseminated means of communication) its decision regarding the tendered resignation and the rationale behind the decision within 90 days from the date of the certification of the election results. The Governance Committee in making its recommendation, and the Board of Directors in making its decision, may each consider any factors or other information that it considers appropriate and relevant. The director who tenders his or her resignation shall not participate in the recommendation of the Governance Committee or the decision of the Board of Directors with respect to his or her resignation. If such incumbent director’s resignation is not accepted by the Board of Directors, such director shall continue to serve until his or her successor is duly elected, or his or her earlier</w:t>
      </w:r>
    </w:p>
    <w:p>
      <w:pPr>
        <w:sectPr>
          <w:pgSz w:w="11900" w:h="16838" w:orient="portrait"/>
          <w:cols w:equalWidth="0" w:num="1">
            <w:col w:w="11420"/>
          </w:cols>
          <w:pgMar w:left="240" w:top="121" w:right="23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resignation or removal. If a director’s resignation is accepted by the Board of Directors pursuant to these By-Laws, or if a nominee for director is not elected and the nominee is not an incumbent director, then the Board of Directors, in its sole discretion, may fill any resulting vacancy or may decrease the size of the Board of Directors pursuant to the provisions of these By-laws.”</w:t>
      </w:r>
    </w:p>
    <w:p>
      <w:pPr>
        <w:sectPr>
          <w:pgSz w:w="11900" w:h="16838" w:orient="portrait"/>
          <w:cols w:equalWidth="0" w:num="1">
            <w:col w:w="11380"/>
          </w:cols>
          <w:pgMar w:left="240" w:top="274" w:right="2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172085</wp:posOffset>
            </wp:positionV>
            <wp:extent cx="6089015" cy="711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901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600" w:type="dxa"/>
            <w:vAlign w:val="bottom"/>
            <w:gridSpan w:val="2"/>
          </w:tcPr>
          <w:p>
            <w:pPr>
              <w:ind w:left="1840"/>
              <w:spacing w:after="0"/>
              <w:rPr>
                <w:sz w:val="20"/>
                <w:szCs w:val="20"/>
                <w:color w:val="auto"/>
              </w:rPr>
            </w:pPr>
            <w:r>
              <w:rPr>
                <w:rFonts w:ascii="Arial" w:cs="Arial" w:eastAsia="Arial" w:hAnsi="Arial"/>
                <w:sz w:val="18"/>
                <w:szCs w:val="18"/>
                <w:color w:val="auto"/>
              </w:rPr>
              <w:t>RE: NN, Inc.</w:t>
            </w:r>
          </w:p>
        </w:tc>
      </w:tr>
      <w:tr>
        <w:trPr>
          <w:trHeight w:val="216"/>
        </w:trPr>
        <w:tc>
          <w:tcPr>
            <w:tcW w:w="16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600" w:type="dxa"/>
            <w:vAlign w:val="bottom"/>
            <w:gridSpan w:val="2"/>
          </w:tcPr>
          <w:p>
            <w:pPr>
              <w:ind w:left="1840"/>
              <w:spacing w:after="0"/>
              <w:rPr>
                <w:sz w:val="20"/>
                <w:szCs w:val="20"/>
                <w:color w:val="auto"/>
              </w:rPr>
            </w:pPr>
            <w:r>
              <w:rPr>
                <w:rFonts w:ascii="Arial" w:cs="Arial" w:eastAsia="Arial" w:hAnsi="Arial"/>
                <w:sz w:val="18"/>
                <w:szCs w:val="18"/>
                <w:color w:val="auto"/>
                <w:w w:val="88"/>
              </w:rPr>
              <w:t>2000 Waters Edge Drive</w:t>
            </w:r>
          </w:p>
        </w:tc>
      </w:tr>
      <w:tr>
        <w:trPr>
          <w:trHeight w:val="230"/>
        </w:trPr>
        <w:tc>
          <w:tcPr>
            <w:tcW w:w="16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600" w:type="dxa"/>
            <w:vAlign w:val="bottom"/>
            <w:gridSpan w:val="2"/>
          </w:tcPr>
          <w:p>
            <w:pPr>
              <w:ind w:left="1840"/>
              <w:spacing w:after="0"/>
              <w:rPr>
                <w:sz w:val="20"/>
                <w:szCs w:val="20"/>
                <w:color w:val="auto"/>
              </w:rPr>
            </w:pPr>
            <w:r>
              <w:rPr>
                <w:rFonts w:ascii="Arial" w:cs="Arial" w:eastAsia="Arial" w:hAnsi="Arial"/>
                <w:sz w:val="18"/>
                <w:szCs w:val="18"/>
                <w:color w:val="auto"/>
                <w:w w:val="90"/>
              </w:rPr>
              <w:t>Johnson City, TN 37604</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FOR FURTHER INFORMATION:</w:t>
            </w:r>
          </w:p>
        </w:tc>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1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AT THE COMPANY</w:t>
            </w: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AT FINANCIAL RELATIONS BOARD</w:t>
            </w:r>
          </w:p>
        </w:tc>
      </w:tr>
      <w:tr>
        <w:trPr>
          <w:trHeight w:val="222"/>
        </w:trPr>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Robbie Atkinson</w:t>
            </w:r>
          </w:p>
        </w:tc>
        <w:tc>
          <w:tcPr>
            <w:tcW w:w="442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c>
          <w:tcPr>
            <w:tcW w:w="520" w:type="dxa"/>
            <w:vAlign w:val="bottom"/>
          </w:tcPr>
          <w:p>
            <w:pPr>
              <w:spacing w:after="0"/>
              <w:rPr>
                <w:sz w:val="19"/>
                <w:szCs w:val="19"/>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Corporate Treasurer &amp; Investor Relations</w:t>
            </w:r>
          </w:p>
        </w:tc>
        <w:tc>
          <w:tcPr>
            <w:tcW w:w="3600" w:type="dxa"/>
            <w:vAlign w:val="bottom"/>
            <w:gridSpan w:val="2"/>
          </w:tcPr>
          <w:p>
            <w:pPr>
              <w:spacing w:after="0"/>
              <w:rPr>
                <w:sz w:val="20"/>
                <w:szCs w:val="20"/>
                <w:color w:val="auto"/>
              </w:rPr>
            </w:pPr>
            <w:r>
              <w:rPr>
                <w:rFonts w:ascii="Arial" w:cs="Arial" w:eastAsia="Arial" w:hAnsi="Arial"/>
                <w:sz w:val="18"/>
                <w:szCs w:val="18"/>
                <w:color w:val="auto"/>
              </w:rPr>
              <w:t>(General info)</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(423) 743-9151</w:t>
            </w:r>
          </w:p>
        </w:tc>
        <w:tc>
          <w:tcPr>
            <w:tcW w:w="44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212-827-3773</w:t>
            </w:r>
          </w:p>
        </w:tc>
        <w:tc>
          <w:tcPr>
            <w:tcW w:w="520" w:type="dxa"/>
            <w:vAlign w:val="bottom"/>
          </w:tcPr>
          <w:p>
            <w:pPr>
              <w:spacing w:after="0"/>
              <w:rPr>
                <w:sz w:val="20"/>
                <w:szCs w:val="20"/>
                <w:color w:val="auto"/>
              </w:rPr>
            </w:pPr>
          </w:p>
        </w:tc>
      </w:tr>
      <w:tr>
        <w:trPr>
          <w:trHeight w:val="4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November 11, 2014</w:t>
            </w:r>
          </w:p>
        </w:tc>
        <w:tc>
          <w:tcPr>
            <w:tcW w:w="308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QUARTERLY DIVIDEND</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Johnson City, Tenn, November 11, 2014 – NN, Inc. (Nasdaq: NNBR), a diversified industrial company, announced today its Board of Directors declared a quarterly cash dividend of $0.07 per common share. The dividend will be paid on December 19, 2014, to shareholders of record as of the close of business on December 5, 2014.</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NN, Inc., a diversified industrial company manufactures and supplies high precision metal bearing components, industrial plastic and rubber products and precision metal components to a variety of markets on a global basis. Headquartered in Johnson City, Tennessee, NN has 25 manufacturing plants in the United States, Western Europe, Eastern Europe, South America and China.</w:t>
      </w:r>
    </w:p>
    <w:p>
      <w:pPr>
        <w:spacing w:after="0" w:line="18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ectPr>
          <w:pgSz w:w="11900" w:h="16838" w:orient="portrait"/>
          <w:cols w:equalWidth="0" w:num="1">
            <w:col w:w="11420"/>
          </w:cols>
          <w:pgMar w:left="240" w:top="121" w:right="2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2013.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200"/>
      </w:cols>
      <w:pgMar w:left="2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2019-12-06T10:19:21Z</dcterms:created>
  <dcterms:modified xsi:type="dcterms:W3CDTF">2019-12-06T10:19:21Z</dcterms:modified>
</cp:coreProperties>
</file>