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68"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CURRENT REPORT PURSUANT TO</w:t>
      </w:r>
    </w:p>
    <w:p>
      <w:pPr>
        <w:spacing w:after="0" w:line="2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SECTION 13 OR 15(d) OF THE</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4"/>
          <w:szCs w:val="24"/>
          <w:color w:val="auto"/>
        </w:rPr>
      </w:pPr>
    </w:p>
    <w:p>
      <w:pPr>
        <w:spacing w:after="0" w:line="281"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Date of Report (Date of earliest event reported): May 6,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3315335</wp:posOffset>
            </wp:positionH>
            <wp:positionV relativeFrom="paragraph">
              <wp:posOffset>14605</wp:posOffset>
            </wp:positionV>
            <wp:extent cx="626110"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6110" cy="6261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619"/>
        <w:spacing w:after="0"/>
        <w:rPr>
          <w:sz w:val="20"/>
          <w:szCs w:val="20"/>
          <w:color w:val="auto"/>
        </w:rPr>
      </w:pPr>
      <w:r>
        <w:rPr>
          <w:rFonts w:ascii="Arial" w:cs="Arial" w:eastAsia="Arial" w:hAnsi="Arial"/>
          <w:sz w:val="36"/>
          <w:szCs w:val="36"/>
          <w:b w:val="1"/>
          <w:bCs w:val="1"/>
          <w:u w:val="single" w:color="auto"/>
          <w:color w:val="auto"/>
        </w:rPr>
        <w:t>NN, INC.</w:t>
      </w:r>
    </w:p>
    <w:p>
      <w:pPr>
        <w:spacing w:after="0" w:line="45"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280" w:type="dxa"/>
        <w:tblCellMar>
          <w:top w:w="0" w:type="dxa"/>
          <w:left w:w="0" w:type="dxa"/>
          <w:bottom w:w="0" w:type="dxa"/>
          <w:right w:w="0" w:type="dxa"/>
        </w:tblCellMar>
      </w:tblPr>
      <w:tr>
        <w:trPr>
          <w:trHeight w:val="207"/>
        </w:trPr>
        <w:tc>
          <w:tcPr>
            <w:tcW w:w="138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1940" w:type="dxa"/>
            <w:vAlign w:val="bottom"/>
            <w:gridSpan w:val="2"/>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0-23486</w:t>
            </w:r>
          </w:p>
        </w:tc>
        <w:tc>
          <w:tcPr>
            <w:tcW w:w="1380" w:type="dxa"/>
            <w:vAlign w:val="bottom"/>
          </w:tcPr>
          <w:p>
            <w:pPr>
              <w:spacing w:after="0"/>
              <w:rPr>
                <w:sz w:val="17"/>
                <w:szCs w:val="17"/>
                <w:color w:val="auto"/>
              </w:rPr>
            </w:pPr>
          </w:p>
        </w:tc>
        <w:tc>
          <w:tcPr>
            <w:tcW w:w="3320" w:type="dxa"/>
            <w:vAlign w:val="bottom"/>
            <w:gridSpan w:val="5"/>
          </w:tcPr>
          <w:p>
            <w:pPr>
              <w:jc w:val="right"/>
              <w:ind w:right="880"/>
              <w:spacing w:after="0"/>
              <w:rPr>
                <w:sz w:val="20"/>
                <w:szCs w:val="20"/>
                <w:color w:val="auto"/>
              </w:rPr>
            </w:pPr>
            <w:r>
              <w:rPr>
                <w:rFonts w:ascii="Arial" w:cs="Arial" w:eastAsia="Arial" w:hAnsi="Arial"/>
                <w:sz w:val="18"/>
                <w:szCs w:val="18"/>
                <w:color w:val="auto"/>
              </w:rPr>
              <w:t>62-1096725</w:t>
            </w:r>
          </w:p>
        </w:tc>
      </w:tr>
      <w:tr>
        <w:trPr>
          <w:trHeight w:val="20"/>
        </w:trPr>
        <w:tc>
          <w:tcPr>
            <w:tcW w:w="1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4020" w:type="dxa"/>
            <w:vAlign w:val="bottom"/>
            <w:gridSpan w:val="4"/>
          </w:tcPr>
          <w:p>
            <w:pPr>
              <w:jc w:val="center"/>
              <w:ind w:right="540"/>
              <w:spacing w:after="0"/>
              <w:rPr>
                <w:sz w:val="20"/>
                <w:szCs w:val="20"/>
                <w:color w:val="auto"/>
              </w:rPr>
            </w:pPr>
            <w:r>
              <w:rPr>
                <w:rFonts w:ascii="Arial" w:cs="Arial" w:eastAsia="Arial" w:hAnsi="Arial"/>
                <w:sz w:val="18"/>
                <w:szCs w:val="18"/>
                <w:color w:val="auto"/>
                <w:w w:val="92"/>
              </w:rPr>
              <w:t>(State or Other Jurisdiction of Incorporation)</w:t>
            </w:r>
          </w:p>
        </w:tc>
        <w:tc>
          <w:tcPr>
            <w:tcW w:w="3080" w:type="dxa"/>
            <w:vAlign w:val="bottom"/>
            <w:gridSpan w:val="3"/>
          </w:tcPr>
          <w:p>
            <w:pPr>
              <w:jc w:val="center"/>
              <w:ind w:right="300"/>
              <w:spacing w:after="0"/>
              <w:rPr>
                <w:sz w:val="20"/>
                <w:szCs w:val="20"/>
                <w:color w:val="auto"/>
              </w:rPr>
            </w:pPr>
            <w:r>
              <w:rPr>
                <w:rFonts w:ascii="Arial" w:cs="Arial" w:eastAsia="Arial" w:hAnsi="Arial"/>
                <w:sz w:val="18"/>
                <w:szCs w:val="18"/>
                <w:color w:val="auto"/>
                <w:w w:val="92"/>
              </w:rPr>
              <w:t>(Commission File Number)</w:t>
            </w:r>
          </w:p>
        </w:tc>
        <w:tc>
          <w:tcPr>
            <w:tcW w:w="3320" w:type="dxa"/>
            <w:vAlign w:val="bottom"/>
            <w:gridSpan w:val="5"/>
          </w:tcPr>
          <w:p>
            <w:pPr>
              <w:jc w:val="center"/>
              <w:ind w:left="610"/>
              <w:spacing w:after="0"/>
              <w:rPr>
                <w:sz w:val="20"/>
                <w:szCs w:val="20"/>
                <w:color w:val="auto"/>
              </w:rPr>
            </w:pPr>
            <w:r>
              <w:rPr>
                <w:rFonts w:ascii="Arial" w:cs="Arial" w:eastAsia="Arial" w:hAnsi="Arial"/>
                <w:sz w:val="18"/>
                <w:szCs w:val="18"/>
                <w:color w:val="auto"/>
                <w:w w:val="94"/>
              </w:rPr>
              <w:t>(I.R.S. Employer Identification No.)</w:t>
            </w:r>
          </w:p>
        </w:tc>
      </w:tr>
      <w:tr>
        <w:trPr>
          <w:trHeight w:val="392"/>
        </w:trPr>
        <w:tc>
          <w:tcPr>
            <w:tcW w:w="4020" w:type="dxa"/>
            <w:vAlign w:val="bottom"/>
            <w:gridSpan w:val="4"/>
          </w:tcPr>
          <w:p>
            <w:pPr>
              <w:jc w:val="center"/>
              <w:ind w:right="400"/>
              <w:spacing w:after="0"/>
              <w:rPr>
                <w:sz w:val="20"/>
                <w:szCs w:val="20"/>
                <w:color w:val="auto"/>
              </w:rPr>
            </w:pPr>
            <w:r>
              <w:rPr>
                <w:rFonts w:ascii="Arial" w:cs="Arial" w:eastAsia="Arial" w:hAnsi="Arial"/>
                <w:sz w:val="18"/>
                <w:szCs w:val="18"/>
                <w:color w:val="auto"/>
                <w:w w:val="88"/>
              </w:rPr>
              <w:t>2000 Waters Edge Drive, Johnson City, Tennessee</w:t>
            </w: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40" w:type="dxa"/>
            <w:vAlign w:val="bottom"/>
            <w:gridSpan w:val="4"/>
          </w:tcPr>
          <w:p>
            <w:pPr>
              <w:jc w:val="right"/>
              <w:ind w:right="280"/>
              <w:spacing w:after="0"/>
              <w:rPr>
                <w:sz w:val="20"/>
                <w:szCs w:val="20"/>
                <w:color w:val="auto"/>
              </w:rPr>
            </w:pPr>
            <w:r>
              <w:rPr>
                <w:rFonts w:ascii="Arial" w:cs="Arial" w:eastAsia="Arial" w:hAnsi="Arial"/>
                <w:sz w:val="18"/>
                <w:szCs w:val="18"/>
                <w:color w:val="auto"/>
              </w:rPr>
              <w:t>37604</w:t>
            </w:r>
          </w:p>
        </w:tc>
        <w:tc>
          <w:tcPr>
            <w:tcW w:w="880" w:type="dxa"/>
            <w:vAlign w:val="bottom"/>
          </w:tcPr>
          <w:p>
            <w:pPr>
              <w:spacing w:after="0"/>
              <w:rPr>
                <w:sz w:val="24"/>
                <w:szCs w:val="24"/>
                <w:color w:val="auto"/>
              </w:rPr>
            </w:pPr>
          </w:p>
        </w:tc>
      </w:tr>
      <w:tr>
        <w:trPr>
          <w:trHeight w:val="20"/>
        </w:trPr>
        <w:tc>
          <w:tcPr>
            <w:tcW w:w="3620" w:type="dxa"/>
            <w:vAlign w:val="bottom"/>
            <w:gridSpan w:val="3"/>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r>
      <w:tr>
        <w:trPr>
          <w:trHeight w:val="237"/>
        </w:trPr>
        <w:tc>
          <w:tcPr>
            <w:tcW w:w="362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320" w:type="dxa"/>
            <w:vAlign w:val="bottom"/>
            <w:gridSpan w:val="5"/>
          </w:tcPr>
          <w:p>
            <w:pPr>
              <w:jc w:val="center"/>
              <w:ind w:left="470"/>
              <w:spacing w:after="0"/>
              <w:rPr>
                <w:sz w:val="20"/>
                <w:szCs w:val="20"/>
                <w:color w:val="auto"/>
              </w:rPr>
            </w:pPr>
            <w:r>
              <w:rPr>
                <w:rFonts w:ascii="Arial" w:cs="Arial" w:eastAsia="Arial" w:hAnsi="Arial"/>
                <w:sz w:val="18"/>
                <w:szCs w:val="18"/>
                <w:color w:val="auto"/>
                <w:w w:val="94"/>
              </w:rPr>
              <w:t>(Zip Code)</w:t>
            </w:r>
          </w:p>
        </w:tc>
      </w:tr>
    </w:tbl>
    <w:p>
      <w:pPr>
        <w:spacing w:after="0" w:line="202" w:lineRule="exact"/>
        <w:rPr>
          <w:sz w:val="24"/>
          <w:szCs w:val="24"/>
          <w:color w:val="auto"/>
        </w:rPr>
      </w:pPr>
    </w:p>
    <w:p>
      <w:pPr>
        <w:jc w:val="center"/>
        <w:ind w:right="-699"/>
        <w:spacing w:after="0"/>
        <w:rPr>
          <w:sz w:val="20"/>
          <w:szCs w:val="20"/>
          <w:color w:val="auto"/>
        </w:rPr>
      </w:pPr>
      <w:r>
        <w:rPr>
          <w:rFonts w:ascii="Arial" w:cs="Arial" w:eastAsia="Arial" w:hAnsi="Arial"/>
          <w:sz w:val="18"/>
          <w:szCs w:val="18"/>
          <w:u w:val="single" w:color="auto"/>
          <w:color w:val="auto"/>
        </w:rPr>
        <w:t>(423) 743-9151</w:t>
      </w:r>
    </w:p>
    <w:p>
      <w:pPr>
        <w:spacing w:after="0" w:line="23" w:lineRule="exact"/>
        <w:rPr>
          <w:sz w:val="24"/>
          <w:szCs w:val="24"/>
          <w:color w:val="auto"/>
        </w:rPr>
      </w:pPr>
    </w:p>
    <w:p>
      <w:pPr>
        <w:jc w:val="center"/>
        <w:ind w:right="-69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left="35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9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450215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240" w:top="553" w:right="839" w:bottom="1440" w:gutter="0" w:footer="0" w:header="0"/>
        </w:sectPr>
      </w:pPr>
    </w:p>
    <w:bookmarkStart w:id="1" w:name="page2"/>
    <w:bookmarkEnd w:id="1"/>
    <w:p>
      <w:pPr>
        <w:spacing w:after="0"/>
        <w:tabs>
          <w:tab w:leader="none" w:pos="920" w:val="left"/>
        </w:tabs>
        <w:rPr>
          <w:sz w:val="20"/>
          <w:szCs w:val="20"/>
          <w:color w:val="auto"/>
        </w:rPr>
      </w:pPr>
      <w:r>
        <w:rPr>
          <w:rFonts w:ascii="Arial" w:cs="Arial" w:eastAsia="Arial" w:hAnsi="Arial"/>
          <w:sz w:val="18"/>
          <w:szCs w:val="18"/>
          <w:b w:val="1"/>
          <w:bCs w:val="1"/>
          <w:color w:val="auto"/>
        </w:rPr>
        <w:t>Item 2.02</w:t>
        <w:tab/>
        <w:t>RESULTS OF OPERATIONS AND FINANCIAL CONDITION</w:t>
      </w:r>
    </w:p>
    <w:p>
      <w:pPr>
        <w:spacing w:after="0" w:line="25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May 6, 2014, NN, Inc. (the “Company”) issued a press release, announcing the Company’s results of operations and financial condition for the first quarter ended March 31, 2014. The full text of the press release is furnished as Exhibit 99.1 and is incorporated herein by reference.</w:t>
      </w:r>
    </w:p>
    <w:p>
      <w:pPr>
        <w:spacing w:after="0" w:line="38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25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u w:val="single" w:color="auto"/>
          <w:color w:val="auto"/>
        </w:rPr>
        <w:t>Description</w:t>
      </w:r>
    </w:p>
    <w:p>
      <w:pPr>
        <w:spacing w:after="0" w:line="25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NN, Inc. dated May 6,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733425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240" w:top="513" w:right="75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May 6, 2014</w:t>
      </w:r>
      <w:r>
        <w:rPr>
          <w:sz w:val="20"/>
          <w:szCs w:val="20"/>
          <w:color w:val="auto"/>
        </w:rPr>
        <w:tab/>
      </w:r>
      <w:r>
        <w:rPr>
          <w:rFonts w:ascii="Arial" w:cs="Arial" w:eastAsia="Arial" w:hAnsi="Arial"/>
          <w:sz w:val="17"/>
          <w:szCs w:val="17"/>
          <w:b w:val="1"/>
          <w:bCs w:val="1"/>
          <w:color w:val="auto"/>
        </w:rPr>
        <w:t>NN, Inc.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14605</wp:posOffset>
            </wp:positionV>
            <wp:extent cx="14408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16" w:lineRule="exact"/>
        <w:rPr>
          <w:sz w:val="20"/>
          <w:szCs w:val="20"/>
          <w:color w:val="auto"/>
        </w:rPr>
      </w:pPr>
    </w:p>
    <w:p>
      <w:pPr>
        <w:ind w:left="6060"/>
        <w:spacing w:after="0"/>
        <w:tabs>
          <w:tab w:leader="none" w:pos="67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William C. Kelly, Jr.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Vice President and Chief</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Administrative Officer</w:t>
      </w:r>
    </w:p>
    <w:p>
      <w:pPr>
        <w:sectPr>
          <w:pgSz w:w="11900" w:h="16838" w:orient="portrait"/>
          <w:cols w:equalWidth="0" w:num="1">
            <w:col w:w="11220"/>
          </w:cols>
          <w:pgMar w:left="240" w:top="513" w:right="4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9"/>
          <w:szCs w:val="29"/>
          <w:color w:val="auto"/>
        </w:rPr>
        <w:t>F I N A N C I A L</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RELATIONS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FOR FURTHER INFORMATION: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00" w:type="dxa"/>
            <w:vAlign w:val="bottom"/>
            <w:gridSpan w:val="2"/>
          </w:tcPr>
          <w:p>
            <w:pPr>
              <w:spacing w:after="0"/>
              <w:rPr>
                <w:sz w:val="20"/>
                <w:szCs w:val="20"/>
                <w:color w:val="auto"/>
              </w:rPr>
            </w:pPr>
            <w:r>
              <w:rPr>
                <w:rFonts w:ascii="Arial" w:cs="Arial" w:eastAsia="Arial" w:hAnsi="Arial"/>
                <w:sz w:val="22"/>
                <w:szCs w:val="22"/>
                <w:b w:val="1"/>
                <w:bCs w:val="1"/>
                <w:color w:val="auto"/>
              </w:rPr>
              <w:t>AT THE COMPANY</w:t>
            </w:r>
          </w:p>
        </w:tc>
        <w:tc>
          <w:tcPr>
            <w:tcW w:w="3700" w:type="dxa"/>
            <w:vAlign w:val="bottom"/>
          </w:tcPr>
          <w:p>
            <w:pPr>
              <w:spacing w:after="0"/>
              <w:rPr>
                <w:sz w:val="20"/>
                <w:szCs w:val="20"/>
                <w:color w:val="auto"/>
              </w:rPr>
            </w:pPr>
            <w:r>
              <w:rPr>
                <w:rFonts w:ascii="Arial" w:cs="Arial" w:eastAsia="Arial" w:hAnsi="Arial"/>
                <w:sz w:val="22"/>
                <w:szCs w:val="22"/>
                <w:b w:val="1"/>
                <w:bCs w:val="1"/>
                <w:color w:val="auto"/>
                <w:w w:val="98"/>
              </w:rPr>
              <w:t>AT FINANCIAL RELATIONS BOARD</w:t>
            </w:r>
          </w:p>
        </w:tc>
      </w:tr>
      <w:tr>
        <w:trPr>
          <w:trHeight w:val="222"/>
        </w:trPr>
        <w:tc>
          <w:tcPr>
            <w:tcW w:w="1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Will Kelly</w:t>
            </w:r>
          </w:p>
        </w:tc>
        <w:tc>
          <w:tcPr>
            <w:tcW w:w="1940" w:type="dxa"/>
            <w:vAlign w:val="bottom"/>
          </w:tcPr>
          <w:p>
            <w:pPr>
              <w:spacing w:after="0"/>
              <w:rPr>
                <w:sz w:val="19"/>
                <w:szCs w:val="19"/>
                <w:color w:val="auto"/>
              </w:rPr>
            </w:pPr>
          </w:p>
        </w:tc>
        <w:tc>
          <w:tcPr>
            <w:tcW w:w="3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Marilynn Meek</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Vice President and Chief Administrative Officer</w:t>
            </w:r>
          </w:p>
        </w:tc>
        <w:tc>
          <w:tcPr>
            <w:tcW w:w="3700" w:type="dxa"/>
            <w:vAlign w:val="bottom"/>
          </w:tcPr>
          <w:p>
            <w:pPr>
              <w:spacing w:after="0"/>
              <w:rPr>
                <w:sz w:val="20"/>
                <w:szCs w:val="20"/>
                <w:color w:val="auto"/>
              </w:rPr>
            </w:pPr>
            <w:r>
              <w:rPr>
                <w:rFonts w:ascii="Arial" w:cs="Arial" w:eastAsia="Arial" w:hAnsi="Arial"/>
                <w:sz w:val="18"/>
                <w:szCs w:val="18"/>
                <w:color w:val="auto"/>
              </w:rPr>
              <w:t>(General info)</w:t>
            </w:r>
          </w:p>
        </w:tc>
      </w:tr>
      <w:tr>
        <w:trPr>
          <w:trHeight w:val="230"/>
        </w:trPr>
        <w:tc>
          <w:tcPr>
            <w:tcW w:w="1960" w:type="dxa"/>
            <w:vAlign w:val="bottom"/>
          </w:tcPr>
          <w:p>
            <w:pPr>
              <w:spacing w:after="0"/>
              <w:rPr>
                <w:sz w:val="20"/>
                <w:szCs w:val="20"/>
                <w:color w:val="auto"/>
              </w:rPr>
            </w:pPr>
            <w:r>
              <w:rPr>
                <w:rFonts w:ascii="Arial" w:cs="Arial" w:eastAsia="Arial" w:hAnsi="Arial"/>
                <w:sz w:val="18"/>
                <w:szCs w:val="18"/>
                <w:color w:val="auto"/>
              </w:rPr>
              <w:t>(423) 743-9151</w:t>
            </w:r>
          </w:p>
        </w:tc>
        <w:tc>
          <w:tcPr>
            <w:tcW w:w="194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(212) 827-3773</w:t>
            </w:r>
          </w:p>
        </w:tc>
      </w:tr>
    </w:tbl>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Arial" w:cs="Arial" w:eastAsia="Arial" w:hAnsi="Arial"/>
          <w:sz w:val="61"/>
          <w:szCs w:val="61"/>
          <w:color w:val="auto"/>
        </w:rPr>
        <w:t>n e w 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RE: NN,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2000 Waters Edge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Johnson City, TN 37604</w:t>
      </w:r>
    </w:p>
    <w:p>
      <w:pPr>
        <w:spacing w:after="0" w:line="2295" w:lineRule="exact"/>
        <w:rPr>
          <w:sz w:val="20"/>
          <w:szCs w:val="20"/>
          <w:color w:val="auto"/>
        </w:rPr>
      </w:pPr>
    </w:p>
    <w:p>
      <w:pPr>
        <w:sectPr>
          <w:pgSz w:w="11900" w:h="16838" w:orient="portrait"/>
          <w:cols w:equalWidth="0" w:num="2">
            <w:col w:w="8200" w:space="720"/>
            <w:col w:w="2500"/>
          </w:cols>
          <w:pgMar w:left="240" w:top="112" w:right="239" w:bottom="1440" w:gutter="0" w:footer="0" w:header="0"/>
        </w:sectPr>
      </w:pPr>
    </w:p>
    <w:p>
      <w:pPr>
        <w:spacing w:after="0"/>
        <w:rPr>
          <w:sz w:val="20"/>
          <w:szCs w:val="20"/>
          <w:color w:val="auto"/>
        </w:rPr>
      </w:pPr>
      <w:r>
        <w:rPr>
          <w:rFonts w:ascii="Arial" w:cs="Arial" w:eastAsia="Arial" w:hAnsi="Arial"/>
          <w:sz w:val="20"/>
          <w:szCs w:val="20"/>
          <w:b w:val="1"/>
          <w:bCs w:val="1"/>
          <w:color w:val="auto"/>
        </w:rPr>
        <w:t>FOR IMMEDIATE RELEASE</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May 6, 2014</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 REPORTS EARNINGS FOR 2014 FIRST QUARTER</w:t>
      </w:r>
    </w:p>
    <w:p>
      <w:pPr>
        <w:spacing w:after="0" w:line="252" w:lineRule="exact"/>
        <w:rPr>
          <w:sz w:val="20"/>
          <w:szCs w:val="20"/>
          <w:color w:val="auto"/>
        </w:rPr>
      </w:pPr>
    </w:p>
    <w:p>
      <w:pPr>
        <w:ind w:left="660" w:hanging="139"/>
        <w:spacing w:after="0" w:line="261"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from normal operations for the first quarter ended March 31, 2014 was $5.6 million, or $0.31 per diluted share as compared to $3.6 million, or $0.21 per diluted share for the same period in 2013</w:t>
      </w:r>
    </w:p>
    <w:p>
      <w:pPr>
        <w:ind w:left="660" w:hanging="139"/>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sales increase of $8.7 million, or 9.3% over prior year’s first quarter</w:t>
      </w:r>
    </w:p>
    <w:p>
      <w:pPr>
        <w:spacing w:after="0" w:line="238"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Johnson City, Tenn, May 6, 2014 – NN, Inc. (NASDAQ: NNBR) today reported its financial results for the first quarter ended March 31, 2014. Net sales for the first quarter of 2014 were $102.5 million, an increase of $8.7 million or 9.3% as compared to $93.8 million for the same period of 2013. This included approximately $1.8 million in net sales from the acquisition of the assets of V-S Industries that was announced on February 4, 2014.</w:t>
      </w:r>
    </w:p>
    <w:p>
      <w:pPr>
        <w:spacing w:after="0" w:line="19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Pre-tax income for the first quarter of 2014 was $7.7 million, compared to 2013 first quarter pre-tax income of $4.3 million. This increase was due to improved sales and improved operating performance. Reported net income for first quarter 2014 was $5.2 million or $0.29 per diluted share, compared to prior year’s net income for the first quarter of $2.9 million, or $0.17 per diluted share.</w:t>
      </w:r>
    </w:p>
    <w:p>
      <w:pPr>
        <w:spacing w:after="0" w:line="208"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As a percentage of net sales, cost of goods sold for the quarter decreased to 78.3% from 79.4% for the first quarter in 2013. The decrease in the cost of products sold as a percentage of sales reflects the continuing operational performance improvement in our divisions.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4" w:name="page5"/>
    <w:bookmarkEnd w:id="4"/>
    <w:p>
      <w:pPr>
        <w:ind w:right="100"/>
        <w:spacing w:after="0" w:line="259" w:lineRule="auto"/>
        <w:rPr>
          <w:sz w:val="20"/>
          <w:szCs w:val="20"/>
          <w:color w:val="auto"/>
        </w:rPr>
      </w:pPr>
      <w:r>
        <w:rPr>
          <w:rFonts w:ascii="Arial" w:cs="Arial" w:eastAsia="Arial" w:hAnsi="Arial"/>
          <w:sz w:val="18"/>
          <w:szCs w:val="18"/>
          <w:color w:val="auto"/>
        </w:rPr>
        <w:t>Debt, net of cash, was $45.2 million at March 31, 2014, an increase of $11.8 million over the December 31, 2013 amount of $33.4 million. This situation is historically typical of the first quarter and was mainly due to the purchase of the assets of V-S Industries and the seasonality of funding additional working capital during the first quarter. The Company expects to meet its beginning of the year goals for debt retirement (net of acquisitions) and capital spending of approximately $15.0 million and $23.0 million, respectively.</w:t>
      </w:r>
    </w:p>
    <w:p>
      <w:pPr>
        <w:spacing w:after="0" w:line="214" w:lineRule="exact"/>
        <w:rPr>
          <w:sz w:val="20"/>
          <w:szCs w:val="20"/>
          <w:color w:val="auto"/>
        </w:rPr>
      </w:pPr>
    </w:p>
    <w:p>
      <w:pPr>
        <w:jc w:val="both"/>
        <w:ind w:right="160"/>
        <w:spacing w:after="0" w:line="288" w:lineRule="auto"/>
        <w:rPr>
          <w:sz w:val="20"/>
          <w:szCs w:val="20"/>
          <w:color w:val="auto"/>
        </w:rPr>
      </w:pPr>
      <w:r>
        <w:rPr>
          <w:rFonts w:ascii="Arial" w:cs="Arial" w:eastAsia="Arial" w:hAnsi="Arial"/>
          <w:sz w:val="16"/>
          <w:szCs w:val="16"/>
          <w:color w:val="auto"/>
        </w:rPr>
        <w:t>Richard Holder, President and Chief Executive Officer, commented, “The sales momentum we experienced in 2013 continued to positively affect our 2014 first quarter performance. Quarterly sales and operating income were at the highest level since our 2012 first quarter. The improving economic recovery in Europe, sustained strong growth in China and improving share position and adjacent product expansion were the main drivers behind this positive</w:t>
      </w:r>
    </w:p>
    <w:p>
      <w:pPr>
        <w:spacing w:after="0" w:line="261" w:lineRule="auto"/>
        <w:rPr>
          <w:sz w:val="20"/>
          <w:szCs w:val="20"/>
          <w:color w:val="auto"/>
        </w:rPr>
      </w:pPr>
      <w:r>
        <w:rPr>
          <w:rFonts w:ascii="Arial" w:cs="Arial" w:eastAsia="Arial" w:hAnsi="Arial"/>
          <w:sz w:val="18"/>
          <w:szCs w:val="18"/>
          <w:color w:val="auto"/>
        </w:rPr>
        <w:t>growth. Sales growth in North America was more modest due to a sluggish automotive market that was negatively affected by the harsh weather experienced in January and February.”</w:t>
      </w:r>
    </w:p>
    <w:p>
      <w:pPr>
        <w:spacing w:after="0" w:line="21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Mr. Holder continued “As a Company, we remain persistently focused on maximizing incremental profits for each additional sales dollar. This discipline allowed us to continue to improve margins and bring additional dollars to the bottom line. As expected, the V-S acquisition had a short-term negative impact on margins, however; we expect V-S to become accretive to earnings in the second half of the year.”</w:t>
      </w:r>
    </w:p>
    <w:p>
      <w:pPr>
        <w:spacing w:after="0" w:line="20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Mr. Holder concluded, “Results for the first quarter were in large part as planned. Revenues and profits were in line with our expectations given the current economic environment. We remain positive regarding the remainder of 2014. Our sales levels from European customers have not yet reached pre-recession levels. However, as the industrial and automotive markets of this region return to a more normalized level, we are in an excellent position to further leverage our operational performance improvements and return more profit to the bottom line. Additionally, every person at NN is fully committed and highly focused on the execution of the strategic initiatives of increasing profitable growth that we communicated to you in our enhanced business strategy.”</w:t>
      </w:r>
    </w:p>
    <w:p>
      <w:pPr>
        <w:spacing w:after="0" w:line="18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NN, Inc. manufacturers and supplies high precision metal bearing components, industrial plastic and rubber products and precision metal components to a variety of markets on a global basis. Headquartered in Johnson City, Tennessee, NN has 12 manufacturing plants in the United States, Western Europe, Eastern Europe, Mexico and China. NN, Inc. had sales of US $373 million in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5" w:name="page6"/>
    <w:bookmarkEnd w:id="5"/>
    <w:p>
      <w:pPr>
        <w:spacing w:after="0" w:line="286" w:lineRule="auto"/>
        <w:rPr>
          <w:sz w:val="20"/>
          <w:szCs w:val="20"/>
          <w:color w:val="auto"/>
        </w:rPr>
      </w:pPr>
      <w:r>
        <w:rPr>
          <w:rFonts w:ascii="Arial" w:cs="Arial" w:eastAsia="Arial" w:hAnsi="Arial"/>
          <w:sz w:val="16"/>
          <w:szCs w:val="16"/>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the successful implementation of the global growth plan including development of new products and consummation of potential acquisitions and other risk factors and cautionary statements listed from time to time in the Company’s periodic reports filed with the Securities and Exchange Commission, including, but not limited to, the Company’s Annual Report on Form 10-K for the fiscal year ended December 31, 2013.</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9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0" w:type="dxa"/>
            <w:vAlign w:val="bottom"/>
            <w:vMerge w:val="restart"/>
          </w:tcPr>
          <w:p>
            <w:pPr>
              <w:spacing w:after="0"/>
              <w:rPr>
                <w:sz w:val="20"/>
                <w:szCs w:val="20"/>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2014</w:t>
            </w:r>
          </w:p>
        </w:tc>
        <w:tc>
          <w:tcPr>
            <w:tcW w:w="19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March 31,</w:t>
            </w:r>
          </w:p>
        </w:tc>
        <w:tc>
          <w:tcPr>
            <w:tcW w:w="1260" w:type="dxa"/>
            <w:vAlign w:val="bottom"/>
            <w:vMerge w:val="restart"/>
          </w:tcPr>
          <w:p>
            <w:pPr>
              <w:jc w:val="right"/>
              <w:ind w:right="670"/>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000" w:type="dxa"/>
            <w:vAlign w:val="bottom"/>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22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$ 102,528</w:t>
            </w: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$ 93,797</w:t>
            </w:r>
          </w:p>
        </w:tc>
        <w:tc>
          <w:tcPr>
            <w:tcW w:w="0" w:type="dxa"/>
            <w:vAlign w:val="bottom"/>
          </w:tcPr>
          <w:p>
            <w:pPr>
              <w:spacing w:after="0"/>
              <w:rPr>
                <w:sz w:val="1"/>
                <w:szCs w:val="1"/>
                <w:color w:val="auto"/>
              </w:rPr>
            </w:pPr>
          </w:p>
        </w:tc>
      </w:tr>
      <w:tr>
        <w:trPr>
          <w:trHeight w:val="216"/>
        </w:trPr>
        <w:tc>
          <w:tcPr>
            <w:tcW w:w="8220" w:type="dxa"/>
            <w:vAlign w:val="bottom"/>
            <w:gridSpan w:val="2"/>
          </w:tcPr>
          <w:p>
            <w:pPr>
              <w:spacing w:after="0"/>
              <w:rPr>
                <w:sz w:val="20"/>
                <w:szCs w:val="20"/>
                <w:color w:val="auto"/>
              </w:rPr>
            </w:pPr>
            <w:r>
              <w:rPr>
                <w:rFonts w:ascii="Arial" w:cs="Arial" w:eastAsia="Arial" w:hAnsi="Arial"/>
                <w:sz w:val="18"/>
                <w:szCs w:val="18"/>
                <w:color w:val="auto"/>
              </w:rPr>
              <w:t>Cost of goods sold (exclusive of depreciation</w:t>
            </w: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gridSpan w:val="2"/>
          </w:tcPr>
          <w:p>
            <w:pPr>
              <w:ind w:left="140"/>
              <w:spacing w:after="0"/>
              <w:rPr>
                <w:sz w:val="20"/>
                <w:szCs w:val="20"/>
                <w:color w:val="auto"/>
              </w:rPr>
            </w:pPr>
            <w:r>
              <w:rPr>
                <w:rFonts w:ascii="Arial" w:cs="Arial" w:eastAsia="Arial" w:hAnsi="Arial"/>
                <w:sz w:val="18"/>
                <w:szCs w:val="18"/>
                <w:color w:val="auto"/>
              </w:rPr>
              <w:t>shown separately below)</w:t>
            </w:r>
          </w:p>
        </w:tc>
        <w:tc>
          <w:tcPr>
            <w:tcW w:w="800" w:type="dxa"/>
            <w:vAlign w:val="bottom"/>
          </w:tcPr>
          <w:p>
            <w:pPr>
              <w:jc w:val="right"/>
              <w:spacing w:after="0"/>
              <w:rPr>
                <w:sz w:val="20"/>
                <w:szCs w:val="20"/>
                <w:color w:val="auto"/>
              </w:rPr>
            </w:pPr>
            <w:r>
              <w:rPr>
                <w:rFonts w:ascii="Arial" w:cs="Arial" w:eastAsia="Arial" w:hAnsi="Arial"/>
                <w:sz w:val="18"/>
                <w:szCs w:val="18"/>
                <w:color w:val="auto"/>
              </w:rPr>
              <w:t>80,283</w:t>
            </w: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74,517</w:t>
            </w:r>
          </w:p>
        </w:tc>
        <w:tc>
          <w:tcPr>
            <w:tcW w:w="0" w:type="dxa"/>
            <w:vAlign w:val="bottom"/>
          </w:tcPr>
          <w:p>
            <w:pPr>
              <w:spacing w:after="0"/>
              <w:rPr>
                <w:sz w:val="1"/>
                <w:szCs w:val="1"/>
                <w:color w:val="auto"/>
              </w:rPr>
            </w:pPr>
          </w:p>
        </w:tc>
      </w:tr>
      <w:tr>
        <w:trPr>
          <w:trHeight w:val="216"/>
        </w:trPr>
        <w:tc>
          <w:tcPr>
            <w:tcW w:w="822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800" w:type="dxa"/>
            <w:vAlign w:val="bottom"/>
          </w:tcPr>
          <w:p>
            <w:pPr>
              <w:jc w:val="right"/>
              <w:spacing w:after="0"/>
              <w:rPr>
                <w:sz w:val="20"/>
                <w:szCs w:val="20"/>
                <w:color w:val="auto"/>
              </w:rPr>
            </w:pPr>
            <w:r>
              <w:rPr>
                <w:rFonts w:ascii="Arial" w:cs="Arial" w:eastAsia="Arial" w:hAnsi="Arial"/>
                <w:sz w:val="18"/>
                <w:szCs w:val="18"/>
                <w:color w:val="auto"/>
              </w:rPr>
              <w:t>10,030</w:t>
            </w: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9,106</w:t>
            </w:r>
          </w:p>
        </w:tc>
        <w:tc>
          <w:tcPr>
            <w:tcW w:w="0" w:type="dxa"/>
            <w:vAlign w:val="bottom"/>
          </w:tcPr>
          <w:p>
            <w:pPr>
              <w:spacing w:after="0"/>
              <w:rPr>
                <w:sz w:val="1"/>
                <w:szCs w:val="1"/>
                <w:color w:val="auto"/>
              </w:rPr>
            </w:pPr>
          </w:p>
        </w:tc>
      </w:tr>
      <w:tr>
        <w:trPr>
          <w:trHeight w:val="216"/>
        </w:trPr>
        <w:tc>
          <w:tcPr>
            <w:tcW w:w="82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800" w:type="dxa"/>
            <w:vAlign w:val="bottom"/>
          </w:tcPr>
          <w:p>
            <w:pPr>
              <w:jc w:val="right"/>
              <w:spacing w:after="0"/>
              <w:rPr>
                <w:sz w:val="20"/>
                <w:szCs w:val="20"/>
                <w:color w:val="auto"/>
              </w:rPr>
            </w:pPr>
            <w:r>
              <w:rPr>
                <w:rFonts w:ascii="Arial" w:cs="Arial" w:eastAsia="Arial" w:hAnsi="Arial"/>
                <w:sz w:val="18"/>
                <w:szCs w:val="18"/>
                <w:color w:val="auto"/>
              </w:rPr>
              <w:t>3,877</w:t>
            </w: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4,531</w:t>
            </w:r>
          </w:p>
        </w:tc>
        <w:tc>
          <w:tcPr>
            <w:tcW w:w="0" w:type="dxa"/>
            <w:vAlign w:val="bottom"/>
          </w:tcPr>
          <w:p>
            <w:pPr>
              <w:spacing w:after="0"/>
              <w:rPr>
                <w:sz w:val="1"/>
                <w:szCs w:val="1"/>
                <w:color w:val="auto"/>
              </w:rPr>
            </w:pPr>
          </w:p>
        </w:tc>
      </w:tr>
      <w:tr>
        <w:trPr>
          <w:trHeight w:val="237"/>
        </w:trPr>
        <w:tc>
          <w:tcPr>
            <w:tcW w:w="8220" w:type="dxa"/>
            <w:vAlign w:val="bottom"/>
            <w:gridSpan w:val="2"/>
          </w:tcPr>
          <w:p>
            <w:pPr>
              <w:spacing w:after="0"/>
              <w:rPr>
                <w:sz w:val="20"/>
                <w:szCs w:val="20"/>
                <w:color w:val="auto"/>
              </w:rPr>
            </w:pPr>
            <w:r>
              <w:rPr>
                <w:rFonts w:ascii="Arial" w:cs="Arial" w:eastAsia="Arial" w:hAnsi="Arial"/>
                <w:sz w:val="18"/>
                <w:szCs w:val="18"/>
                <w:color w:val="auto"/>
              </w:rPr>
              <w:t>Loss on disposal of assets</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8,338</w:t>
            </w:r>
          </w:p>
        </w:tc>
        <w:tc>
          <w:tcPr>
            <w:tcW w:w="5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5,639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82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800" w:type="dxa"/>
            <w:vAlign w:val="bottom"/>
          </w:tcPr>
          <w:p>
            <w:pPr>
              <w:jc w:val="right"/>
              <w:spacing w:after="0"/>
              <w:rPr>
                <w:sz w:val="20"/>
                <w:szCs w:val="20"/>
                <w:color w:val="auto"/>
              </w:rPr>
            </w:pPr>
            <w:r>
              <w:rPr>
                <w:rFonts w:ascii="Arial" w:cs="Arial" w:eastAsia="Arial" w:hAnsi="Arial"/>
                <w:sz w:val="18"/>
                <w:szCs w:val="18"/>
                <w:color w:val="auto"/>
              </w:rPr>
              <w:t>564</w:t>
            </w: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37"/>
        </w:trPr>
        <w:tc>
          <w:tcPr>
            <w:tcW w:w="8220" w:type="dxa"/>
            <w:vAlign w:val="bottom"/>
            <w:gridSpan w:val="2"/>
          </w:tcPr>
          <w:p>
            <w:pPr>
              <w:spacing w:after="0"/>
              <w:rPr>
                <w:sz w:val="20"/>
                <w:szCs w:val="20"/>
                <w:color w:val="auto"/>
              </w:rPr>
            </w:pPr>
            <w:r>
              <w:rPr>
                <w:rFonts w:ascii="Arial" w:cs="Arial" w:eastAsia="Arial" w:hAnsi="Arial"/>
                <w:sz w:val="18"/>
                <w:szCs w:val="18"/>
                <w:color w:val="auto"/>
              </w:rPr>
              <w:t>Other expense, net</w:t>
            </w:r>
          </w:p>
        </w:tc>
        <w:tc>
          <w:tcPr>
            <w:tcW w:w="800" w:type="dxa"/>
            <w:vAlign w:val="bottom"/>
          </w:tcPr>
          <w:p>
            <w:pPr>
              <w:jc w:val="right"/>
              <w:spacing w:after="0"/>
              <w:rPr>
                <w:sz w:val="20"/>
                <w:szCs w:val="20"/>
                <w:color w:val="auto"/>
              </w:rPr>
            </w:pPr>
            <w:r>
              <w:rPr>
                <w:rFonts w:ascii="Arial" w:cs="Arial" w:eastAsia="Arial" w:hAnsi="Arial"/>
                <w:sz w:val="18"/>
                <w:szCs w:val="18"/>
                <w:color w:val="auto"/>
              </w:rPr>
              <w:t>83</w:t>
            </w: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02"/>
        </w:trPr>
        <w:tc>
          <w:tcPr>
            <w:tcW w:w="7000" w:type="dxa"/>
            <w:vAlign w:val="bottom"/>
          </w:tcPr>
          <w:p>
            <w:pPr>
              <w:spacing w:after="0" w:line="201" w:lineRule="exact"/>
              <w:rPr>
                <w:sz w:val="20"/>
                <w:szCs w:val="20"/>
                <w:color w:val="auto"/>
              </w:rPr>
            </w:pPr>
            <w:r>
              <w:rPr>
                <w:rFonts w:ascii="Arial" w:cs="Arial" w:eastAsia="Arial" w:hAnsi="Arial"/>
                <w:sz w:val="18"/>
                <w:szCs w:val="18"/>
                <w:color w:val="auto"/>
              </w:rPr>
              <w:t>Income before provision for income taxes</w:t>
            </w:r>
          </w:p>
        </w:tc>
        <w:tc>
          <w:tcPr>
            <w:tcW w:w="1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7,691</w:t>
            </w:r>
          </w:p>
        </w:tc>
        <w:tc>
          <w:tcPr>
            <w:tcW w:w="50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4,275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0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2,453</w:t>
            </w:r>
          </w:p>
        </w:tc>
        <w:tc>
          <w:tcPr>
            <w:tcW w:w="50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00" w:type="dxa"/>
            <w:vAlign w:val="bottom"/>
          </w:tcPr>
          <w:p>
            <w:pPr>
              <w:spacing w:after="0"/>
              <w:rPr>
                <w:sz w:val="20"/>
                <w:szCs w:val="20"/>
                <w:color w:val="auto"/>
              </w:rPr>
            </w:pPr>
            <w:r>
              <w:rPr>
                <w:rFonts w:ascii="Arial" w:cs="Arial" w:eastAsia="Arial" w:hAnsi="Arial"/>
                <w:sz w:val="18"/>
                <w:szCs w:val="18"/>
                <w:color w:val="auto"/>
              </w:rPr>
              <w:t>Net income</w:t>
            </w:r>
          </w:p>
        </w:tc>
        <w:tc>
          <w:tcPr>
            <w:tcW w:w="1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5,238</w:t>
            </w:r>
          </w:p>
        </w:tc>
        <w:tc>
          <w:tcPr>
            <w:tcW w:w="50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70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7000" w:type="dxa"/>
            <w:vAlign w:val="bottom"/>
          </w:tcPr>
          <w:p>
            <w:pPr>
              <w:spacing w:after="0"/>
              <w:rPr>
                <w:sz w:val="20"/>
                <w:szCs w:val="20"/>
                <w:color w:val="auto"/>
              </w:rPr>
            </w:pPr>
            <w:r>
              <w:rPr>
                <w:rFonts w:ascii="Arial" w:cs="Arial" w:eastAsia="Arial" w:hAnsi="Arial"/>
                <w:sz w:val="18"/>
                <w:szCs w:val="18"/>
                <w:color w:val="auto"/>
              </w:rPr>
              <w:t>Diluted income per common share</w:t>
            </w:r>
          </w:p>
        </w:tc>
        <w:tc>
          <w:tcPr>
            <w:tcW w:w="1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$ 0.29</w:t>
            </w:r>
          </w:p>
        </w:tc>
        <w:tc>
          <w:tcPr>
            <w:tcW w:w="50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0.17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70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220" w:type="dxa"/>
            <w:vAlign w:val="bottom"/>
            <w:gridSpan w:val="2"/>
          </w:tcPr>
          <w:p>
            <w:pPr>
              <w:spacing w:after="0"/>
              <w:rPr>
                <w:sz w:val="20"/>
                <w:szCs w:val="20"/>
                <w:color w:val="auto"/>
              </w:rPr>
            </w:pPr>
            <w:r>
              <w:rPr>
                <w:rFonts w:ascii="Arial" w:cs="Arial" w:eastAsia="Arial" w:hAnsi="Arial"/>
                <w:sz w:val="18"/>
                <w:szCs w:val="18"/>
                <w:color w:val="auto"/>
              </w:rPr>
              <w:t>Weighted average diluted shares</w:t>
            </w:r>
          </w:p>
        </w:tc>
        <w:tc>
          <w:tcPr>
            <w:tcW w:w="800" w:type="dxa"/>
            <w:vAlign w:val="bottom"/>
          </w:tcPr>
          <w:p>
            <w:pPr>
              <w:jc w:val="right"/>
              <w:spacing w:after="0"/>
              <w:rPr>
                <w:sz w:val="20"/>
                <w:szCs w:val="20"/>
                <w:color w:val="auto"/>
              </w:rPr>
            </w:pPr>
            <w:r>
              <w:rPr>
                <w:rFonts w:ascii="Arial" w:cs="Arial" w:eastAsia="Arial" w:hAnsi="Arial"/>
                <w:sz w:val="18"/>
                <w:szCs w:val="18"/>
                <w:color w:val="auto"/>
              </w:rPr>
              <w:t>17,962</w:t>
            </w: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17,162</w:t>
            </w:r>
          </w:p>
        </w:tc>
        <w:tc>
          <w:tcPr>
            <w:tcW w:w="0" w:type="dxa"/>
            <w:vAlign w:val="bottom"/>
          </w:tcPr>
          <w:p>
            <w:pPr>
              <w:spacing w:after="0"/>
              <w:rPr>
                <w:sz w:val="1"/>
                <w:szCs w:val="1"/>
                <w:color w:val="auto"/>
              </w:rPr>
            </w:pPr>
          </w:p>
        </w:tc>
      </w:tr>
      <w:tr>
        <w:trPr>
          <w:trHeight w:val="21"/>
        </w:trPr>
        <w:tc>
          <w:tcPr>
            <w:tcW w:w="70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5"/>
        </w:trPr>
        <w:tc>
          <w:tcPr>
            <w:tcW w:w="700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3"/>
          </w:tcPr>
          <w:p>
            <w:pPr>
              <w:ind w:left="500"/>
              <w:spacing w:after="0"/>
              <w:rPr>
                <w:sz w:val="20"/>
                <w:szCs w:val="20"/>
                <w:color w:val="auto"/>
              </w:rPr>
            </w:pPr>
            <w:r>
              <w:rPr>
                <w:rFonts w:ascii="Arial" w:cs="Arial" w:eastAsia="Arial" w:hAnsi="Arial"/>
                <w:sz w:val="18"/>
                <w:szCs w:val="18"/>
                <w:b w:val="1"/>
                <w:bCs w:val="1"/>
                <w:color w:val="auto"/>
              </w:rPr>
              <w:t>March 31,</w:t>
            </w:r>
          </w:p>
        </w:tc>
        <w:tc>
          <w:tcPr>
            <w:tcW w:w="2720" w:type="dxa"/>
            <w:vAlign w:val="bottom"/>
            <w:gridSpan w:val="3"/>
          </w:tcPr>
          <w:p>
            <w:pPr>
              <w:jc w:val="right"/>
              <w:ind w:right="13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2014</w:t>
            </w:r>
          </w:p>
        </w:tc>
        <w:tc>
          <w:tcPr>
            <w:tcW w:w="580" w:type="dxa"/>
            <w:vAlign w:val="bottom"/>
            <w:tcBorders>
              <w:bottom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580" w:type="dxa"/>
            <w:vAlign w:val="bottom"/>
            <w:tcBorders>
              <w:bottom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1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Current Assets:</w:t>
            </w: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Cash</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4,542</w:t>
            </w:r>
          </w:p>
        </w:tc>
        <w:tc>
          <w:tcPr>
            <w:tcW w:w="9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0"/>
              <w:spacing w:after="0"/>
              <w:rPr>
                <w:sz w:val="20"/>
                <w:szCs w:val="20"/>
                <w:color w:val="auto"/>
              </w:rPr>
            </w:pPr>
            <w:r>
              <w:rPr>
                <w:rFonts w:ascii="Arial" w:cs="Arial" w:eastAsia="Arial" w:hAnsi="Arial"/>
                <w:sz w:val="18"/>
                <w:szCs w:val="18"/>
                <w:color w:val="auto"/>
              </w:rPr>
              <w:t>3,039</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74,165</w:t>
            </w: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20" w:type="dxa"/>
            <w:vAlign w:val="bottom"/>
            <w:gridSpan w:val="2"/>
          </w:tcPr>
          <w:p>
            <w:pPr>
              <w:jc w:val="right"/>
              <w:ind w:right="1040"/>
              <w:spacing w:after="0"/>
              <w:rPr>
                <w:sz w:val="20"/>
                <w:szCs w:val="20"/>
                <w:color w:val="auto"/>
              </w:rPr>
            </w:pPr>
            <w:r>
              <w:rPr>
                <w:rFonts w:ascii="Arial" w:cs="Arial" w:eastAsia="Arial" w:hAnsi="Arial"/>
                <w:sz w:val="18"/>
                <w:szCs w:val="18"/>
                <w:color w:val="auto"/>
              </w:rPr>
              <w:t>58,929</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Inventories</w:t>
            </w:r>
          </w:p>
        </w:tc>
        <w:tc>
          <w:tcPr>
            <w:tcW w:w="1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57,449</w:t>
            </w: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20" w:type="dxa"/>
            <w:vAlign w:val="bottom"/>
            <w:gridSpan w:val="2"/>
          </w:tcPr>
          <w:p>
            <w:pPr>
              <w:jc w:val="right"/>
              <w:ind w:right="1040"/>
              <w:spacing w:after="0"/>
              <w:rPr>
                <w:sz w:val="20"/>
                <w:szCs w:val="20"/>
                <w:color w:val="auto"/>
              </w:rPr>
            </w:pPr>
            <w:r>
              <w:rPr>
                <w:rFonts w:ascii="Arial" w:cs="Arial" w:eastAsia="Arial" w:hAnsi="Arial"/>
                <w:sz w:val="18"/>
                <w:szCs w:val="18"/>
                <w:color w:val="auto"/>
              </w:rPr>
              <w:t>54,530</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Arial" w:cs="Arial" w:eastAsia="Arial" w:hAnsi="Arial"/>
                <w:sz w:val="18"/>
                <w:szCs w:val="18"/>
                <w:color w:val="auto"/>
              </w:rPr>
              <w:t>Other current assets</w:t>
            </w:r>
          </w:p>
        </w:tc>
        <w:tc>
          <w:tcPr>
            <w:tcW w:w="1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10,221</w:t>
            </w:r>
          </w:p>
        </w:tc>
        <w:tc>
          <w:tcPr>
            <w:tcW w:w="9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20" w:type="dxa"/>
            <w:vAlign w:val="bottom"/>
            <w:gridSpan w:val="2"/>
          </w:tcPr>
          <w:p>
            <w:pPr>
              <w:jc w:val="right"/>
              <w:ind w:right="1040"/>
              <w:spacing w:after="0"/>
              <w:rPr>
                <w:sz w:val="20"/>
                <w:szCs w:val="20"/>
                <w:color w:val="auto"/>
              </w:rPr>
            </w:pPr>
            <w:r>
              <w:rPr>
                <w:rFonts w:ascii="Arial" w:cs="Arial" w:eastAsia="Arial" w:hAnsi="Arial"/>
                <w:sz w:val="18"/>
                <w:szCs w:val="18"/>
                <w:color w:val="auto"/>
              </w:rPr>
              <w:t>9,176</w:t>
            </w:r>
          </w:p>
        </w:tc>
        <w:tc>
          <w:tcPr>
            <w:tcW w:w="0" w:type="dxa"/>
            <w:vAlign w:val="bottom"/>
          </w:tcPr>
          <w:p>
            <w:pPr>
              <w:spacing w:after="0"/>
              <w:rPr>
                <w:sz w:val="1"/>
                <w:szCs w:val="1"/>
                <w:color w:val="auto"/>
              </w:rPr>
            </w:pP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Total current assets</w:t>
            </w:r>
          </w:p>
        </w:tc>
        <w:tc>
          <w:tcPr>
            <w:tcW w:w="12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146,377</w:t>
            </w:r>
          </w:p>
        </w:tc>
        <w:tc>
          <w:tcPr>
            <w:tcW w:w="94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125,674</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59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125,742</w:t>
            </w: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gridSpan w:val="2"/>
          </w:tcPr>
          <w:p>
            <w:pPr>
              <w:jc w:val="right"/>
              <w:ind w:right="1040"/>
              <w:spacing w:after="0"/>
              <w:rPr>
                <w:sz w:val="20"/>
                <w:szCs w:val="20"/>
                <w:color w:val="auto"/>
              </w:rPr>
            </w:pPr>
            <w:r>
              <w:rPr>
                <w:rFonts w:ascii="Arial" w:cs="Arial" w:eastAsia="Arial" w:hAnsi="Arial"/>
                <w:sz w:val="18"/>
                <w:szCs w:val="18"/>
                <w:color w:val="auto"/>
                <w:w w:val="86"/>
              </w:rPr>
              <w:t>121,089</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Goodwill, net</w:t>
            </w:r>
          </w:p>
        </w:tc>
        <w:tc>
          <w:tcPr>
            <w:tcW w:w="1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8,959</w:t>
            </w: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20" w:type="dxa"/>
            <w:vAlign w:val="bottom"/>
            <w:gridSpan w:val="2"/>
          </w:tcPr>
          <w:p>
            <w:pPr>
              <w:jc w:val="right"/>
              <w:ind w:right="1040"/>
              <w:spacing w:after="0"/>
              <w:rPr>
                <w:sz w:val="20"/>
                <w:szCs w:val="20"/>
                <w:color w:val="auto"/>
              </w:rPr>
            </w:pPr>
            <w:r>
              <w:rPr>
                <w:rFonts w:ascii="Arial" w:cs="Arial" w:eastAsia="Arial" w:hAnsi="Arial"/>
                <w:sz w:val="18"/>
                <w:szCs w:val="18"/>
                <w:color w:val="auto"/>
              </w:rPr>
              <w:t>8,624</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Intangible assets</w:t>
            </w:r>
          </w:p>
        </w:tc>
        <w:tc>
          <w:tcPr>
            <w:tcW w:w="1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975</w:t>
            </w: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20" w:type="dxa"/>
            <w:vAlign w:val="bottom"/>
            <w:gridSpan w:val="2"/>
          </w:tcPr>
          <w:p>
            <w:pPr>
              <w:jc w:val="right"/>
              <w:ind w:right="104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4,936</w:t>
            </w:r>
          </w:p>
        </w:tc>
        <w:tc>
          <w:tcPr>
            <w:tcW w:w="9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20" w:type="dxa"/>
            <w:vAlign w:val="bottom"/>
            <w:gridSpan w:val="2"/>
          </w:tcPr>
          <w:p>
            <w:pPr>
              <w:jc w:val="right"/>
              <w:ind w:right="1040"/>
              <w:spacing w:after="0"/>
              <w:rPr>
                <w:sz w:val="20"/>
                <w:szCs w:val="20"/>
                <w:color w:val="auto"/>
              </w:rPr>
            </w:pPr>
            <w:r>
              <w:rPr>
                <w:rFonts w:ascii="Arial" w:cs="Arial" w:eastAsia="Arial" w:hAnsi="Arial"/>
                <w:sz w:val="18"/>
                <w:szCs w:val="18"/>
                <w:color w:val="auto"/>
              </w:rPr>
              <w:t>6,115</w:t>
            </w:r>
          </w:p>
        </w:tc>
        <w:tc>
          <w:tcPr>
            <w:tcW w:w="0" w:type="dxa"/>
            <w:vAlign w:val="bottom"/>
          </w:tcPr>
          <w:p>
            <w:pPr>
              <w:spacing w:after="0"/>
              <w:rPr>
                <w:sz w:val="1"/>
                <w:szCs w:val="1"/>
                <w:color w:val="auto"/>
              </w:rPr>
            </w:pPr>
          </w:p>
        </w:tc>
      </w:tr>
      <w:tr>
        <w:trPr>
          <w:trHeight w:val="216"/>
        </w:trPr>
        <w:tc>
          <w:tcPr>
            <w:tcW w:w="5980" w:type="dxa"/>
            <w:vAlign w:val="bottom"/>
          </w:tcPr>
          <w:p>
            <w:pPr>
              <w:ind w:left="140"/>
              <w:spacing w:after="0" w:line="196" w:lineRule="exact"/>
              <w:rPr>
                <w:sz w:val="20"/>
                <w:szCs w:val="20"/>
                <w:color w:val="auto"/>
              </w:rPr>
            </w:pPr>
            <w:r>
              <w:rPr>
                <w:rFonts w:ascii="Arial" w:cs="Arial" w:eastAsia="Arial" w:hAnsi="Arial"/>
                <w:sz w:val="18"/>
                <w:szCs w:val="18"/>
                <w:color w:val="auto"/>
              </w:rPr>
              <w:t>Total assets</w:t>
            </w:r>
          </w:p>
        </w:tc>
        <w:tc>
          <w:tcPr>
            <w:tcW w:w="1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6"/>
              </w:rPr>
              <w:t>286,989</w:t>
            </w:r>
          </w:p>
        </w:tc>
        <w:tc>
          <w:tcPr>
            <w:tcW w:w="94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6"/>
              </w:rPr>
              <w:t>262,402</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9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598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Current liabilities:</w:t>
            </w: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Accounts payable</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45,816</w:t>
            </w:r>
          </w:p>
        </w:tc>
        <w:tc>
          <w:tcPr>
            <w:tcW w:w="9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0"/>
              <w:spacing w:after="0"/>
              <w:rPr>
                <w:sz w:val="20"/>
                <w:szCs w:val="20"/>
                <w:color w:val="auto"/>
              </w:rPr>
            </w:pPr>
            <w:r>
              <w:rPr>
                <w:rFonts w:ascii="Arial" w:cs="Arial" w:eastAsia="Arial" w:hAnsi="Arial"/>
                <w:sz w:val="18"/>
                <w:szCs w:val="18"/>
                <w:color w:val="auto"/>
              </w:rPr>
              <w:t>40,687</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Accrued salaries, wages and benefits</w:t>
            </w:r>
          </w:p>
        </w:tc>
        <w:tc>
          <w:tcPr>
            <w:tcW w:w="1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11,215</w:t>
            </w: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11,761</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Current maturities of long-term debt</w:t>
            </w:r>
          </w:p>
        </w:tc>
        <w:tc>
          <w:tcPr>
            <w:tcW w:w="1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13,752</w:t>
            </w: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20" w:type="dxa"/>
            <w:vAlign w:val="bottom"/>
            <w:gridSpan w:val="2"/>
          </w:tcPr>
          <w:p>
            <w:pPr>
              <w:jc w:val="right"/>
              <w:ind w:right="1040"/>
              <w:spacing w:after="0"/>
              <w:rPr>
                <w:sz w:val="20"/>
                <w:szCs w:val="20"/>
                <w:color w:val="auto"/>
              </w:rPr>
            </w:pPr>
            <w:r>
              <w:rPr>
                <w:rFonts w:ascii="Arial" w:cs="Arial" w:eastAsia="Arial" w:hAnsi="Arial"/>
                <w:sz w:val="18"/>
                <w:szCs w:val="18"/>
                <w:color w:val="auto"/>
              </w:rPr>
              <w:t>10,477</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Income taxes payable</w:t>
            </w:r>
          </w:p>
        </w:tc>
        <w:tc>
          <w:tcPr>
            <w:tcW w:w="1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2,496</w:t>
            </w: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20" w:type="dxa"/>
            <w:vAlign w:val="bottom"/>
            <w:gridSpan w:val="2"/>
          </w:tcPr>
          <w:p>
            <w:pPr>
              <w:jc w:val="right"/>
              <w:ind w:right="104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6,453</w:t>
            </w:r>
          </w:p>
        </w:tc>
        <w:tc>
          <w:tcPr>
            <w:tcW w:w="9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20" w:type="dxa"/>
            <w:vAlign w:val="bottom"/>
            <w:gridSpan w:val="2"/>
          </w:tcPr>
          <w:p>
            <w:pPr>
              <w:jc w:val="right"/>
              <w:ind w:right="1040"/>
              <w:spacing w:after="0"/>
              <w:rPr>
                <w:sz w:val="20"/>
                <w:szCs w:val="20"/>
                <w:color w:val="auto"/>
              </w:rPr>
            </w:pPr>
            <w:r>
              <w:rPr>
                <w:rFonts w:ascii="Arial" w:cs="Arial" w:eastAsia="Arial" w:hAnsi="Arial"/>
                <w:sz w:val="18"/>
                <w:szCs w:val="18"/>
                <w:color w:val="auto"/>
              </w:rPr>
              <w:t>5,119</w:t>
            </w:r>
          </w:p>
        </w:tc>
        <w:tc>
          <w:tcPr>
            <w:tcW w:w="0" w:type="dxa"/>
            <w:vAlign w:val="bottom"/>
          </w:tcPr>
          <w:p>
            <w:pPr>
              <w:spacing w:after="0"/>
              <w:rPr>
                <w:sz w:val="1"/>
                <w:szCs w:val="1"/>
                <w:color w:val="auto"/>
              </w:rPr>
            </w:pP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Total current liabilities</w:t>
            </w:r>
          </w:p>
        </w:tc>
        <w:tc>
          <w:tcPr>
            <w:tcW w:w="12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79,732</w:t>
            </w:r>
          </w:p>
        </w:tc>
        <w:tc>
          <w:tcPr>
            <w:tcW w:w="94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69,384</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5980" w:type="dxa"/>
            <w:vAlign w:val="bottom"/>
          </w:tcPr>
          <w:p>
            <w:pPr>
              <w:spacing w:after="0"/>
              <w:rPr>
                <w:sz w:val="20"/>
                <w:szCs w:val="20"/>
                <w:color w:val="auto"/>
              </w:rPr>
            </w:pPr>
            <w:r>
              <w:rPr>
                <w:rFonts w:ascii="Arial" w:cs="Arial" w:eastAsia="Arial" w:hAnsi="Arial"/>
                <w:sz w:val="18"/>
                <w:szCs w:val="18"/>
                <w:color w:val="auto"/>
              </w:rPr>
              <w:t>Non-current deferred tax liabilities</w:t>
            </w:r>
          </w:p>
        </w:tc>
        <w:tc>
          <w:tcPr>
            <w:tcW w:w="1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3,936</w:t>
            </w: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gridSpan w:val="2"/>
          </w:tcPr>
          <w:p>
            <w:pPr>
              <w:jc w:val="right"/>
              <w:ind w:right="1040"/>
              <w:spacing w:after="0"/>
              <w:rPr>
                <w:sz w:val="20"/>
                <w:szCs w:val="20"/>
                <w:color w:val="auto"/>
              </w:rPr>
            </w:pPr>
            <w:r>
              <w:rPr>
                <w:rFonts w:ascii="Arial" w:cs="Arial" w:eastAsia="Arial" w:hAnsi="Arial"/>
                <w:sz w:val="18"/>
                <w:szCs w:val="18"/>
                <w:color w:val="auto"/>
              </w:rPr>
              <w:t>3,844</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1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36,000</w:t>
            </w: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20" w:type="dxa"/>
            <w:vAlign w:val="bottom"/>
            <w:gridSpan w:val="2"/>
          </w:tcPr>
          <w:p>
            <w:pPr>
              <w:jc w:val="right"/>
              <w:ind w:right="1040"/>
              <w:spacing w:after="0"/>
              <w:rPr>
                <w:sz w:val="20"/>
                <w:szCs w:val="20"/>
                <w:color w:val="auto"/>
              </w:rPr>
            </w:pPr>
            <w:r>
              <w:rPr>
                <w:rFonts w:ascii="Arial" w:cs="Arial" w:eastAsia="Arial" w:hAnsi="Arial"/>
                <w:sz w:val="18"/>
                <w:szCs w:val="18"/>
                <w:color w:val="auto"/>
              </w:rPr>
              <w:t>26,000</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10,299</w:t>
            </w:r>
          </w:p>
        </w:tc>
        <w:tc>
          <w:tcPr>
            <w:tcW w:w="9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20" w:type="dxa"/>
            <w:vAlign w:val="bottom"/>
            <w:gridSpan w:val="2"/>
          </w:tcPr>
          <w:p>
            <w:pPr>
              <w:jc w:val="right"/>
              <w:ind w:right="1040"/>
              <w:spacing w:after="0"/>
              <w:rPr>
                <w:sz w:val="20"/>
                <w:szCs w:val="20"/>
                <w:color w:val="auto"/>
              </w:rPr>
            </w:pPr>
            <w:r>
              <w:rPr>
                <w:rFonts w:ascii="Arial" w:cs="Arial" w:eastAsia="Arial" w:hAnsi="Arial"/>
                <w:sz w:val="18"/>
                <w:szCs w:val="18"/>
                <w:color w:val="auto"/>
              </w:rPr>
              <w:t>10,414</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Total liabilities</w:t>
            </w:r>
          </w:p>
        </w:tc>
        <w:tc>
          <w:tcPr>
            <w:tcW w:w="12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129,967</w:t>
            </w:r>
          </w:p>
        </w:tc>
        <w:tc>
          <w:tcPr>
            <w:tcW w:w="94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109,642</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9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157,022</w:t>
            </w: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gridSpan w:val="2"/>
          </w:tcPr>
          <w:p>
            <w:pPr>
              <w:jc w:val="right"/>
              <w:ind w:right="1040"/>
              <w:spacing w:after="0"/>
              <w:rPr>
                <w:sz w:val="20"/>
                <w:szCs w:val="20"/>
                <w:color w:val="auto"/>
              </w:rPr>
            </w:pPr>
            <w:r>
              <w:rPr>
                <w:rFonts w:ascii="Arial" w:cs="Arial" w:eastAsia="Arial" w:hAnsi="Arial"/>
                <w:sz w:val="18"/>
                <w:szCs w:val="18"/>
                <w:color w:val="auto"/>
                <w:w w:val="86"/>
              </w:rPr>
              <w:t>152,760</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59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286,989</w:t>
            </w:r>
          </w:p>
        </w:tc>
        <w:tc>
          <w:tcPr>
            <w:tcW w:w="940" w:type="dxa"/>
            <w:vAlign w:val="bottom"/>
          </w:tcPr>
          <w:p>
            <w:pPr>
              <w:spacing w:after="0"/>
              <w:rPr>
                <w:sz w:val="24"/>
                <w:szCs w:val="24"/>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0"/>
              <w:spacing w:after="0"/>
              <w:rPr>
                <w:sz w:val="20"/>
                <w:szCs w:val="20"/>
                <w:color w:val="auto"/>
              </w:rPr>
            </w:pPr>
            <w:r>
              <w:rPr>
                <w:rFonts w:ascii="Arial" w:cs="Arial" w:eastAsia="Arial" w:hAnsi="Arial"/>
                <w:sz w:val="18"/>
                <w:szCs w:val="18"/>
                <w:color w:val="auto"/>
                <w:w w:val="86"/>
              </w:rPr>
              <w:t>262,402</w:t>
            </w: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5"/>
        </w:trPr>
        <w:tc>
          <w:tcPr>
            <w:tcW w:w="598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Non-GAAP to GAAP Financial Measures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0" w:type="dxa"/>
            <w:vAlign w:val="bottom"/>
            <w:gridSpan w:val="5"/>
          </w:tcPr>
          <w:p>
            <w:pPr>
              <w:jc w:val="center"/>
              <w:ind w:right="630"/>
              <w:spacing w:after="0"/>
              <w:rPr>
                <w:sz w:val="20"/>
                <w:szCs w:val="20"/>
                <w:color w:val="auto"/>
              </w:rPr>
            </w:pPr>
            <w:r>
              <w:rPr>
                <w:rFonts w:ascii="Arial" w:cs="Arial" w:eastAsia="Arial" w:hAnsi="Arial"/>
                <w:sz w:val="18"/>
                <w:szCs w:val="18"/>
                <w:b w:val="1"/>
                <w:bCs w:val="1"/>
                <w:color w:val="auto"/>
                <w:w w:val="92"/>
              </w:rPr>
              <w:t>Three Months Ended</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auto"/>
              </w:rPr>
              <w:t>In</w:t>
            </w:r>
          </w:p>
        </w:tc>
        <w:tc>
          <w:tcPr>
            <w:tcW w:w="140" w:type="dxa"/>
            <w:vAlign w:val="bottom"/>
          </w:tcPr>
          <w:p>
            <w:pPr>
              <w:spacing w:after="0"/>
              <w:rPr>
                <w:sz w:val="20"/>
                <w:szCs w:val="20"/>
                <w:color w:val="auto"/>
              </w:rPr>
            </w:pPr>
          </w:p>
        </w:tc>
        <w:tc>
          <w:tcPr>
            <w:tcW w:w="142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96"/>
              </w:rPr>
              <w:t>March 31, 2014</w:t>
            </w:r>
          </w:p>
        </w:tc>
        <w:tc>
          <w:tcPr>
            <w:tcW w:w="1360" w:type="dxa"/>
            <w:vAlign w:val="bottom"/>
            <w:gridSpan w:val="4"/>
            <w:vMerge w:val="restart"/>
          </w:tcPr>
          <w:p>
            <w:pPr>
              <w:jc w:val="right"/>
              <w:ind w:right="40"/>
              <w:spacing w:after="0"/>
              <w:rPr>
                <w:sz w:val="20"/>
                <w:szCs w:val="20"/>
                <w:color w:val="auto"/>
              </w:rPr>
            </w:pPr>
            <w:r>
              <w:rPr>
                <w:rFonts w:ascii="Arial" w:cs="Arial" w:eastAsia="Arial" w:hAnsi="Arial"/>
                <w:sz w:val="18"/>
                <w:szCs w:val="18"/>
                <w:b w:val="1"/>
                <w:bCs w:val="1"/>
                <w:color w:val="auto"/>
                <w:w w:val="90"/>
              </w:rPr>
              <w:t>Diluted Earnings</w:t>
            </w:r>
          </w:p>
        </w:tc>
        <w:tc>
          <w:tcPr>
            <w:tcW w:w="0" w:type="dxa"/>
            <w:vAlign w:val="bottom"/>
          </w:tcPr>
          <w:p>
            <w:pPr>
              <w:spacing w:after="0"/>
              <w:rPr>
                <w:sz w:val="1"/>
                <w:szCs w:val="1"/>
                <w:color w:val="auto"/>
              </w:rPr>
            </w:pPr>
          </w:p>
        </w:tc>
      </w:tr>
      <w:tr>
        <w:trPr>
          <w:trHeight w:val="198"/>
        </w:trPr>
        <w:tc>
          <w:tcPr>
            <w:tcW w:w="6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60" w:type="dxa"/>
            <w:vAlign w:val="bottom"/>
            <w:gridSpan w:val="4"/>
          </w:tcPr>
          <w:p>
            <w:pPr>
              <w:jc w:val="center"/>
              <w:ind w:right="1420"/>
              <w:spacing w:after="0" w:line="194" w:lineRule="exact"/>
              <w:rPr>
                <w:sz w:val="20"/>
                <w:szCs w:val="20"/>
                <w:color w:val="auto"/>
              </w:rPr>
            </w:pPr>
            <w:r>
              <w:rPr>
                <w:rFonts w:ascii="Arial" w:cs="Arial" w:eastAsia="Arial" w:hAnsi="Arial"/>
                <w:sz w:val="18"/>
                <w:szCs w:val="18"/>
                <w:b w:val="1"/>
                <w:bCs w:val="1"/>
                <w:color w:val="auto"/>
                <w:w w:val="87"/>
              </w:rPr>
              <w:t>Thousands</w:t>
            </w:r>
          </w:p>
        </w:tc>
        <w:tc>
          <w:tcPr>
            <w:tcW w:w="300" w:type="dxa"/>
            <w:vAlign w:val="bottom"/>
          </w:tcPr>
          <w:p>
            <w:pPr>
              <w:spacing w:after="0"/>
              <w:rPr>
                <w:sz w:val="16"/>
                <w:szCs w:val="16"/>
                <w:color w:val="auto"/>
              </w:rPr>
            </w:pPr>
          </w:p>
        </w:tc>
        <w:tc>
          <w:tcPr>
            <w:tcW w:w="106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Per share</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380" w:type="dxa"/>
            <w:vAlign w:val="bottom"/>
          </w:tcPr>
          <w:p>
            <w:pPr>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3"/>
              </w:rPr>
              <w:t>5,238</w:t>
            </w:r>
          </w:p>
        </w:tc>
        <w:tc>
          <w:tcPr>
            <w:tcW w:w="1120" w:type="dxa"/>
            <w:vAlign w:val="bottom"/>
          </w:tcPr>
          <w:p>
            <w:pPr>
              <w:spacing w:after="0"/>
              <w:rPr>
                <w:sz w:val="21"/>
                <w:szCs w:val="21"/>
                <w:color w:val="auto"/>
              </w:rPr>
            </w:pP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0.29</w:t>
            </w:r>
          </w:p>
        </w:tc>
        <w:tc>
          <w:tcPr>
            <w:tcW w:w="0" w:type="dxa"/>
            <w:vAlign w:val="bottom"/>
          </w:tcPr>
          <w:p>
            <w:pPr>
              <w:spacing w:after="0"/>
              <w:rPr>
                <w:sz w:val="1"/>
                <w:szCs w:val="1"/>
                <w:color w:val="auto"/>
              </w:rPr>
            </w:pPr>
          </w:p>
        </w:tc>
      </w:tr>
      <w:tr>
        <w:trPr>
          <w:trHeight w:val="237"/>
        </w:trPr>
        <w:tc>
          <w:tcPr>
            <w:tcW w:w="6380" w:type="dxa"/>
            <w:vAlign w:val="bottom"/>
          </w:tcPr>
          <w:p>
            <w:pPr>
              <w:spacing w:after="0"/>
              <w:rPr>
                <w:sz w:val="20"/>
                <w:szCs w:val="20"/>
                <w:color w:val="auto"/>
              </w:rPr>
            </w:pPr>
            <w:r>
              <w:rPr>
                <w:rFonts w:ascii="Arial" w:cs="Arial" w:eastAsia="Arial" w:hAnsi="Arial"/>
                <w:sz w:val="18"/>
                <w:szCs w:val="18"/>
                <w:color w:val="auto"/>
              </w:rPr>
              <w:t>After-tax acquisition related expenses</w:t>
            </w: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314</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0.02</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Net income from normal operations</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5,552</w:t>
            </w:r>
          </w:p>
        </w:tc>
        <w:tc>
          <w:tcPr>
            <w:tcW w:w="1120" w:type="dxa"/>
            <w:vAlign w:val="bottom"/>
          </w:tcPr>
          <w:p>
            <w:pPr>
              <w:spacing w:after="0"/>
              <w:rPr>
                <w:sz w:val="18"/>
                <w:szCs w:val="18"/>
                <w:color w:val="auto"/>
              </w:rPr>
            </w:pPr>
          </w:p>
        </w:tc>
        <w:tc>
          <w:tcPr>
            <w:tcW w:w="104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0.31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0" w:type="dxa"/>
            <w:vAlign w:val="bottom"/>
            <w:gridSpan w:val="5"/>
          </w:tcPr>
          <w:p>
            <w:pPr>
              <w:jc w:val="center"/>
              <w:ind w:right="630"/>
              <w:spacing w:after="0"/>
              <w:rPr>
                <w:sz w:val="20"/>
                <w:szCs w:val="20"/>
                <w:color w:val="auto"/>
              </w:rPr>
            </w:pPr>
            <w:r>
              <w:rPr>
                <w:rFonts w:ascii="Arial" w:cs="Arial" w:eastAsia="Arial" w:hAnsi="Arial"/>
                <w:sz w:val="18"/>
                <w:szCs w:val="18"/>
                <w:b w:val="1"/>
                <w:bCs w:val="1"/>
                <w:color w:val="auto"/>
                <w:w w:val="92"/>
              </w:rPr>
              <w:t>Three Months Ended</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auto"/>
              </w:rPr>
              <w:t>In</w:t>
            </w:r>
          </w:p>
        </w:tc>
        <w:tc>
          <w:tcPr>
            <w:tcW w:w="140" w:type="dxa"/>
            <w:vAlign w:val="bottom"/>
          </w:tcPr>
          <w:p>
            <w:pPr>
              <w:spacing w:after="0"/>
              <w:rPr>
                <w:sz w:val="20"/>
                <w:szCs w:val="20"/>
                <w:color w:val="auto"/>
              </w:rPr>
            </w:pPr>
          </w:p>
        </w:tc>
        <w:tc>
          <w:tcPr>
            <w:tcW w:w="142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96"/>
              </w:rPr>
              <w:t>March 31, 2013</w:t>
            </w:r>
          </w:p>
        </w:tc>
        <w:tc>
          <w:tcPr>
            <w:tcW w:w="1360" w:type="dxa"/>
            <w:vAlign w:val="bottom"/>
            <w:gridSpan w:val="4"/>
            <w:vMerge w:val="restart"/>
          </w:tcPr>
          <w:p>
            <w:pPr>
              <w:jc w:val="right"/>
              <w:ind w:right="40"/>
              <w:spacing w:after="0"/>
              <w:rPr>
                <w:sz w:val="20"/>
                <w:szCs w:val="20"/>
                <w:color w:val="auto"/>
              </w:rPr>
            </w:pPr>
            <w:r>
              <w:rPr>
                <w:rFonts w:ascii="Arial" w:cs="Arial" w:eastAsia="Arial" w:hAnsi="Arial"/>
                <w:sz w:val="18"/>
                <w:szCs w:val="18"/>
                <w:b w:val="1"/>
                <w:bCs w:val="1"/>
                <w:color w:val="auto"/>
                <w:w w:val="90"/>
              </w:rPr>
              <w:t>Diluted Earnings</w:t>
            </w:r>
          </w:p>
        </w:tc>
        <w:tc>
          <w:tcPr>
            <w:tcW w:w="0" w:type="dxa"/>
            <w:vAlign w:val="bottom"/>
          </w:tcPr>
          <w:p>
            <w:pPr>
              <w:spacing w:after="0"/>
              <w:rPr>
                <w:sz w:val="1"/>
                <w:szCs w:val="1"/>
                <w:color w:val="auto"/>
              </w:rPr>
            </w:pPr>
          </w:p>
        </w:tc>
      </w:tr>
      <w:tr>
        <w:trPr>
          <w:trHeight w:val="198"/>
        </w:trPr>
        <w:tc>
          <w:tcPr>
            <w:tcW w:w="6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60" w:type="dxa"/>
            <w:vAlign w:val="bottom"/>
            <w:gridSpan w:val="4"/>
          </w:tcPr>
          <w:p>
            <w:pPr>
              <w:jc w:val="center"/>
              <w:ind w:right="1420"/>
              <w:spacing w:after="0" w:line="194" w:lineRule="exact"/>
              <w:rPr>
                <w:sz w:val="20"/>
                <w:szCs w:val="20"/>
                <w:color w:val="auto"/>
              </w:rPr>
            </w:pPr>
            <w:r>
              <w:rPr>
                <w:rFonts w:ascii="Arial" w:cs="Arial" w:eastAsia="Arial" w:hAnsi="Arial"/>
                <w:sz w:val="18"/>
                <w:szCs w:val="18"/>
                <w:b w:val="1"/>
                <w:bCs w:val="1"/>
                <w:color w:val="auto"/>
                <w:w w:val="87"/>
              </w:rPr>
              <w:t>Thousands</w:t>
            </w:r>
          </w:p>
        </w:tc>
        <w:tc>
          <w:tcPr>
            <w:tcW w:w="300" w:type="dxa"/>
            <w:vAlign w:val="bottom"/>
          </w:tcPr>
          <w:p>
            <w:pPr>
              <w:spacing w:after="0"/>
              <w:rPr>
                <w:sz w:val="16"/>
                <w:szCs w:val="16"/>
                <w:color w:val="auto"/>
              </w:rPr>
            </w:pPr>
          </w:p>
        </w:tc>
        <w:tc>
          <w:tcPr>
            <w:tcW w:w="106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Per share</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80" w:type="dxa"/>
            <w:vAlign w:val="bottom"/>
          </w:tcPr>
          <w:p>
            <w:pPr>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3"/>
              </w:rPr>
              <w:t>2,871</w:t>
            </w:r>
          </w:p>
        </w:tc>
        <w:tc>
          <w:tcPr>
            <w:tcW w:w="1120" w:type="dxa"/>
            <w:vAlign w:val="bottom"/>
          </w:tcPr>
          <w:p>
            <w:pPr>
              <w:spacing w:after="0"/>
              <w:rPr>
                <w:sz w:val="19"/>
                <w:szCs w:val="19"/>
                <w:color w:val="auto"/>
              </w:rPr>
            </w:pP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0.17</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After-tax foreign currency loss on intercompany loans</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350</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0.02</w:t>
            </w:r>
          </w:p>
        </w:tc>
        <w:tc>
          <w:tcPr>
            <w:tcW w:w="0" w:type="dxa"/>
            <w:vAlign w:val="bottom"/>
          </w:tcPr>
          <w:p>
            <w:pPr>
              <w:spacing w:after="0"/>
              <w:rPr>
                <w:sz w:val="1"/>
                <w:szCs w:val="1"/>
                <w:color w:val="auto"/>
              </w:rPr>
            </w:pPr>
          </w:p>
        </w:tc>
      </w:tr>
      <w:tr>
        <w:trPr>
          <w:trHeight w:val="237"/>
        </w:trPr>
        <w:tc>
          <w:tcPr>
            <w:tcW w:w="6380" w:type="dxa"/>
            <w:vAlign w:val="bottom"/>
          </w:tcPr>
          <w:p>
            <w:pPr>
              <w:spacing w:after="0"/>
              <w:rPr>
                <w:sz w:val="20"/>
                <w:szCs w:val="20"/>
                <w:color w:val="auto"/>
              </w:rPr>
            </w:pPr>
            <w:r>
              <w:rPr>
                <w:rFonts w:ascii="Arial" w:cs="Arial" w:eastAsia="Arial" w:hAnsi="Arial"/>
                <w:sz w:val="18"/>
                <w:szCs w:val="18"/>
                <w:color w:val="auto"/>
              </w:rPr>
              <w:t>After-tax restructuring and other non-recurring items</w:t>
            </w: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399</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0.02</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Net from normal operations</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3,620</w:t>
            </w:r>
          </w:p>
        </w:tc>
        <w:tc>
          <w:tcPr>
            <w:tcW w:w="1120" w:type="dxa"/>
            <w:vAlign w:val="bottom"/>
          </w:tcPr>
          <w:p>
            <w:pPr>
              <w:spacing w:after="0"/>
              <w:rPr>
                <w:sz w:val="18"/>
                <w:szCs w:val="18"/>
                <w:color w:val="auto"/>
              </w:rPr>
            </w:pPr>
          </w:p>
        </w:tc>
        <w:tc>
          <w:tcPr>
            <w:tcW w:w="104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Company’s management evaluates operating performance excluding unusual and/or nonrecurring items. The Company believes excluding such items provides a more effective and comparable measure of performance and a clearer view of underlying trends. Since net income excluding these items is not a measure calculated in accordance with GAAP, this should not be considered as a substitute for other GAAP measures, including net income, as an indicator of performance. Accordingly, net income/loss excluding the above items is reconciled to net income/loss on a GAAP basis.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sectPr>
      <w:pgSz w:w="11900" w:h="16838" w:orient="portrait"/>
      <w:cols w:equalWidth="0" w:num="1">
        <w:col w:w="11400"/>
      </w:cols>
      <w:pgMar w:left="240" w:top="513"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2019-12-06T09:27:36Z</dcterms:created>
  <dcterms:modified xsi:type="dcterms:W3CDTF">2019-12-06T09:27:36Z</dcterms:modified>
</cp:coreProperties>
</file>