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DRIES WILLIAM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40" w:type="dxa"/>
            <w:vAlign w:val="bottom"/>
            <w:tcBorders>
              <w:top w:val="single" w:sz="8" w:color="0000EE"/>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05/15/2014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6"/>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ind w:left="366" w:hanging="366"/>
        <w:spacing w:after="0"/>
        <w:tabs>
          <w:tab w:leader="none" w:pos="366" w:val="left"/>
        </w:tabs>
        <w:numPr>
          <w:ilvl w:val="0"/>
          <w:numId w:val="1"/>
        </w:numPr>
        <w:rPr>
          <w:rFonts w:ascii="Arial" w:cs="Arial" w:eastAsia="Arial" w:hAnsi="Arial"/>
          <w:sz w:val="22"/>
          <w:szCs w:val="22"/>
          <w:color w:val="0000EE"/>
        </w:rPr>
      </w:pPr>
      <w:hyperlink r:id="rId12">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74"/>
            <w:col w:w="6226"/>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1060" w:type="dxa"/>
            <w:vAlign w:val="bottom"/>
          </w:tcPr>
          <w:p>
            <w:pPr>
              <w:ind w:left="160"/>
              <w:spacing w:after="0"/>
              <w:rPr>
                <w:sz w:val="20"/>
                <w:szCs w:val="20"/>
                <w:color w:val="auto"/>
              </w:rPr>
            </w:pPr>
            <w:r>
              <w:rPr>
                <w:rFonts w:ascii="Arial" w:cs="Arial" w:eastAsia="Arial" w:hAnsi="Arial"/>
                <w:sz w:val="14"/>
                <w:szCs w:val="14"/>
                <w:color w:val="auto"/>
              </w:rPr>
              <w:t>(First)</w:t>
            </w:r>
          </w:p>
        </w:tc>
        <w:tc>
          <w:tcPr>
            <w:tcW w:w="1220" w:type="dxa"/>
            <w:vAlign w:val="bottom"/>
          </w:tcPr>
          <w:p>
            <w:pPr>
              <w:ind w:left="1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2000 WATERS EDGE DRIVE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0000FF"/>
              </w:rPr>
              <w:t>BUILDING C, SUITE 12</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JOHNSON</w:t>
            </w:r>
          </w:p>
        </w:tc>
        <w:tc>
          <w:tcPr>
            <w:tcW w:w="1060" w:type="dxa"/>
            <w:vAlign w:val="bottom"/>
            <w:vMerge w:val="restart"/>
          </w:tcPr>
          <w:p>
            <w:pPr>
              <w:ind w:left="160"/>
              <w:spacing w:after="0"/>
              <w:rPr>
                <w:sz w:val="20"/>
                <w:szCs w:val="20"/>
                <w:color w:val="auto"/>
              </w:rPr>
            </w:pPr>
            <w:r>
              <w:rPr>
                <w:rFonts w:ascii="Arial" w:cs="Arial" w:eastAsia="Arial" w:hAnsi="Arial"/>
                <w:sz w:val="18"/>
                <w:szCs w:val="18"/>
                <w:color w:val="0000FF"/>
              </w:rPr>
              <w:t>TN</w:t>
            </w:r>
          </w:p>
        </w:tc>
        <w:tc>
          <w:tcPr>
            <w:tcW w:w="1220" w:type="dxa"/>
            <w:vAlign w:val="bottom"/>
            <w:vMerge w:val="restart"/>
          </w:tcPr>
          <w:p>
            <w:pPr>
              <w:ind w:left="180"/>
              <w:spacing w:after="0"/>
              <w:rPr>
                <w:sz w:val="20"/>
                <w:szCs w:val="20"/>
                <w:color w:val="auto"/>
              </w:rPr>
            </w:pPr>
            <w:r>
              <w:rPr>
                <w:rFonts w:ascii="Arial" w:cs="Arial" w:eastAsia="Arial" w:hAnsi="Arial"/>
                <w:sz w:val="18"/>
                <w:szCs w:val="18"/>
                <w:color w:val="0000FF"/>
              </w:rPr>
              <w:t>37604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Arial" w:cs="Arial" w:eastAsia="Arial" w:hAnsi="Arial"/>
                <w:sz w:val="18"/>
                <w:szCs w:val="18"/>
                <w:color w:val="0000FF"/>
              </w:rPr>
              <w:t>CITY</w:t>
            </w:r>
          </w:p>
        </w:tc>
        <w:tc>
          <w:tcPr>
            <w:tcW w:w="10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Power of Attorney is attached to this Form 3 as Exhibit 24.</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0000FF"/>
                <w:w w:val="92"/>
              </w:rPr>
              <w:t>/s/ William Dries</w:t>
            </w:r>
          </w:p>
        </w:tc>
        <w:tc>
          <w:tcPr>
            <w:tcW w:w="9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05/19/2014</w:t>
            </w:r>
          </w:p>
        </w:tc>
      </w:tr>
      <w:tr>
        <w:trPr>
          <w:trHeight w:val="20"/>
        </w:trPr>
        <w:tc>
          <w:tcPr>
            <w:tcW w:w="1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William C. Kelly, Jr., Thomas C. Burwell, Jr., James H. Dorton, Matthew S. Heiter and Andrew T. Yonchak, or either of them signing singly, and with full power of substitution, as the undersigned's true and lawful attorney-in-fact (each, individually, an "Attorney-in-Fact" and collectively, the "Attorneys-in-Fact") to:</w:t>
      </w:r>
    </w:p>
    <w:p>
      <w:pPr>
        <w:spacing w:after="0" w:line="210" w:lineRule="exact"/>
        <w:rPr>
          <w:sz w:val="20"/>
          <w:szCs w:val="20"/>
          <w:color w:val="auto"/>
        </w:rPr>
      </w:pPr>
    </w:p>
    <w:p>
      <w:pPr>
        <w:ind w:right="1779" w:firstLine="640"/>
        <w:spacing w:after="0" w:line="237" w:lineRule="auto"/>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director of NN, Inc., a Delaware corporation (the "Company"), Forms 3, 4, and 5 in accordance with Section 16(a) of the Securities Exchange Act of 1934, as amended (the "Exchange Act") and the rules and regulations of the United States Securities and Exchange Commission (the "SEC") thereunder;</w:t>
      </w:r>
    </w:p>
    <w:p>
      <w:pPr>
        <w:spacing w:after="0" w:line="209" w:lineRule="exact"/>
        <w:rPr>
          <w:rFonts w:ascii="Courier New" w:cs="Courier New" w:eastAsia="Courier New" w:hAnsi="Courier New"/>
          <w:sz w:val="18"/>
          <w:szCs w:val="18"/>
          <w:color w:val="auto"/>
        </w:rPr>
      </w:pPr>
    </w:p>
    <w:p>
      <w:pPr>
        <w:ind w:right="1879" w:firstLine="640"/>
        <w:spacing w:after="0" w:line="237" w:lineRule="auto"/>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complete and execute any such Form 3, 4, or 5, including filing and applying for and updating any accession, CCC, and CIK filing codes (including filing SEC Form ID (or any similar form)), completing and executing any amendment or amendments thereto, and timely filing any such form with the SEC and any stock exchange or similar regulatory authority; and</w:t>
      </w:r>
    </w:p>
    <w:p>
      <w:pPr>
        <w:spacing w:after="0" w:line="211" w:lineRule="exact"/>
        <w:rPr>
          <w:rFonts w:ascii="Courier New" w:cs="Courier New" w:eastAsia="Courier New" w:hAnsi="Courier New"/>
          <w:sz w:val="18"/>
          <w:szCs w:val="18"/>
          <w:color w:val="auto"/>
        </w:rPr>
      </w:pPr>
    </w:p>
    <w:p>
      <w:pPr>
        <w:ind w:right="1779" w:firstLine="640"/>
        <w:spacing w:after="0" w:line="237" w:lineRule="auto"/>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Power of Attorney revokes any currently existing power of attorney solely to the extent any such currently existing power of attorney gives the agent(s) designated therein the power or authority to do or perform any act or thing in the exercise of any of the rights and powers herein granted. This Power of Attorney shall not be revoked by any subsequent power of attorney I may execute, unless such subsequent power specifically refers to this Power of Attorney or specifically states that the instrument is intended to revoke all prior powers of attorney.</w:t>
      </w:r>
    </w:p>
    <w:p>
      <w:pPr>
        <w:spacing w:after="0" w:line="212"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May, 2014.</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William Dries</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WILLIAM DRIES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76412" TargetMode="External"/><Relationship Id="rId12"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2019-12-18T04:25:24Z</dcterms:created>
  <dcterms:modified xsi:type="dcterms:W3CDTF">2019-12-18T04:25:24Z</dcterms:modified>
</cp:coreProperties>
</file>