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3332480</wp:posOffset>
            </wp:positionH>
            <wp:positionV relativeFrom="paragraph">
              <wp:posOffset>74295</wp:posOffset>
            </wp:positionV>
            <wp:extent cx="591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color w:val="auto"/>
        </w:rPr>
        <w:t>FORM 8-K</w:t>
      </w:r>
    </w:p>
    <w:p>
      <w:pPr>
        <w:spacing w:after="0" w:line="25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CURRENT REPORT PURSUANT TO</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SECTION 13 OR 15(d) OF THE</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81" w:lineRule="exact"/>
        <w:rPr>
          <w:sz w:val="24"/>
          <w:szCs w:val="24"/>
          <w:color w:val="auto"/>
        </w:rPr>
      </w:pPr>
    </w:p>
    <w:p>
      <w:pPr>
        <w:ind w:left="3360"/>
        <w:spacing w:after="0"/>
        <w:rPr>
          <w:sz w:val="20"/>
          <w:szCs w:val="20"/>
          <w:color w:val="auto"/>
        </w:rPr>
      </w:pPr>
      <w:r>
        <w:rPr>
          <w:rFonts w:ascii="Arial" w:cs="Arial" w:eastAsia="Arial" w:hAnsi="Arial"/>
          <w:sz w:val="18"/>
          <w:szCs w:val="18"/>
          <w:color w:val="auto"/>
        </w:rPr>
        <w:t>Date of Report (Date of earliest event reported): March 11,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14605</wp:posOffset>
            </wp:positionV>
            <wp:extent cx="62611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u w:val="single" w:color="auto"/>
          <w:color w:val="auto"/>
        </w:rPr>
        <w:t>NN, INC.</w:t>
      </w:r>
    </w:p>
    <w:p>
      <w:pPr>
        <w:spacing w:after="0" w:line="40"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2000" w:type="dxa"/>
            <w:vAlign w:val="bottom"/>
            <w:gridSpan w:val="2"/>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0-23486</w:t>
            </w:r>
          </w:p>
        </w:tc>
        <w:tc>
          <w:tcPr>
            <w:tcW w:w="1360" w:type="dxa"/>
            <w:vAlign w:val="bottom"/>
          </w:tcPr>
          <w:p>
            <w:pPr>
              <w:spacing w:after="0"/>
              <w:rPr>
                <w:sz w:val="17"/>
                <w:szCs w:val="17"/>
                <w:color w:val="auto"/>
              </w:rPr>
            </w:pPr>
          </w:p>
        </w:tc>
        <w:tc>
          <w:tcPr>
            <w:tcW w:w="3280" w:type="dxa"/>
            <w:vAlign w:val="bottom"/>
            <w:gridSpan w:val="5"/>
          </w:tcPr>
          <w:p>
            <w:pPr>
              <w:jc w:val="right"/>
              <w:ind w:right="860"/>
              <w:spacing w:after="0"/>
              <w:rPr>
                <w:sz w:val="20"/>
                <w:szCs w:val="20"/>
                <w:color w:val="auto"/>
              </w:rPr>
            </w:pPr>
            <w:r>
              <w:rPr>
                <w:rFonts w:ascii="Arial" w:cs="Arial" w:eastAsia="Arial" w:hAnsi="Arial"/>
                <w:sz w:val="18"/>
                <w:szCs w:val="18"/>
                <w:color w:val="auto"/>
              </w:rPr>
              <w:t>62-1096725</w:t>
            </w:r>
          </w:p>
        </w:tc>
      </w:tr>
      <w:tr>
        <w:trPr>
          <w:trHeight w:val="20"/>
        </w:trPr>
        <w:tc>
          <w:tcPr>
            <w:tcW w:w="1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4"/>
        </w:trPr>
        <w:tc>
          <w:tcPr>
            <w:tcW w:w="4040" w:type="dxa"/>
            <w:vAlign w:val="bottom"/>
            <w:gridSpan w:val="4"/>
          </w:tcPr>
          <w:p>
            <w:pPr>
              <w:jc w:val="center"/>
              <w:ind w:right="660"/>
              <w:spacing w:after="0"/>
              <w:rPr>
                <w:sz w:val="20"/>
                <w:szCs w:val="20"/>
                <w:color w:val="auto"/>
              </w:rPr>
            </w:pPr>
            <w:r>
              <w:rPr>
                <w:rFonts w:ascii="Arial" w:cs="Arial" w:eastAsia="Arial" w:hAnsi="Arial"/>
                <w:sz w:val="18"/>
                <w:szCs w:val="18"/>
                <w:color w:val="auto"/>
                <w:w w:val="91"/>
              </w:rPr>
              <w:t>(State or Other Jurisdiction of Incorporation)</w:t>
            </w:r>
          </w:p>
        </w:tc>
        <w:tc>
          <w:tcPr>
            <w:tcW w:w="308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(Commission File Number)</w:t>
            </w:r>
          </w:p>
        </w:tc>
        <w:tc>
          <w:tcPr>
            <w:tcW w:w="3280" w:type="dxa"/>
            <w:vAlign w:val="bottom"/>
            <w:gridSpan w:val="5"/>
          </w:tcPr>
          <w:p>
            <w:pPr>
              <w:jc w:val="center"/>
              <w:ind w:left="59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2000 Waters Edge Drive, Johnson City, Tennessee</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37604</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4040" w:type="dxa"/>
            <w:vAlign w:val="bottom"/>
            <w:gridSpan w:val="4"/>
          </w:tcPr>
          <w:p>
            <w:pPr>
              <w:jc w:val="center"/>
              <w:ind w:right="420"/>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80" w:type="dxa"/>
            <w:vAlign w:val="bottom"/>
            <w:gridSpan w:val="5"/>
          </w:tcPr>
          <w:p>
            <w:pPr>
              <w:jc w:val="center"/>
              <w:ind w:left="39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ind w:left="360"/>
        <w:spacing w:after="0"/>
        <w:rPr>
          <w:sz w:val="20"/>
          <w:szCs w:val="20"/>
          <w:color w:val="auto"/>
        </w:rPr>
      </w:pPr>
      <w:r>
        <w:rPr>
          <w:rFonts w:ascii="Arial" w:cs="Arial" w:eastAsia="Arial" w:hAnsi="Arial"/>
          <w:sz w:val="18"/>
          <w:szCs w:val="18"/>
          <w:u w:val="single" w:color="auto"/>
          <w:color w:val="auto"/>
        </w:rPr>
        <w:t>(423) 743-9151</w:t>
      </w:r>
    </w:p>
    <w:p>
      <w:pPr>
        <w:spacing w:after="0" w:line="23" w:lineRule="exact"/>
        <w:rPr>
          <w:sz w:val="24"/>
          <w:szCs w:val="24"/>
          <w:color w:val="auto"/>
        </w:rPr>
      </w:pPr>
    </w:p>
    <w:p>
      <w:pPr>
        <w:jc w:val="center"/>
        <w:ind w:left="36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796" w:right="83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March 11, 2014, NN, Inc. (the “Company”) issued a press release, announcing the Company’s results of operations and financial condition for the fourth quarter and twelve months ended December 31, 2013. The full text of the press release is furnished as Exhibit 99.1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25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March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729" w:right="3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2014</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20"/>
        <w:spacing w:after="0"/>
        <w:rPr>
          <w:sz w:val="20"/>
          <w:szCs w:val="20"/>
          <w:color w:val="auto"/>
        </w:rPr>
      </w:pPr>
      <w:r>
        <w:rPr>
          <w:rFonts w:ascii="Arial" w:cs="Arial" w:eastAsia="Arial" w:hAnsi="Arial"/>
          <w:sz w:val="36"/>
          <w:szCs w:val="36"/>
          <w:color w:val="auto"/>
          <w:vertAlign w:val="subscript"/>
        </w:rPr>
        <w:t>By:Jr.</w:t>
      </w:r>
      <w:r>
        <w:rPr>
          <w:rFonts w:ascii="Arial" w:cs="Arial" w:eastAsia="Arial" w:hAnsi="Arial"/>
          <w:sz w:val="18"/>
          <w:szCs w:val="18"/>
          <w:color w:val="auto"/>
        </w:rPr>
        <w:t>/s/ William C.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104775</wp:posOffset>
            </wp:positionV>
            <wp:extent cx="10033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3300" cy="17145"/>
                    </a:xfrm>
                    <a:prstGeom prst="rect">
                      <a:avLst/>
                    </a:prstGeom>
                    <a:noFill/>
                  </pic:spPr>
                </pic:pic>
              </a:graphicData>
            </a:graphic>
          </wp:anchor>
        </w:drawing>
      </w:r>
    </w:p>
    <w:p>
      <w:pPr>
        <w:spacing w:after="0" w:line="15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William C. Kelly, Jr.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Vice President and Chief</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Administrative Officer</w:t>
      </w:r>
    </w:p>
    <w:p>
      <w:pPr>
        <w:sectPr>
          <w:pgSz w:w="11900" w:h="16838" w:orient="portrait"/>
          <w:cols w:equalWidth="0" w:num="1">
            <w:col w:w="11220"/>
          </w:cols>
          <w:pgMar w:left="240" w:top="513" w:right="4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auto"/>
        </w:rPr>
        <w:t>F I N A N C I A 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gridSpan w:val="2"/>
          </w:tcPr>
          <w:p>
            <w:pPr>
              <w:spacing w:after="0"/>
              <w:rPr>
                <w:sz w:val="20"/>
                <w:szCs w:val="20"/>
                <w:color w:val="auto"/>
              </w:rPr>
            </w:pPr>
            <w:r>
              <w:rPr>
                <w:rFonts w:ascii="Arial" w:cs="Arial" w:eastAsia="Arial" w:hAnsi="Arial"/>
                <w:sz w:val="22"/>
                <w:szCs w:val="22"/>
                <w:b w:val="1"/>
                <w:bCs w:val="1"/>
                <w:color w:val="auto"/>
              </w:rPr>
              <w:t>AT THE COMPANY</w:t>
            </w:r>
          </w:p>
        </w:tc>
        <w:tc>
          <w:tcPr>
            <w:tcW w:w="3700" w:type="dxa"/>
            <w:vAlign w:val="bottom"/>
          </w:tcPr>
          <w:p>
            <w:pPr>
              <w:spacing w:after="0"/>
              <w:rPr>
                <w:sz w:val="20"/>
                <w:szCs w:val="20"/>
                <w:color w:val="auto"/>
              </w:rPr>
            </w:pPr>
            <w:r>
              <w:rPr>
                <w:rFonts w:ascii="Arial" w:cs="Arial" w:eastAsia="Arial" w:hAnsi="Arial"/>
                <w:sz w:val="22"/>
                <w:szCs w:val="22"/>
                <w:b w:val="1"/>
                <w:bCs w:val="1"/>
                <w:color w:val="auto"/>
                <w:w w:val="98"/>
              </w:rPr>
              <w:t>AT FINANCIAL RELATIONS BOARD</w:t>
            </w:r>
          </w:p>
        </w:tc>
      </w:tr>
      <w:tr>
        <w:trPr>
          <w:trHeight w:val="222"/>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Kelly</w:t>
            </w:r>
          </w:p>
        </w:tc>
        <w:tc>
          <w:tcPr>
            <w:tcW w:w="194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Marilynn Meek</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3700" w:type="dxa"/>
            <w:vAlign w:val="bottom"/>
          </w:tcPr>
          <w:p>
            <w:pPr>
              <w:spacing w:after="0"/>
              <w:rPr>
                <w:sz w:val="20"/>
                <w:szCs w:val="20"/>
                <w:color w:val="auto"/>
              </w:rPr>
            </w:pPr>
            <w:r>
              <w:rPr>
                <w:rFonts w:ascii="Arial" w:cs="Arial" w:eastAsia="Arial" w:hAnsi="Arial"/>
                <w:sz w:val="18"/>
                <w:szCs w:val="18"/>
                <w:color w:val="auto"/>
              </w:rPr>
              <w:t>(General info)</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(423) 743-9151</w:t>
            </w:r>
          </w:p>
        </w:tc>
        <w:tc>
          <w:tcPr>
            <w:tcW w:w="19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(212) 827-3773</w:t>
            </w: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61"/>
          <w:szCs w:val="61"/>
          <w:color w:val="auto"/>
        </w:rPr>
        <w:t>n e w s</w:t>
      </w:r>
    </w:p>
    <w:p>
      <w:pPr>
        <w:spacing w:after="0" w:line="200" w:lineRule="exact"/>
        <w:rPr>
          <w:sz w:val="20"/>
          <w:szCs w:val="20"/>
          <w:color w:val="auto"/>
        </w:rPr>
      </w:pPr>
    </w:p>
    <w:p>
      <w:pPr>
        <w:spacing w:after="0" w:line="3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Johnson City, TN 37604</w:t>
      </w:r>
    </w:p>
    <w:p>
      <w:pPr>
        <w:spacing w:after="0" w:line="2318" w:lineRule="exact"/>
        <w:rPr>
          <w:sz w:val="20"/>
          <w:szCs w:val="20"/>
          <w:color w:val="auto"/>
        </w:rPr>
      </w:pPr>
    </w:p>
    <w:p>
      <w:pPr>
        <w:sectPr>
          <w:pgSz w:w="11900" w:h="16838" w:orient="portrait"/>
          <w:cols w:equalWidth="0" w:num="2">
            <w:col w:w="8420" w:space="720"/>
            <w:col w:w="2280"/>
          </w:cols>
          <w:pgMar w:left="240" w:top="112" w:right="239" w:bottom="1440" w:gutter="0" w:footer="0" w:header="0"/>
        </w:sect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March 11, 2014</w:t>
      </w:r>
    </w:p>
    <w:p>
      <w:pPr>
        <w:spacing w:after="0" w:line="200" w:lineRule="exact"/>
        <w:rPr>
          <w:sz w:val="20"/>
          <w:szCs w:val="20"/>
          <w:color w:val="auto"/>
        </w:rPr>
      </w:pPr>
    </w:p>
    <w:p>
      <w:pPr>
        <w:spacing w:after="0" w:line="284" w:lineRule="exact"/>
        <w:rPr>
          <w:sz w:val="20"/>
          <w:szCs w:val="20"/>
          <w:color w:val="auto"/>
        </w:rPr>
      </w:pPr>
    </w:p>
    <w:p>
      <w:pPr>
        <w:ind w:left="2240" w:right="2240" w:firstLine="552"/>
        <w:spacing w:after="0" w:line="276" w:lineRule="auto"/>
        <w:tabs>
          <w:tab w:leader="none" w:pos="3092"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REPORTS FOURTH QUARTER AND TWELVE MONTHS RESULTS Quarterly net sales increase of $9.9 million represents real growth of $8.0 million or 10.0%</w:t>
      </w:r>
    </w:p>
    <w:p>
      <w:pPr>
        <w:ind w:left="324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2014 forecasted revenues in range of $400 million to $415 million</w:t>
      </w:r>
    </w:p>
    <w:p>
      <w:pPr>
        <w:spacing w:after="0" w:line="200" w:lineRule="exact"/>
        <w:rPr>
          <w:sz w:val="20"/>
          <w:szCs w:val="20"/>
          <w:color w:val="auto"/>
        </w:rPr>
      </w:pPr>
    </w:p>
    <w:p>
      <w:pPr>
        <w:spacing w:after="0" w:line="27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Johnson City, Tenn, March 11, 2014 – NN, Inc. </w:t>
      </w:r>
      <w:r>
        <w:rPr>
          <w:rFonts w:ascii="Arial" w:cs="Arial" w:eastAsia="Arial" w:hAnsi="Arial"/>
          <w:sz w:val="18"/>
          <w:szCs w:val="18"/>
          <w:color w:val="auto"/>
        </w:rPr>
        <w:t>(NASDAQ: NNBR) today reported its financial results for the fourth quarter and twelve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2013. Net sales for the fourth quarter of 2014 were $90.1 million, an increase of $9.9 million or 12.4% (currency adjusted), compared to net sales of $80.2 million for the fourth quarter of 2012. This increase was due primarily to improved demand from European automotive markets and continued strong demand in North American and Asian automotive markets. Continued strong demand in European heavy truck markets also contributed to the increased sales.</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Pre-tax income for the fourth quarter of 2013 was $6.1 million, compared to 2012 fourth quarter of $0.5 million. This increase was due to improved sales and improved operating performance at our divisions. Reported net income for the fourth quarter 2013 was $4.5 million or $0.25 per diluted share, compared to prior year’s net income for the fourth quarter of $8.2 million, or $0.48 per diluted share. Fourth quarter 2012 net income included a onetime $7.3 million benefit related to deferred tax accounting.</w:t>
      </w:r>
    </w:p>
    <w:p>
      <w:pPr>
        <w:spacing w:after="0" w:line="214"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Net sales for full year 2013 were $373.2 million, an increase of $3.1 million, or 1.0% compared to net sales of $370.1 million for full year 2012. Lower demand due mainly to weak European automotive end markets and slowing Asian economic growth in the first half of the year gave way to improved economic conditions and greater demand in European, North American and Asian automotive markets in the second half of the year.</w:t>
      </w:r>
    </w:p>
    <w:p>
      <w:pPr>
        <w:spacing w:after="0" w:line="19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Pre-tax income for the full year of 2013 was $25.2 million, compared to the full year of 2012 of $20.3 million. This increase was due to improved operating performance at our divisions. Reported net income for the full year of 2013 was $17.2 million, or $1.00 per diluted share compared to $24.3 million, or $1.42 per diluted share for the comparable period last year. Full year 2012 taxes included a onetime $7.3 million benefit related to deferred tax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4" w:name="page5"/>
    <w:bookmarkEnd w:id="4"/>
    <w:p>
      <w:pPr>
        <w:jc w:val="both"/>
        <w:ind w:right="120"/>
        <w:spacing w:after="0" w:line="264" w:lineRule="auto"/>
        <w:rPr>
          <w:sz w:val="20"/>
          <w:szCs w:val="20"/>
          <w:color w:val="auto"/>
        </w:rPr>
      </w:pPr>
      <w:r>
        <w:rPr>
          <w:rFonts w:ascii="Arial" w:cs="Arial" w:eastAsia="Arial" w:hAnsi="Arial"/>
          <w:sz w:val="18"/>
          <w:szCs w:val="18"/>
          <w:color w:val="auto"/>
        </w:rPr>
        <w:t>As a percentage of net sales, cost of products sold for the fourth quarter of 2013 decreased to 79.8% from 81.9% for the prior year’s fourth quarter. Cost of products sold for full year 2013 was 79.1% as compared to 79.7% for the same period last year. The decrease in the cost of products sold as a percentage of sales reflects the continuing operational performance improvement in our divisions.</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Debt, net of cash, was $33.4 million at December 31, 2013, a decrease of $17.1 million over the December 31, 2012 amount of $50.5 million. Capital spending totaled $15.3 million for the year versus a budget of $17 million. The Company reinstated its quarterly cash dividend during the second quarter of 2013. Dividends paid during the year were $3.1 million.</w:t>
      </w:r>
    </w:p>
    <w:p>
      <w:pPr>
        <w:spacing w:after="0" w:line="20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Richard Holder, President and Chief Executive Officer, commented, “We finished 2013 strong despite the negative impact of the persistent weak economic conditions in Europe. Sales were also negatively impacted in the short-term by our strategic decision to shed non-core, non-strategic products and customer platforms. However, as a result of this action we are now positioned for future growth at higher levels of profitability. Even considering these factors, our fourth quarter revenues were up 10.0% in currency adjusted numbers as compared to last year’s fourth quarter. Along with the positive revenue trend, we have been able to leverage strong incremental profits for each additional dollar of revenue generated.</w:t>
      </w:r>
    </w:p>
    <w:p>
      <w:pPr>
        <w:spacing w:after="0" w:line="20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2013, we continued to strengthen our balance sheet having reduced net debt by $17.1 million. We accomplished this while at the same time reinstating our quarterly dividend. We entered 2014 well positioned to fund our organic and acquisitive growth plans as well as shareholder value initiatives, all of which are key components of our strategic plan.</w:t>
      </w:r>
    </w:p>
    <w:p>
      <w:pPr>
        <w:spacing w:after="0" w:line="20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“While we are sensitive to the prolonged general economic uncertainty hanging over the markets as well as the weakness in European automotive markets and in particular European industrial markets, we are positive regarding NN’s opportunities in 2014. We are forecasting 2014 sales to be in the range of $400 million to $415 million. This guidance does not include any additional potential acquisitions we may close in 2014, but does include approximately $15 million of incremental revenues from our recently announced acquisition of the assets of V-S Industries. The portfolio of V-S products is complementary to the Whirlaway Products and will roll up the operations under its NN Precision Metals Components Group.”</w:t>
      </w:r>
    </w:p>
    <w:p>
      <w:pPr>
        <w:spacing w:after="0" w:line="20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Mr. Holder concluded, “On January 30, 2014 we presented our revised and enhanced business strategy during our investor day meeting in New York City. If you have not had an opportunity to view it, I encourage you to do so. It is available on our website at www.nninc.com. Our strategy includes numerous components and initiatives including plans to aggressively pursue acquisitive and organic growth opportunities in our core and adjacent markets to grow our Company from annual sales of $373 million in 2013 to $800 million in 2018. We currently expect approximately 60% of this growth will come from acquisitions, approximately 20% will come from growth in adjacent markets and approximately 14% from organic growth, leaving approximately 6% from European economic recovery. Our strategic plan calls for specific growth, including compound annual growth rates of: earnings per share of 31%, sales of 21% and EBIT of 31%. Specific return targets of 13% return on invested capital and 5% free cash to sales. These are bold, aggressive goals, but ones that our Board of Directors and management team strongly believe are obtainable and are strongly committed to achieving.”</w:t>
      </w:r>
    </w:p>
    <w:p>
      <w:pPr>
        <w:spacing w:after="0" w:line="200" w:lineRule="exact"/>
        <w:rPr>
          <w:sz w:val="20"/>
          <w:szCs w:val="20"/>
          <w:color w:val="auto"/>
        </w:rPr>
      </w:pPr>
    </w:p>
    <w:p>
      <w:pPr>
        <w:spacing w:after="0" w:line="23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5" w:name="page6"/>
    <w:bookmarkEnd w:id="5"/>
    <w:p>
      <w:pPr>
        <w:ind w:right="200"/>
        <w:spacing w:after="0" w:line="277" w:lineRule="auto"/>
        <w:rPr>
          <w:sz w:val="20"/>
          <w:szCs w:val="20"/>
          <w:color w:val="auto"/>
        </w:rPr>
      </w:pPr>
      <w:r>
        <w:rPr>
          <w:rFonts w:ascii="Arial" w:cs="Arial" w:eastAsia="Arial" w:hAnsi="Arial"/>
          <w:sz w:val="18"/>
          <w:szCs w:val="18"/>
          <w:color w:val="auto"/>
        </w:rPr>
        <w:t>Johnson City, Tennessee, NN has 12 manufacturing plants in the United States, Western Europe, Eastern Europe and China. NN, Inc. had sales of US $370 million in 2012.</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2012.</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0"/>
              </w:rPr>
              <w:t>Year Ended</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88"/>
              </w:rPr>
              <w:t>December 31,</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140" w:type="dxa"/>
            <w:vAlign w:val="bottom"/>
          </w:tcPr>
          <w:p>
            <w:pPr>
              <w:spacing w:after="0"/>
              <w:rPr>
                <w:sz w:val="24"/>
                <w:szCs w:val="24"/>
                <w:color w:val="auto"/>
              </w:rPr>
            </w:pPr>
          </w:p>
        </w:tc>
        <w:tc>
          <w:tcPr>
            <w:tcW w:w="110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w w:val="94"/>
              </w:rPr>
              <w:t>2012</w:t>
            </w:r>
          </w:p>
        </w:tc>
        <w:tc>
          <w:tcPr>
            <w:tcW w:w="880" w:type="dxa"/>
            <w:vAlign w:val="bottom"/>
          </w:tcPr>
          <w:p>
            <w:pPr>
              <w:spacing w:after="0"/>
              <w:rPr>
                <w:sz w:val="24"/>
                <w:szCs w:val="24"/>
                <w:color w:val="auto"/>
              </w:rPr>
            </w:pPr>
          </w:p>
        </w:tc>
        <w:tc>
          <w:tcPr>
            <w:tcW w:w="10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24"/>
                <w:szCs w:val="24"/>
                <w:color w:val="auto"/>
              </w:rPr>
            </w:pPr>
          </w:p>
        </w:tc>
        <w:tc>
          <w:tcPr>
            <w:tcW w:w="10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40" w:type="dxa"/>
            <w:vAlign w:val="bottom"/>
          </w:tcPr>
          <w:p>
            <w:pPr>
              <w:spacing w:after="0"/>
              <w:rPr>
                <w:sz w:val="20"/>
                <w:szCs w:val="20"/>
                <w:color w:val="auto"/>
              </w:rPr>
            </w:pPr>
            <w:r>
              <w:rPr>
                <w:rFonts w:ascii="Arial" w:cs="Arial" w:eastAsia="Arial" w:hAnsi="Arial"/>
                <w:sz w:val="18"/>
                <w:szCs w:val="18"/>
                <w:color w:val="auto"/>
              </w:rPr>
              <w:t>Net sales</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90,081</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80"/>
              <w:spacing w:after="0"/>
              <w:rPr>
                <w:sz w:val="20"/>
                <w:szCs w:val="20"/>
                <w:color w:val="auto"/>
              </w:rPr>
            </w:pPr>
            <w:r>
              <w:rPr>
                <w:rFonts w:ascii="Arial" w:cs="Arial" w:eastAsia="Arial" w:hAnsi="Arial"/>
                <w:sz w:val="18"/>
                <w:szCs w:val="18"/>
                <w:color w:val="auto"/>
                <w:w w:val="94"/>
              </w:rPr>
              <w:t>80,155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373,206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370,084</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Cost of products sold (exclusive of</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00"/>
              <w:spacing w:after="0"/>
              <w:rPr>
                <w:sz w:val="20"/>
                <w:szCs w:val="20"/>
                <w:color w:val="auto"/>
              </w:rPr>
            </w:pPr>
            <w:r>
              <w:rPr>
                <w:rFonts w:ascii="Arial" w:cs="Arial" w:eastAsia="Arial" w:hAnsi="Arial"/>
                <w:sz w:val="18"/>
                <w:szCs w:val="18"/>
                <w:color w:val="auto"/>
              </w:rPr>
              <w:t>depreciation and amortization shown   separately below)</w:t>
            </w:r>
          </w:p>
        </w:tc>
        <w:tc>
          <w:tcPr>
            <w:tcW w:w="540" w:type="dxa"/>
            <w:vAlign w:val="bottom"/>
          </w:tcPr>
          <w:p>
            <w:pPr>
              <w:spacing w:after="0"/>
              <w:rPr>
                <w:sz w:val="20"/>
                <w:szCs w:val="20"/>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8"/>
              </w:rPr>
              <w:t>71,848</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vMerge w:val="restart"/>
          </w:tcPr>
          <w:p>
            <w:pPr>
              <w:jc w:val="right"/>
              <w:ind w:right="880"/>
              <w:spacing w:after="0"/>
              <w:rPr>
                <w:sz w:val="20"/>
                <w:szCs w:val="20"/>
                <w:color w:val="auto"/>
              </w:rPr>
            </w:pPr>
            <w:r>
              <w:rPr>
                <w:rFonts w:ascii="Arial" w:cs="Arial" w:eastAsia="Arial" w:hAnsi="Arial"/>
                <w:sz w:val="18"/>
                <w:szCs w:val="18"/>
                <w:color w:val="auto"/>
                <w:w w:val="94"/>
              </w:rPr>
              <w:t>65,615</w:t>
            </w:r>
          </w:p>
        </w:tc>
        <w:tc>
          <w:tcPr>
            <w:tcW w:w="420" w:type="dxa"/>
            <w:vAlign w:val="bottom"/>
          </w:tcPr>
          <w:p>
            <w:pPr>
              <w:spacing w:after="0"/>
              <w:rPr>
                <w:sz w:val="20"/>
                <w:szCs w:val="20"/>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w w:val="86"/>
              </w:rPr>
              <w:t>295,136</w:t>
            </w:r>
          </w:p>
        </w:tc>
        <w:tc>
          <w:tcPr>
            <w:tcW w:w="400" w:type="dxa"/>
            <w:vAlign w:val="bottom"/>
          </w:tcPr>
          <w:p>
            <w:pPr>
              <w:spacing w:after="0"/>
              <w:rPr>
                <w:sz w:val="20"/>
                <w:szCs w:val="20"/>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89"/>
              </w:rPr>
              <w:t>294,859</w:t>
            </w:r>
          </w:p>
        </w:tc>
        <w:tc>
          <w:tcPr>
            <w:tcW w:w="0" w:type="dxa"/>
            <w:vAlign w:val="bottom"/>
          </w:tcPr>
          <w:p>
            <w:pPr>
              <w:spacing w:after="0"/>
              <w:rPr>
                <w:sz w:val="1"/>
                <w:szCs w:val="1"/>
                <w:color w:val="auto"/>
              </w:rPr>
            </w:pPr>
          </w:p>
        </w:tc>
      </w:tr>
      <w:tr>
        <w:trPr>
          <w:trHeight w:val="202"/>
        </w:trPr>
        <w:tc>
          <w:tcPr>
            <w:tcW w:w="5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7,737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color w:val="auto"/>
              </w:rPr>
              <w:t>7,296</w:t>
            </w:r>
          </w:p>
        </w:tc>
        <w:tc>
          <w:tcPr>
            <w:tcW w:w="4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33,281</w:t>
            </w:r>
          </w:p>
        </w:tc>
        <w:tc>
          <w:tcPr>
            <w:tcW w:w="4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31,561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4,022</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color w:val="auto"/>
              </w:rPr>
              <w:t>4,440</w:t>
            </w:r>
          </w:p>
        </w:tc>
        <w:tc>
          <w:tcPr>
            <w:tcW w:w="4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16,957</w:t>
            </w:r>
          </w:p>
        </w:tc>
        <w:tc>
          <w:tcPr>
            <w:tcW w:w="4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5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color w:val="auto"/>
              </w:rPr>
              <w:t>967</w:t>
            </w:r>
          </w:p>
        </w:tc>
        <w:tc>
          <w:tcPr>
            <w:tcW w:w="4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6,474</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8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27,827</w:t>
            </w:r>
          </w:p>
        </w:tc>
        <w:tc>
          <w:tcPr>
            <w:tcW w:w="4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color w:val="auto"/>
              </w:rPr>
              <w:t>490</w:t>
            </w:r>
          </w:p>
        </w:tc>
        <w:tc>
          <w:tcPr>
            <w:tcW w:w="42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2,374</w:t>
            </w:r>
          </w:p>
        </w:tc>
        <w:tc>
          <w:tcPr>
            <w:tcW w:w="4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5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color w:val="auto"/>
              </w:rPr>
              <w:t>888</w:t>
            </w:r>
          </w:p>
        </w:tc>
        <w:tc>
          <w:tcPr>
            <w:tcW w:w="4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275</w:t>
            </w:r>
          </w:p>
        </w:tc>
        <w:tc>
          <w:tcPr>
            <w:tcW w:w="4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02"/>
        </w:trPr>
        <w:tc>
          <w:tcPr>
            <w:tcW w:w="5140" w:type="dxa"/>
            <w:vAlign w:val="bottom"/>
          </w:tcPr>
          <w:p>
            <w:pPr>
              <w:spacing w:after="0" w:line="201" w:lineRule="exact"/>
              <w:rPr>
                <w:sz w:val="20"/>
                <w:szCs w:val="20"/>
                <w:color w:val="auto"/>
              </w:rPr>
            </w:pPr>
            <w:r>
              <w:rPr>
                <w:rFonts w:ascii="Arial" w:cs="Arial" w:eastAsia="Arial" w:hAnsi="Arial"/>
                <w:sz w:val="18"/>
                <w:szCs w:val="18"/>
                <w:color w:val="auto"/>
              </w:rPr>
              <w:t>Income before provision (benefit) for income taxes</w:t>
            </w:r>
          </w:p>
        </w:tc>
        <w:tc>
          <w:tcPr>
            <w:tcW w:w="5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6,058</w:t>
            </w:r>
          </w:p>
        </w:tc>
        <w:tc>
          <w:tcPr>
            <w:tcW w:w="4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468</w:t>
            </w:r>
          </w:p>
        </w:tc>
        <w:tc>
          <w:tcPr>
            <w:tcW w:w="8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25,178</w:t>
            </w:r>
          </w:p>
        </w:tc>
        <w:tc>
          <w:tcPr>
            <w:tcW w:w="4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20,341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Provision(benefit) for income taxes</w:t>
            </w:r>
          </w:p>
        </w:tc>
        <w:tc>
          <w:tcPr>
            <w:tcW w:w="5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1,573</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(7,738)</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8,000</w:t>
            </w:r>
          </w:p>
        </w:tc>
        <w:tc>
          <w:tcPr>
            <w:tcW w:w="4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4,485</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8,206</w:t>
            </w:r>
          </w:p>
        </w:tc>
        <w:tc>
          <w:tcPr>
            <w:tcW w:w="880" w:type="dxa"/>
            <w:vAlign w:val="bottom"/>
          </w:tcPr>
          <w:p>
            <w:pPr>
              <w:spacing w:after="0"/>
              <w:rPr>
                <w:sz w:val="24"/>
                <w:szCs w:val="24"/>
                <w:color w:val="auto"/>
              </w:rPr>
            </w:pPr>
          </w:p>
        </w:tc>
        <w:tc>
          <w:tcPr>
            <w:tcW w:w="420" w:type="dxa"/>
            <w:vAlign w:val="bottom"/>
          </w:tcPr>
          <w:p>
            <w:pPr>
              <w:ind w:left="34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17,178</w:t>
            </w:r>
          </w:p>
        </w:tc>
        <w:tc>
          <w:tcPr>
            <w:tcW w:w="40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140" w:type="dxa"/>
            <w:vAlign w:val="bottom"/>
          </w:tcPr>
          <w:p>
            <w:pPr>
              <w:spacing w:after="0"/>
              <w:rPr>
                <w:sz w:val="20"/>
                <w:szCs w:val="20"/>
                <w:color w:val="auto"/>
              </w:rPr>
            </w:pPr>
            <w:r>
              <w:rPr>
                <w:rFonts w:ascii="Arial" w:cs="Arial" w:eastAsia="Arial" w:hAnsi="Arial"/>
                <w:sz w:val="18"/>
                <w:szCs w:val="18"/>
                <w:color w:val="auto"/>
              </w:rPr>
              <w:t>Diluted income per share</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0.48</w:t>
            </w:r>
          </w:p>
        </w:tc>
        <w:tc>
          <w:tcPr>
            <w:tcW w:w="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14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5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17,817</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8"/>
                <w:szCs w:val="18"/>
                <w:color w:val="auto"/>
                <w:w w:val="94"/>
              </w:rPr>
              <w:t>17,150</w:t>
            </w:r>
          </w:p>
        </w:tc>
        <w:tc>
          <w:tcPr>
            <w:tcW w:w="42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17,260</w:t>
            </w:r>
          </w:p>
        </w:tc>
        <w:tc>
          <w:tcPr>
            <w:tcW w:w="4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17,114</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8"/>
        </w:trPr>
        <w:tc>
          <w:tcPr>
            <w:tcW w:w="5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700" w:type="dxa"/>
            <w:vAlign w:val="bottom"/>
            <w:gridSpan w:val="3"/>
          </w:tcPr>
          <w:p>
            <w:pPr>
              <w:ind w:left="460"/>
              <w:spacing w:after="0"/>
              <w:rPr>
                <w:sz w:val="20"/>
                <w:szCs w:val="20"/>
                <w:color w:val="auto"/>
              </w:rPr>
            </w:pPr>
            <w:r>
              <w:rPr>
                <w:rFonts w:ascii="Arial" w:cs="Arial" w:eastAsia="Arial" w:hAnsi="Arial"/>
                <w:sz w:val="18"/>
                <w:szCs w:val="18"/>
                <w:b w:val="1"/>
                <w:bCs w:val="1"/>
                <w:color w:val="auto"/>
              </w:rPr>
              <w:t>December 31,</w:t>
            </w:r>
          </w:p>
        </w:tc>
        <w:tc>
          <w:tcPr>
            <w:tcW w:w="3020" w:type="dxa"/>
            <w:vAlign w:val="bottom"/>
            <w:gridSpan w:val="3"/>
          </w:tcPr>
          <w:p>
            <w:pPr>
              <w:ind w:left="4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5700" w:type="dxa"/>
            <w:vAlign w:val="bottom"/>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66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64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Cash</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3,039</w:t>
            </w:r>
          </w:p>
        </w:tc>
        <w:tc>
          <w:tcPr>
            <w:tcW w:w="7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18,990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58,929</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gridSpan w:val="2"/>
          </w:tcPr>
          <w:p>
            <w:pPr>
              <w:jc w:val="right"/>
              <w:ind w:right="1140"/>
              <w:spacing w:after="0"/>
              <w:rPr>
                <w:sz w:val="20"/>
                <w:szCs w:val="20"/>
                <w:color w:val="auto"/>
              </w:rPr>
            </w:pPr>
            <w:r>
              <w:rPr>
                <w:rFonts w:ascii="Arial" w:cs="Arial" w:eastAsia="Arial" w:hAnsi="Arial"/>
                <w:sz w:val="18"/>
                <w:szCs w:val="18"/>
                <w:color w:val="auto"/>
              </w:rPr>
              <w:t>51,628</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Inventories</w:t>
            </w: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54,530</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gridSpan w:val="2"/>
          </w:tcPr>
          <w:p>
            <w:pPr>
              <w:jc w:val="right"/>
              <w:ind w:right="1140"/>
              <w:spacing w:after="0"/>
              <w:rPr>
                <w:sz w:val="20"/>
                <w:szCs w:val="20"/>
                <w:color w:val="auto"/>
              </w:rPr>
            </w:pPr>
            <w:r>
              <w:rPr>
                <w:rFonts w:ascii="Arial" w:cs="Arial" w:eastAsia="Arial" w:hAnsi="Arial"/>
                <w:sz w:val="18"/>
                <w:szCs w:val="18"/>
                <w:color w:val="auto"/>
              </w:rPr>
              <w:t>46,150</w:t>
            </w: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Other current assets</w:t>
            </w:r>
          </w:p>
        </w:tc>
        <w:tc>
          <w:tcPr>
            <w:tcW w:w="1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9,176</w:t>
            </w: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80" w:type="dxa"/>
            <w:vAlign w:val="bottom"/>
            <w:gridSpan w:val="2"/>
          </w:tcPr>
          <w:p>
            <w:pPr>
              <w:jc w:val="right"/>
              <w:ind w:right="1140"/>
              <w:spacing w:after="0"/>
              <w:rPr>
                <w:sz w:val="20"/>
                <w:szCs w:val="20"/>
                <w:color w:val="auto"/>
              </w:rPr>
            </w:pPr>
            <w:r>
              <w:rPr>
                <w:rFonts w:ascii="Arial" w:cs="Arial" w:eastAsia="Arial" w:hAnsi="Arial"/>
                <w:sz w:val="18"/>
                <w:szCs w:val="18"/>
                <w:color w:val="auto"/>
              </w:rPr>
              <w:t>10,528</w:t>
            </w: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13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125,674</w:t>
            </w:r>
          </w:p>
        </w:tc>
        <w:tc>
          <w:tcPr>
            <w:tcW w:w="7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127,296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7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121,089</w:t>
            </w: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80" w:type="dxa"/>
            <w:vAlign w:val="bottom"/>
            <w:gridSpan w:val="2"/>
          </w:tcPr>
          <w:p>
            <w:pPr>
              <w:jc w:val="right"/>
              <w:ind w:right="1140"/>
              <w:spacing w:after="0"/>
              <w:rPr>
                <w:sz w:val="20"/>
                <w:szCs w:val="20"/>
                <w:color w:val="auto"/>
              </w:rPr>
            </w:pPr>
            <w:r>
              <w:rPr>
                <w:rFonts w:ascii="Arial" w:cs="Arial" w:eastAsia="Arial" w:hAnsi="Arial"/>
                <w:sz w:val="18"/>
                <w:szCs w:val="18"/>
                <w:color w:val="auto"/>
                <w:w w:val="95"/>
              </w:rPr>
              <w:t>119,687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Goodwill, net</w:t>
            </w: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8,624</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900</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gridSpan w:val="2"/>
          </w:tcPr>
          <w:p>
            <w:pPr>
              <w:jc w:val="right"/>
              <w:ind w:right="11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7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line="196" w:lineRule="exact"/>
              <w:rPr>
                <w:sz w:val="20"/>
                <w:szCs w:val="20"/>
                <w:color w:val="auto"/>
              </w:rPr>
            </w:pPr>
            <w:r>
              <w:rPr>
                <w:rFonts w:ascii="Arial" w:cs="Arial" w:eastAsia="Arial" w:hAnsi="Arial"/>
                <w:sz w:val="18"/>
                <w:szCs w:val="18"/>
                <w:color w:val="auto"/>
              </w:rPr>
              <w:t>Total assets</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262,402</w:t>
            </w:r>
          </w:p>
        </w:tc>
        <w:tc>
          <w:tcPr>
            <w:tcW w:w="720" w:type="dxa"/>
            <w:vAlign w:val="bottom"/>
          </w:tcPr>
          <w:p>
            <w:pPr>
              <w:spacing w:after="0"/>
              <w:rPr>
                <w:sz w:val="18"/>
                <w:szCs w:val="18"/>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265,343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7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Current liabilities:</w:t>
            </w: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Accounts payable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40,687</w:t>
            </w:r>
          </w:p>
        </w:tc>
        <w:tc>
          <w:tcPr>
            <w:tcW w:w="7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14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Accrued salaries, wages and benefits</w:t>
            </w: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11,761</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gridSpan w:val="2"/>
          </w:tcPr>
          <w:p>
            <w:pPr>
              <w:jc w:val="right"/>
              <w:ind w:right="1140"/>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10,477</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Income taxes payable</w:t>
            </w: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1,340</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gridSpan w:val="2"/>
          </w:tcPr>
          <w:p>
            <w:pPr>
              <w:jc w:val="right"/>
              <w:ind w:right="11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w:t>
            </w:r>
          </w:p>
        </w:tc>
        <w:tc>
          <w:tcPr>
            <w:tcW w:w="7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1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69,384</w:t>
            </w: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58,758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70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3,844</w:t>
            </w: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26,000</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gridSpan w:val="2"/>
          </w:tcPr>
          <w:p>
            <w:pPr>
              <w:jc w:val="right"/>
              <w:ind w:right="1140"/>
              <w:spacing w:after="0"/>
              <w:rPr>
                <w:sz w:val="20"/>
                <w:szCs w:val="20"/>
                <w:color w:val="auto"/>
              </w:rPr>
            </w:pPr>
            <w:r>
              <w:rPr>
                <w:rFonts w:ascii="Arial" w:cs="Arial" w:eastAsia="Arial" w:hAnsi="Arial"/>
                <w:sz w:val="18"/>
                <w:szCs w:val="18"/>
                <w:color w:val="auto"/>
              </w:rPr>
              <w:t>63,715</w:t>
            </w: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10,414</w:t>
            </w: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80" w:type="dxa"/>
            <w:vAlign w:val="bottom"/>
            <w:gridSpan w:val="2"/>
          </w:tcPr>
          <w:p>
            <w:pPr>
              <w:jc w:val="right"/>
              <w:ind w:right="1140"/>
              <w:spacing w:after="0"/>
              <w:rPr>
                <w:sz w:val="20"/>
                <w:szCs w:val="20"/>
                <w:color w:val="auto"/>
              </w:rPr>
            </w:pPr>
            <w:r>
              <w:rPr>
                <w:rFonts w:ascii="Arial" w:cs="Arial" w:eastAsia="Arial" w:hAnsi="Arial"/>
                <w:sz w:val="18"/>
                <w:szCs w:val="18"/>
                <w:color w:val="auto"/>
              </w:rPr>
              <w:t>10,460</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Total liabilities</w:t>
            </w:r>
          </w:p>
        </w:tc>
        <w:tc>
          <w:tcPr>
            <w:tcW w:w="13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109,642</w:t>
            </w:r>
          </w:p>
        </w:tc>
        <w:tc>
          <w:tcPr>
            <w:tcW w:w="7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136,783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7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152,760</w:t>
            </w:r>
          </w:p>
        </w:tc>
        <w:tc>
          <w:tcPr>
            <w:tcW w:w="7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128,560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262,402</w:t>
            </w:r>
          </w:p>
        </w:tc>
        <w:tc>
          <w:tcPr>
            <w:tcW w:w="72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265,343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8"/>
        </w:trPr>
        <w:tc>
          <w:tcPr>
            <w:tcW w:w="57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0"/>
              </w:rPr>
              <w:t>Three Months Ended</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Year Ended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3"/>
              </w:rPr>
              <w:t>December 31, 2013</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0"/>
              </w:rPr>
              <w:t>December 31, 2013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0"/>
              </w:rPr>
              <w:t>Diluted Earnings</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0"/>
              </w:rPr>
              <w:t>Diluted Earnings</w:t>
            </w:r>
          </w:p>
        </w:tc>
      </w:tr>
      <w:tr>
        <w:trPr>
          <w:trHeight w:val="241"/>
        </w:trPr>
        <w:tc>
          <w:tcPr>
            <w:tcW w:w="4800" w:type="dxa"/>
            <w:vAlign w:val="bottom"/>
          </w:tcPr>
          <w:p>
            <w:pPr>
              <w:spacing w:after="0"/>
              <w:rPr>
                <w:sz w:val="20"/>
                <w:szCs w:val="20"/>
                <w:color w:val="auto"/>
              </w:rPr>
            </w:pPr>
          </w:p>
        </w:tc>
        <w:tc>
          <w:tcPr>
            <w:tcW w:w="17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Per Share</w:t>
            </w:r>
          </w:p>
        </w:tc>
        <w:tc>
          <w:tcPr>
            <w:tcW w:w="1840" w:type="dxa"/>
            <w:vAlign w:val="bottom"/>
            <w:gridSpan w:val="3"/>
          </w:tcPr>
          <w:p>
            <w:pPr>
              <w:ind w:left="200"/>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Per Share</w:t>
            </w:r>
          </w:p>
        </w:tc>
      </w:tr>
      <w:tr>
        <w:trPr>
          <w:trHeight w:val="202"/>
        </w:trPr>
        <w:tc>
          <w:tcPr>
            <w:tcW w:w="4800" w:type="dxa"/>
            <w:vAlign w:val="bottom"/>
          </w:tcPr>
          <w:p>
            <w:pPr>
              <w:spacing w:after="0" w:line="201" w:lineRule="exact"/>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4,485</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0.25</w:t>
            </w:r>
          </w:p>
        </w:tc>
        <w:tc>
          <w:tcPr>
            <w:tcW w:w="40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17,178</w:t>
            </w:r>
          </w:p>
        </w:tc>
        <w:tc>
          <w:tcPr>
            <w:tcW w:w="380" w:type="dxa"/>
            <w:vAlign w:val="bottom"/>
          </w:tcPr>
          <w:p>
            <w:pPr>
              <w:spacing w:after="0"/>
              <w:rPr>
                <w:sz w:val="17"/>
                <w:szCs w:val="17"/>
                <w:color w:val="auto"/>
              </w:rPr>
            </w:pPr>
          </w:p>
        </w:tc>
        <w:tc>
          <w:tcPr>
            <w:tcW w:w="9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After tax restructuring and other non-recurring items</w:t>
            </w:r>
          </w:p>
        </w:tc>
        <w:tc>
          <w:tcPr>
            <w:tcW w:w="7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483</w:t>
            </w:r>
          </w:p>
        </w:tc>
        <w:tc>
          <w:tcPr>
            <w:tcW w:w="9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Foreign exchange loss on intercompany</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loans</w:t>
            </w:r>
          </w:p>
        </w:tc>
        <w:tc>
          <w:tcPr>
            <w:tcW w:w="7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84</w:t>
            </w:r>
          </w:p>
        </w:tc>
        <w:tc>
          <w:tcPr>
            <w:tcW w:w="92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r>
      <w:tr>
        <w:trPr>
          <w:trHeight w:val="27"/>
        </w:trPr>
        <w:tc>
          <w:tcPr>
            <w:tcW w:w="48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Net Income from normal operations</w:t>
            </w:r>
          </w:p>
        </w:tc>
        <w:tc>
          <w:tcPr>
            <w:tcW w:w="700" w:type="dxa"/>
            <w:vAlign w:val="bottom"/>
          </w:tcPr>
          <w:p>
            <w:pPr>
              <w:jc w:val="center"/>
              <w:ind w:left="51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4,485</w:t>
            </w:r>
          </w:p>
        </w:tc>
        <w:tc>
          <w:tcPr>
            <w:tcW w:w="38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0.25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17,745</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r>
      <w:tr>
        <w:trPr>
          <w:trHeight w:val="21"/>
        </w:trPr>
        <w:tc>
          <w:tcPr>
            <w:tcW w:w="4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580" w:type="dxa"/>
            <w:vAlign w:val="bottom"/>
            <w:gridSpan w:val="5"/>
          </w:tcPr>
          <w:p>
            <w:pPr>
              <w:ind w:left="70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Year Ended</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87"/>
              </w:rPr>
              <w:t>December 31, 2012</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0"/>
              </w:rPr>
              <w:t>December 31, 2012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0"/>
              </w:rPr>
              <w:t>Diluted Earnings</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0"/>
              </w:rPr>
              <w:t>Diluted Earnings</w:t>
            </w:r>
          </w:p>
        </w:tc>
      </w:tr>
      <w:tr>
        <w:trPr>
          <w:trHeight w:val="241"/>
        </w:trPr>
        <w:tc>
          <w:tcPr>
            <w:tcW w:w="4800" w:type="dxa"/>
            <w:vAlign w:val="bottom"/>
          </w:tcPr>
          <w:p>
            <w:pPr>
              <w:spacing w:after="0"/>
              <w:rPr>
                <w:sz w:val="20"/>
                <w:szCs w:val="20"/>
                <w:color w:val="auto"/>
              </w:rPr>
            </w:pPr>
          </w:p>
        </w:tc>
        <w:tc>
          <w:tcPr>
            <w:tcW w:w="1720" w:type="dxa"/>
            <w:vAlign w:val="bottom"/>
            <w:gridSpan w:val="4"/>
          </w:tcPr>
          <w:p>
            <w:pPr>
              <w:ind w:left="140"/>
              <w:spacing w:after="0"/>
              <w:rPr>
                <w:sz w:val="20"/>
                <w:szCs w:val="20"/>
                <w:color w:val="auto"/>
              </w:rPr>
            </w:pPr>
            <w:r>
              <w:rPr>
                <w:rFonts w:ascii="Arial" w:cs="Arial" w:eastAsia="Arial" w:hAnsi="Arial"/>
                <w:sz w:val="18"/>
                <w:szCs w:val="18"/>
                <w:b w:val="1"/>
                <w:bCs w:val="1"/>
                <w:color w:val="auto"/>
              </w:rPr>
              <w:t>In Thousands</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Per Share</w:t>
            </w:r>
          </w:p>
        </w:tc>
        <w:tc>
          <w:tcPr>
            <w:tcW w:w="1840" w:type="dxa"/>
            <w:vAlign w:val="bottom"/>
            <w:gridSpan w:val="3"/>
          </w:tcPr>
          <w:p>
            <w:pPr>
              <w:ind w:left="200"/>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Per Share</w:t>
            </w:r>
          </w:p>
        </w:tc>
      </w:tr>
      <w:tr>
        <w:trPr>
          <w:trHeight w:val="202"/>
        </w:trPr>
        <w:tc>
          <w:tcPr>
            <w:tcW w:w="4800" w:type="dxa"/>
            <w:vAlign w:val="bottom"/>
          </w:tcPr>
          <w:p>
            <w:pPr>
              <w:spacing w:after="0" w:line="201" w:lineRule="exact"/>
              <w:rPr>
                <w:sz w:val="20"/>
                <w:szCs w:val="20"/>
                <w:color w:val="auto"/>
              </w:rPr>
            </w:pPr>
            <w:r>
              <w:rPr>
                <w:rFonts w:ascii="Arial" w:cs="Arial" w:eastAsia="Arial" w:hAnsi="Arial"/>
                <w:sz w:val="18"/>
                <w:szCs w:val="18"/>
                <w:color w:val="auto"/>
              </w:rPr>
              <w:t>Net Income</w:t>
            </w:r>
          </w:p>
        </w:tc>
        <w:tc>
          <w:tcPr>
            <w:tcW w:w="800" w:type="dxa"/>
            <w:vAlign w:val="bottom"/>
            <w:tcBorders>
              <w:top w:val="single" w:sz="8" w:color="auto"/>
            </w:tcBorders>
          </w:tcPr>
          <w:p>
            <w:pPr>
              <w:ind w:left="700"/>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8,206</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0.48</w:t>
            </w:r>
          </w:p>
        </w:tc>
        <w:tc>
          <w:tcPr>
            <w:tcW w:w="40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24,268</w:t>
            </w:r>
          </w:p>
        </w:tc>
        <w:tc>
          <w:tcPr>
            <w:tcW w:w="380" w:type="dxa"/>
            <w:vAlign w:val="bottom"/>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7"/>
                <w:szCs w:val="17"/>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w w:val="93"/>
              </w:rPr>
              <w:t>Benefits from reversing deferred tax asset valuation allowances,</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of offsetting tax charges</w:t>
            </w:r>
          </w:p>
        </w:tc>
        <w:tc>
          <w:tcPr>
            <w:tcW w:w="8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(7,257)</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(0.43)</w:t>
            </w:r>
          </w:p>
        </w:tc>
        <w:tc>
          <w:tcPr>
            <w:tcW w:w="8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(7,257)</w:t>
            </w:r>
          </w:p>
        </w:tc>
        <w:tc>
          <w:tcPr>
            <w:tcW w:w="8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(0.43)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Impairment of non-operating assets</w:t>
            </w:r>
          </w:p>
        </w:tc>
        <w:tc>
          <w:tcPr>
            <w:tcW w:w="8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1,008</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0.06</w:t>
            </w:r>
          </w:p>
        </w:tc>
        <w:tc>
          <w:tcPr>
            <w:tcW w:w="8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1,008</w:t>
            </w:r>
          </w:p>
        </w:tc>
        <w:tc>
          <w:tcPr>
            <w:tcW w:w="8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Foreign exchange loss on intercompany</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loans</w:t>
            </w:r>
          </w:p>
        </w:tc>
        <w:tc>
          <w:tcPr>
            <w:tcW w:w="8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827</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0.05</w:t>
            </w:r>
          </w:p>
        </w:tc>
        <w:tc>
          <w:tcPr>
            <w:tcW w:w="84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1,110</w:t>
            </w:r>
          </w:p>
        </w:tc>
        <w:tc>
          <w:tcPr>
            <w:tcW w:w="8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r>
      <w:tr>
        <w:trPr>
          <w:trHeight w:val="27"/>
        </w:trPr>
        <w:tc>
          <w:tcPr>
            <w:tcW w:w="48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gridSpan w:val="2"/>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Net income from normal operations</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2,784</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0.16</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19,129</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r>
      <w:tr>
        <w:trPr>
          <w:trHeight w:val="21"/>
        </w:trPr>
        <w:tc>
          <w:tcPr>
            <w:tcW w:w="4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sectPr>
      <w:pgSz w:w="11900" w:h="16838" w:orient="portrait"/>
      <w:cols w:equalWidth="0" w:num="1">
        <w:col w:w="11420"/>
      </w:cols>
      <w:pgMar w:left="240" w:top="9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4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2019-12-06T10:00:09Z</dcterms:created>
  <dcterms:modified xsi:type="dcterms:W3CDTF">2019-12-06T10:00:09Z</dcterms:modified>
</cp:coreProperties>
</file>