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ownership.xml.htm"/>
      <w:bookmarkStart w:id="1" w:name="ksownership"/>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Corre Partners Management,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 EAST 49TH STREET 40TH FLOOR</w:t>
                  </w:r>
                </w:p>
              </w:tc>
            </w:tr>
            <w:tr>
              <w:trPr/>
              <w:tc>
                <w:tcPr>
                  <w:tcW w:w="343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10017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NN INC</w:t>
              </w:r>
            </w:hyperlink>
            <w:r>
              <w:rPr/>
              <w:t xml:space="preserve"> [ </w:t>
            </w:r>
            <w:r>
              <w:rPr>
                <w:rFonts w:ascii="Times;serif" w:hAnsi="Times;serif"/>
                <w:color w:val="0000FF"/>
                <w:sz w:val="24"/>
                <w:highlight w:val="white"/>
              </w:rPr>
              <w:t>NNBR</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2"/>
              <w:gridCol w:w="989"/>
              <w:gridCol w:w="422"/>
              <w:gridCol w:w="989"/>
            </w:tblGrid>
            <w:tr>
              <w:trPr/>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04/13/2023</w:t>
            </w:r>
            <w:r>
              <w:rPr/>
              <w:t xml:space="preserve"> </w:t>
            </w:r>
          </w:p>
        </w:tc>
        <w:tc>
          <w:tcPr>
            <w:tcW w:w="294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0"/>
            </w:tblGrid>
            <w:tr>
              <w:trPr/>
              <w:tc>
                <w:tcPr>
                  <w:tcW w:w="422"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09"/>
        <w:gridCol w:w="901"/>
        <w:gridCol w:w="772"/>
        <w:gridCol w:w="598"/>
        <w:gridCol w:w="339"/>
        <w:gridCol w:w="905"/>
        <w:gridCol w:w="428"/>
        <w:gridCol w:w="878"/>
        <w:gridCol w:w="1244"/>
        <w:gridCol w:w="964"/>
        <w:gridCol w:w="106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0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4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6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67"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04/13/2023</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3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3,100</w:t>
            </w:r>
          </w:p>
        </w:tc>
        <w:tc>
          <w:tcPr>
            <w:tcW w:w="42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7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1.06</w:t>
            </w:r>
            <w:r>
              <w:rPr/>
              <w:t xml:space="preserve"> </w:t>
            </w:r>
          </w:p>
        </w:tc>
        <w:tc>
          <w:tcPr>
            <w:tcW w:w="124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5,291,581</w:t>
            </w:r>
          </w:p>
        </w:tc>
        <w:tc>
          <w:tcPr>
            <w:tcW w:w="96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6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Footnote</w:t>
            </w:r>
            <w:r>
              <w:rPr>
                <w:rFonts w:ascii="Times;serif" w:hAnsi="Times;serif"/>
                <w:color w:val="008000"/>
                <w:position w:val="7"/>
                <w:sz w:val="16"/>
                <w:sz w:val="20"/>
                <w:highlight w:val="white"/>
              </w:rPr>
              <w:t>(1)</w:t>
            </w:r>
            <w:r>
              <w:rPr/>
              <w:t xml:space="preserve"> </w:t>
            </w:r>
          </w:p>
        </w:tc>
      </w:tr>
      <w:tr>
        <w:trPr/>
        <w:tc>
          <w:tcPr>
            <w:tcW w:w="210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04/14/2023</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3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74,674</w:t>
            </w:r>
          </w:p>
        </w:tc>
        <w:tc>
          <w:tcPr>
            <w:tcW w:w="42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7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1.0534</w:t>
            </w:r>
            <w:r>
              <w:rPr>
                <w:rFonts w:ascii="Times;serif" w:hAnsi="Times;serif"/>
                <w:color w:val="008000"/>
                <w:position w:val="7"/>
                <w:sz w:val="16"/>
                <w:sz w:val="20"/>
                <w:highlight w:val="white"/>
              </w:rPr>
              <w:t>(2)</w:t>
            </w:r>
            <w:r>
              <w:rPr/>
              <w:t xml:space="preserve"> </w:t>
            </w:r>
          </w:p>
        </w:tc>
        <w:tc>
          <w:tcPr>
            <w:tcW w:w="124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5,366,255</w:t>
            </w:r>
          </w:p>
        </w:tc>
        <w:tc>
          <w:tcPr>
            <w:tcW w:w="96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6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Footnote</w:t>
            </w:r>
            <w:r>
              <w:rPr>
                <w:rFonts w:ascii="Times;serif" w:hAnsi="Times;serif"/>
                <w:color w:val="008000"/>
                <w:position w:val="7"/>
                <w:sz w:val="16"/>
                <w:sz w:val="20"/>
                <w:highlight w:val="white"/>
              </w:rPr>
              <w:t>(1)</w:t>
            </w:r>
            <w:r>
              <w:rPr/>
              <w:t xml:space="preserve"> </w:t>
            </w:r>
          </w:p>
        </w:tc>
      </w:tr>
      <w:tr>
        <w:trPr/>
        <w:tc>
          <w:tcPr>
            <w:tcW w:w="210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0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3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2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24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905,735</w:t>
            </w:r>
          </w:p>
        </w:tc>
        <w:tc>
          <w:tcPr>
            <w:tcW w:w="96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6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Footnote</w:t>
            </w:r>
            <w:r>
              <w:rPr>
                <w:rFonts w:ascii="Times;serif" w:hAnsi="Times;serif"/>
                <w:color w:val="008000"/>
                <w:position w:val="7"/>
                <w:sz w:val="16"/>
                <w:sz w:val="20"/>
                <w:highlight w:val="white"/>
              </w:rPr>
              <w:t>(3)</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Corre Partners Management,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 EAST 49TH STREET 40TH FLOOR</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10017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Corre Partners Advisors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 EAST 49TH STREET 40TH FLOOR</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10017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Corre Opportunities Qualified Master Fund,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 EAST 49TH STREET 40TH FLOOR</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10017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8">
                    <w:r>
                      <w:rPr>
                        <w:rStyle w:val="InternetLink"/>
                      </w:rPr>
                      <w:t>Barrett John Frederick</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CORRE PARTNERS MANAGEMENT, LLC</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 EAST 49TH STREET, 40TH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10017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9">
                    <w:r>
                      <w:rPr>
                        <w:rStyle w:val="InternetLink"/>
                      </w:rPr>
                      <w:t>Soderlund Eric Hjalmar</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 EAST 49TH STREET 40TH FLOOR</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10017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reported securities are directly owned by Corre Opportunities Qualified Master Fund, LP (the "Qualified Master Fund"). The reported securities may be deemed beneficially owned by Corre Partners Management, LLC ("Corre"), the investment manager of the Qualified Master Fund, Corre Partners Advisors, LLC ("Corre GP"), the general partner of the Qualified Master Fund,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price reported in Column 4 is a weighted average price. These shares were purchased in multiple transactions within the range of $1.04 to $1.06.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reported securities are directly owned by Corre Horizon Fund, LP (the "Partnership"). The reported securities may be deemed beneficially owned by Corre, the investment manager of the Partnership, Corre GP, the general partner of the Partnership,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Corre Partners Management, LLC, /s/ Eric Soderlund, Managing Member</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04/17/2023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Corre Partners Advisors, LLC, /s/ Eric Soderlund, Managing Member</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04/17/2023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Corre Opportunities Qualified Master Fund, LP, By: Corre Partners Advisors, LLC, its general partner, /s/ Eric Soderlund, Managing Member</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04/17/2023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John Barrett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04/17/2023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Eric Soderlund</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04/17/2023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37323" TargetMode="External"/><Relationship Id="rId4" Type="http://schemas.openxmlformats.org/officeDocument/2006/relationships/hyperlink" Target="http://www.sec.gov/cgi-bin/browse-edgar?action=getcompany&amp;CIK=0000918541" TargetMode="External"/><Relationship Id="rId5" Type="http://schemas.openxmlformats.org/officeDocument/2006/relationships/hyperlink" Target="http://www.sec.gov/cgi-bin/browse-edgar?action=getcompany&amp;CIK=0001537323" TargetMode="External"/><Relationship Id="rId6" Type="http://schemas.openxmlformats.org/officeDocument/2006/relationships/hyperlink" Target="http://www.sec.gov/cgi-bin/browse-edgar?action=getcompany&amp;CIK=0001884680" TargetMode="External"/><Relationship Id="rId7" Type="http://schemas.openxmlformats.org/officeDocument/2006/relationships/hyperlink" Target="http://www.sec.gov/cgi-bin/browse-edgar?action=getcompany&amp;CIK=0001601971" TargetMode="External"/><Relationship Id="rId8" Type="http://schemas.openxmlformats.org/officeDocument/2006/relationships/hyperlink" Target="http://www.sec.gov/cgi-bin/browse-edgar?action=getcompany&amp;CIK=0001858308" TargetMode="External"/><Relationship Id="rId9" Type="http://schemas.openxmlformats.org/officeDocument/2006/relationships/hyperlink" Target="http://www.sec.gov/cgi-bin/browse-edgar?action=getcompany&amp;CIK=0001885532"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1094</Words>
  <CharactersWithSpaces>6867</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