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May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94"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10"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00"/>
        <w:spacing w:after="0" w:line="235"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21"/>
          <w:szCs w:val="21"/>
          <w:color w:val="auto"/>
          <w:vertAlign w:val="subscript"/>
        </w:rPr>
        <w:t>☐</w:t>
      </w:r>
    </w:p>
    <w:p>
      <w:pPr>
        <w:spacing w:after="0" w:line="1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46"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On May 7, 2025, NN, Inc. (the “Company”) issued a press release announcing the Company’s financial results for the quarter ended March 31, 2025. The full text of the press release is furnished as Exhibit 99.1 to this Current Report on Form 8-K (the "Current Report").</w:t>
      </w:r>
    </w:p>
    <w:p>
      <w:pPr>
        <w:spacing w:after="0" w:line="39"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4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460" w:firstLine="432"/>
        <w:spacing w:after="0" w:line="279" w:lineRule="auto"/>
        <w:rPr>
          <w:sz w:val="20"/>
          <w:szCs w:val="20"/>
          <w:color w:val="auto"/>
        </w:rPr>
      </w:pPr>
      <w:r>
        <w:rPr>
          <w:rFonts w:ascii="Times New Roman" w:cs="Times New Roman" w:eastAsia="Times New Roman" w:hAnsi="Times New Roman"/>
          <w:sz w:val="12"/>
          <w:szCs w:val="12"/>
          <w:color w:val="auto"/>
        </w:rPr>
        <w:t>On May 7, 2025, the Company posted a supplemental presentation to its website, https://investors.nninc.com/, which will be presented during its quarterly investor conference call on May 8, 2025, at 9:00 a.m. ET. The supplemental presentation is included as Exhibit 99.2 to this Current Report.</w:t>
      </w:r>
    </w:p>
    <w:p>
      <w:pPr>
        <w:spacing w:after="0" w:line="39" w:lineRule="exact"/>
        <w:rPr>
          <w:sz w:val="20"/>
          <w:szCs w:val="20"/>
          <w:color w:val="auto"/>
        </w:rPr>
      </w:pPr>
    </w:p>
    <w:p>
      <w:pPr>
        <w:ind w:right="2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Description of Exhibit</w:t>
            </w:r>
          </w:p>
        </w:tc>
        <w:tc>
          <w:tcPr>
            <w:tcW w:w="98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220" w:type="dxa"/>
            <w:vAlign w:val="bottom"/>
          </w:tcPr>
          <w:p>
            <w:pPr>
              <w:spacing w:after="0"/>
              <w:rPr>
                <w:sz w:val="13"/>
                <w:szCs w:val="13"/>
                <w:color w:val="auto"/>
              </w:rPr>
            </w:pPr>
          </w:p>
        </w:tc>
        <w:tc>
          <w:tcPr>
            <w:tcW w:w="2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issued by NN, Inc., dated May 7, 2025</w:t>
            </w:r>
          </w:p>
        </w:tc>
        <w:tc>
          <w:tcPr>
            <w:tcW w:w="8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220" w:type="dxa"/>
            <w:vAlign w:val="bottom"/>
          </w:tcPr>
          <w:p>
            <w:pPr>
              <w:spacing w:after="0"/>
              <w:rPr>
                <w:sz w:val="11"/>
                <w:szCs w:val="11"/>
                <w:color w:val="auto"/>
              </w:rPr>
            </w:pPr>
          </w:p>
        </w:tc>
        <w:tc>
          <w:tcPr>
            <w:tcW w:w="1072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First Quarter 2025 Earnings Call Presentation</w:t>
            </w:r>
          </w:p>
        </w:tc>
        <w:tc>
          <w:tcPr>
            <w:tcW w:w="0" w:type="dxa"/>
            <w:vAlign w:val="bottom"/>
          </w:tcPr>
          <w:p>
            <w:pPr>
              <w:spacing w:after="0"/>
              <w:rPr>
                <w:sz w:val="1"/>
                <w:szCs w:val="1"/>
                <w:color w:val="auto"/>
              </w:rPr>
            </w:pPr>
          </w:p>
        </w:tc>
      </w:tr>
      <w:tr>
        <w:trPr>
          <w:trHeight w:val="20"/>
        </w:trPr>
        <w:tc>
          <w:tcPr>
            <w:tcW w:w="3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8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gridSpan w:val="4"/>
          </w:tcPr>
          <w:p>
            <w:pPr>
              <w:jc w:val="center"/>
              <w:ind w:left="3"/>
              <w:spacing w:after="0"/>
              <w:rPr>
                <w:sz w:val="20"/>
                <w:szCs w:val="20"/>
                <w:color w:val="auto"/>
              </w:rPr>
            </w:pPr>
            <w:r>
              <w:rPr>
                <w:rFonts w:ascii="Times New Roman" w:cs="Times New Roman" w:eastAsia="Times New Roman" w:hAnsi="Times New Roman"/>
                <w:sz w:val="12"/>
                <w:szCs w:val="12"/>
                <w:color w:val="auto"/>
                <w:w w:val="99"/>
              </w:rPr>
              <w:t>104</w:t>
            </w:r>
          </w:p>
        </w:tc>
        <w:tc>
          <w:tcPr>
            <w:tcW w:w="220" w:type="dxa"/>
            <w:vAlign w:val="bottom"/>
          </w:tcPr>
          <w:p>
            <w:pPr>
              <w:spacing w:after="0"/>
              <w:rPr>
                <w:sz w:val="15"/>
                <w:szCs w:val="15"/>
                <w:color w:val="auto"/>
              </w:rPr>
            </w:pPr>
          </w:p>
        </w:tc>
        <w:tc>
          <w:tcPr>
            <w:tcW w:w="107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080"/>
        </w:trPr>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May 7, 2025</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464820</wp:posOffset>
            </wp:positionV>
            <wp:extent cx="1097280" cy="817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1724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664845</wp:posOffset>
            </wp:positionV>
            <wp:extent cx="12858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NN, Inc.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6210 Ardrey Kell Road, Suite 120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IMMEDIATE RELEASE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NN, INC. REPORTS FIRST QUARTER 2025 RESULTS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Company reaffirms full-year adjusted EBITDA 2025 outlook and five-year sales and margin targets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Company initiates full-year 2025 free cash flow guidance of $14-$16 million</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3"/>
          <w:szCs w:val="13"/>
          <w:b w:val="1"/>
          <w:bCs w:val="1"/>
          <w:color w:val="auto"/>
        </w:rPr>
        <w:t xml:space="preserve">CHARLOTTE, N.C., May 7, 2025 </w:t>
      </w:r>
      <w:r>
        <w:rPr>
          <w:rFonts w:ascii="Arial" w:cs="Arial" w:eastAsia="Arial" w:hAnsi="Arial"/>
          <w:sz w:val="13"/>
          <w:szCs w:val="13"/>
          <w:color w:val="auto"/>
        </w:rPr>
        <w:t>– NN, Inc. (NASDAQ: NNBR) (“NN” or the “Company”), a global diversified industrial company that engineers and manufactures high-precision components</w:t>
      </w:r>
      <w:r>
        <w:rPr>
          <w:rFonts w:ascii="Arial" w:cs="Arial" w:eastAsia="Arial" w:hAnsi="Arial"/>
          <w:sz w:val="13"/>
          <w:szCs w:val="13"/>
          <w:b w:val="1"/>
          <w:bCs w:val="1"/>
          <w:color w:val="auto"/>
        </w:rPr>
        <w:t xml:space="preserve"> </w:t>
      </w:r>
      <w:r>
        <w:rPr>
          <w:rFonts w:ascii="Arial" w:cs="Arial" w:eastAsia="Arial" w:hAnsi="Arial"/>
          <w:sz w:val="13"/>
          <w:szCs w:val="13"/>
          <w:color w:val="auto"/>
        </w:rPr>
        <w:t>and assemblies, today reported results for the first quarter ended March 31, 2025.</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First Quarter Highlights</w:t>
      </w:r>
    </w:p>
    <w:p>
      <w:pPr>
        <w:spacing w:after="0" w:line="40" w:lineRule="exact"/>
        <w:rPr>
          <w:sz w:val="20"/>
          <w:szCs w:val="20"/>
          <w:color w:val="auto"/>
        </w:rPr>
      </w:pPr>
    </w:p>
    <w:p>
      <w:pPr>
        <w:ind w:left="400" w:hanging="192"/>
        <w:spacing w:after="0"/>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sales of $105.7 million, decreased by 12.8% versus the prior year first quarter.</w:t>
      </w:r>
    </w:p>
    <w:p>
      <w:pPr>
        <w:spacing w:after="0" w:line="30" w:lineRule="exact"/>
        <w:rPr>
          <w:rFonts w:ascii="Arial" w:cs="Arial" w:eastAsia="Arial" w:hAnsi="Arial"/>
          <w:sz w:val="13"/>
          <w:szCs w:val="13"/>
          <w:color w:val="auto"/>
        </w:rPr>
      </w:pPr>
    </w:p>
    <w:p>
      <w:pPr>
        <w:ind w:left="400" w:hanging="192"/>
        <w:spacing w:after="0"/>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 forma net sales, adjusted for the sale of Lubbock, rationalized business, and currency translation, decreased by 1.3% compared to the prior year first quarter.</w:t>
      </w:r>
    </w:p>
    <w:p>
      <w:pPr>
        <w:spacing w:after="0" w:line="39" w:lineRule="exact"/>
        <w:rPr>
          <w:rFonts w:ascii="Arial" w:cs="Arial" w:eastAsia="Arial" w:hAnsi="Arial"/>
          <w:sz w:val="13"/>
          <w:szCs w:val="13"/>
          <w:color w:val="auto"/>
        </w:rPr>
      </w:pPr>
    </w:p>
    <w:p>
      <w:pPr>
        <w:ind w:left="860" w:hanging="220"/>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Strong China domestic sales growth continues, up by 12.5% versus the prior year first quarter.</w:t>
      </w:r>
    </w:p>
    <w:p>
      <w:pPr>
        <w:spacing w:after="0" w:line="30" w:lineRule="exact"/>
        <w:rPr>
          <w:rFonts w:ascii="Arial" w:cs="Arial" w:eastAsia="Arial" w:hAnsi="Arial"/>
          <w:sz w:val="13"/>
          <w:szCs w:val="13"/>
          <w:color w:val="auto"/>
        </w:rPr>
      </w:pPr>
    </w:p>
    <w:p>
      <w:pPr>
        <w:ind w:left="860" w:hanging="220"/>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NN does not directly sell Chinese manufactured products into the U.S.</w:t>
      </w:r>
    </w:p>
    <w:p>
      <w:pPr>
        <w:spacing w:after="0" w:line="39" w:lineRule="exact"/>
        <w:rPr>
          <w:rFonts w:ascii="Arial" w:cs="Arial" w:eastAsia="Arial" w:hAnsi="Arial"/>
          <w:sz w:val="13"/>
          <w:szCs w:val="13"/>
          <w:color w:val="auto"/>
        </w:rPr>
      </w:pPr>
    </w:p>
    <w:p>
      <w:pPr>
        <w:ind w:left="400" w:hanging="192"/>
        <w:spacing w:after="0"/>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GAAP earnings per share of $(0.23) and adjusted earnings per share results of $(0.03), increases versus ($0.34) and ($0.08), respectively, versus the prior year first quarter.</w:t>
      </w:r>
    </w:p>
    <w:p>
      <w:pPr>
        <w:spacing w:after="0" w:line="30" w:lineRule="exact"/>
        <w:rPr>
          <w:rFonts w:ascii="Arial" w:cs="Arial" w:eastAsia="Arial" w:hAnsi="Arial"/>
          <w:sz w:val="13"/>
          <w:szCs w:val="13"/>
          <w:color w:val="auto"/>
        </w:rPr>
      </w:pPr>
    </w:p>
    <w:p>
      <w:pPr>
        <w:ind w:left="400" w:hanging="192"/>
        <w:spacing w:after="0"/>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 forma adjusted EBITDA of $10.6 million, flat to prior year first quarter.</w:t>
      </w:r>
    </w:p>
    <w:p>
      <w:pPr>
        <w:spacing w:after="0" w:line="30" w:lineRule="exact"/>
        <w:rPr>
          <w:rFonts w:ascii="Arial" w:cs="Arial" w:eastAsia="Arial" w:hAnsi="Arial"/>
          <w:sz w:val="13"/>
          <w:szCs w:val="13"/>
          <w:color w:val="auto"/>
        </w:rPr>
      </w:pPr>
    </w:p>
    <w:p>
      <w:pPr>
        <w:ind w:left="400" w:hanging="192"/>
        <w:spacing w:after="0"/>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EBITDA margin of 10%, an increase compared to 9.3% in the prior year first quarter.</w:t>
      </w:r>
    </w:p>
    <w:p>
      <w:pPr>
        <w:spacing w:after="0" w:line="39" w:lineRule="exact"/>
        <w:rPr>
          <w:rFonts w:ascii="Arial" w:cs="Arial" w:eastAsia="Arial" w:hAnsi="Arial"/>
          <w:sz w:val="13"/>
          <w:szCs w:val="13"/>
          <w:color w:val="auto"/>
        </w:rPr>
      </w:pPr>
    </w:p>
    <w:p>
      <w:pPr>
        <w:ind w:left="400" w:hanging="192"/>
        <w:spacing w:after="0"/>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NN is tracking to all long-term goals and transformational pillars - growth, diversification, costs, and cash.</w:t>
      </w:r>
    </w:p>
    <w:p>
      <w:pPr>
        <w:spacing w:after="0" w:line="30" w:lineRule="exact"/>
        <w:rPr>
          <w:rFonts w:ascii="Arial" w:cs="Arial" w:eastAsia="Arial" w:hAnsi="Arial"/>
          <w:sz w:val="13"/>
          <w:szCs w:val="13"/>
          <w:color w:val="auto"/>
        </w:rPr>
      </w:pPr>
    </w:p>
    <w:p>
      <w:pPr>
        <w:ind w:left="400" w:hanging="192"/>
        <w:spacing w:after="0"/>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Recently raised 5-year adjusted EBITDA margin target to 13-14%.</w:t>
      </w:r>
    </w:p>
    <w:p>
      <w:pPr>
        <w:spacing w:after="0" w:line="30" w:lineRule="exact"/>
        <w:rPr>
          <w:rFonts w:ascii="Arial" w:cs="Arial" w:eastAsia="Arial" w:hAnsi="Arial"/>
          <w:sz w:val="13"/>
          <w:szCs w:val="13"/>
          <w:color w:val="auto"/>
        </w:rPr>
      </w:pPr>
    </w:p>
    <w:p>
      <w:pPr>
        <w:ind w:left="860" w:right="20" w:hanging="220"/>
        <w:spacing w:after="0" w:line="296" w:lineRule="auto"/>
        <w:tabs>
          <w:tab w:leader="none" w:pos="871" w:val="left"/>
        </w:tabs>
        <w:numPr>
          <w:ilvl w:val="1"/>
          <w:numId w:val="3"/>
        </w:numPr>
        <w:rPr>
          <w:rFonts w:ascii="Arial" w:cs="Arial" w:eastAsia="Arial" w:hAnsi="Arial"/>
          <w:sz w:val="13"/>
          <w:szCs w:val="13"/>
          <w:color w:val="auto"/>
        </w:rPr>
      </w:pPr>
      <w:r>
        <w:rPr>
          <w:rFonts w:ascii="Arial" w:cs="Arial" w:eastAsia="Arial" w:hAnsi="Arial"/>
          <w:sz w:val="13"/>
          <w:szCs w:val="13"/>
          <w:color w:val="auto"/>
        </w:rPr>
        <w:t>Rationalization of underperforming business and plants remains on track with additional footprint reductions under evaluation; an estimated $15 million total cost savings are expected in 2025.</w:t>
      </w:r>
    </w:p>
    <w:p>
      <w:pPr>
        <w:ind w:left="400" w:hanging="192"/>
        <w:spacing w:after="0"/>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New business wins were $16.4 million, concentrated in the key focus areas of industrial products, electrical and power products, medical, and high-value automotive products.</w:t>
      </w:r>
    </w:p>
    <w:p>
      <w:pPr>
        <w:spacing w:after="0" w:line="39" w:lineRule="exact"/>
        <w:rPr>
          <w:rFonts w:ascii="Arial" w:cs="Arial" w:eastAsia="Arial" w:hAnsi="Arial"/>
          <w:sz w:val="13"/>
          <w:szCs w:val="13"/>
          <w:color w:val="auto"/>
        </w:rPr>
      </w:pPr>
    </w:p>
    <w:p>
      <w:pPr>
        <w:ind w:left="860" w:right="520" w:hanging="220"/>
        <w:spacing w:after="0" w:line="288" w:lineRule="auto"/>
        <w:tabs>
          <w:tab w:leader="none" w:pos="862" w:val="left"/>
        </w:tabs>
        <w:numPr>
          <w:ilvl w:val="1"/>
          <w:numId w:val="3"/>
        </w:numPr>
        <w:rPr>
          <w:rFonts w:ascii="Arial" w:cs="Arial" w:eastAsia="Arial" w:hAnsi="Arial"/>
          <w:sz w:val="13"/>
          <w:szCs w:val="13"/>
          <w:color w:val="auto"/>
        </w:rPr>
      </w:pPr>
      <w:r>
        <w:rPr>
          <w:rFonts w:ascii="Arial" w:cs="Arial" w:eastAsia="Arial" w:hAnsi="Arial"/>
          <w:sz w:val="13"/>
          <w:szCs w:val="13"/>
          <w:color w:val="auto"/>
        </w:rPr>
        <w:t>NN’s new business pipeline remains robust at over $740 million and continues to expand in key targeted growth areas. Approximately 30% of the pipeline focused on non-traditional automotive applications.</w:t>
      </w:r>
    </w:p>
    <w:p>
      <w:pPr>
        <w:spacing w:after="0" w:line="1" w:lineRule="exact"/>
        <w:rPr>
          <w:rFonts w:ascii="Arial" w:cs="Arial" w:eastAsia="Arial" w:hAnsi="Arial"/>
          <w:sz w:val="13"/>
          <w:szCs w:val="13"/>
          <w:color w:val="auto"/>
        </w:rPr>
      </w:pPr>
    </w:p>
    <w:p>
      <w:pPr>
        <w:ind w:left="860" w:hanging="220"/>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NN’s pipeline and new business wins are improving sales and margin mix and strengthening the Company’s sales growth and structural earnings power.</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128" w:right="299" w:bottom="1440" w:gutter="0" w:footer="0" w:header="0"/>
        </w:sectPr>
      </w:pPr>
    </w:p>
    <w:bookmarkStart w:id="4" w:name="page5"/>
    <w:bookmarkEnd w:id="4"/>
    <w:p>
      <w:pPr>
        <w:ind w:left="420" w:hanging="212"/>
        <w:spacing w:after="0" w:line="296"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t>Medical products business growth plan stays focused; currently adding specialized equipment to meet expanded new business pipeline and support initial wins. NN’s medical pipeline is currently at peak levels of $40+ million since re-entering the medical market in October 2023.</w:t>
      </w: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Term Loan refinancing process completed post quarter-end, positioning the Company to advance its 5-year transformation plans.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“NN marked another quarter of solid steps forward across key areas of our transformation, and our results for the quarter have kept us on track with our full-year outlook and five-year plan. Our strategic and transformation-led progress was highlighted by growth and new wins in targeted markets, including stamped, medical, and electrical products, as well as high-value automotive” said Harold Bevis, President and Chief Executive Officer of NN, Inc. “Our commercial growth agenda captured $16.4 million of new business wins in the quarter, progress that has kept the Company on pace to meet its aggressive multi-year sales growth target.</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Mr. Bevis continued, “Our commercial pipeline remains robust at over $740 million and we continue to grow our presence in highly-accretive growth markets. Due to programs won in prior years and programs won in 2025 year to date through early May, we have now won 120 new programs worth $55 million (peak annual sales) launching in 2025. This will add incremental sales in the second half of fiscal 2025. We have had some foundational wins thus far in 2025, and we are excited about our future.”</w:t>
      </w:r>
    </w:p>
    <w:p>
      <w:pPr>
        <w:spacing w:after="0" w:line="1" w:lineRule="exact"/>
        <w:rPr>
          <w:sz w:val="20"/>
          <w:szCs w:val="20"/>
          <w:color w:val="auto"/>
        </w:rPr>
      </w:pPr>
    </w:p>
    <w:p>
      <w:pPr>
        <w:jc w:val="both"/>
        <w:ind w:right="20"/>
        <w:spacing w:after="0" w:line="279" w:lineRule="auto"/>
        <w:rPr>
          <w:sz w:val="20"/>
          <w:szCs w:val="20"/>
          <w:color w:val="auto"/>
        </w:rPr>
      </w:pPr>
      <w:r>
        <w:rPr>
          <w:rFonts w:ascii="Arial" w:cs="Arial" w:eastAsia="Arial" w:hAnsi="Arial"/>
          <w:sz w:val="13"/>
          <w:szCs w:val="13"/>
          <w:color w:val="auto"/>
        </w:rPr>
        <w:t>“Operationally, our team continues to diligently execute against our cost-out and plant level productivity enhancement initiatives, with a 2025 goal of $15 million cost reduction. 2025 will mark a significant turning point in NN’s free cash flow performance, and we are initiating full-year 2025 guidance of $14 to $16 million.”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Mr. Bevis concluded, “Despite heightened macroeconomic uncertainty, the threat of U.S. tariffs is thus far immaterial to NN, and our business segments have showed continued resilience. We believe we are well positioned to continue driving organic growth, reduce our cost profile, and increase our cash flow. Although there are well-known uncertainties across the global economy, we know that have ample cause for optimism and we remain excited about our transformation plan, both commercially and operationally. 2025 will serve as a pivotal year in our progression, and we look forward to delivering strong results for our shareholders and stakeholders this year and continuing upon that momentum into the future.”</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First Quarter Results</w:t>
      </w:r>
    </w:p>
    <w:p>
      <w:pPr>
        <w:spacing w:after="0" w:line="4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Net sales were $105.7 million, a decrease of 12.8% compared to the first quarter of 2024 net sales of $121.2 million, primarily due to the rationalization of underperforming business and plants, the sale of our Lubbock operations in 2024, lower volumes and unfavorable foreign exchange effects. These decreases were partially offset by higher precious metals pass-through pricing. Loss from operations for the first quarter of 2025 was $4.8 million, flat compared to prior year.</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First Quarter Adjusted Results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Pro forma net sales when adjusted for rationalized sales and currency changes and the sale of Lubbock, were a decrease of 1.3% in the first quarter when compared to the first quarter of 2024.</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3"/>
          <w:szCs w:val="13"/>
          <w:color w:val="auto"/>
        </w:rPr>
        <w:t>Adjusted income from operations for the first quarter of 2025 was $2.0 million compared to adjusted loss from operations of $0.7 million for the same period in 2024. Adjusted EBITDA was $10.6 million, or 10.0% of sales, compared to $11.3 million, or 9.3% of sales, for the same period in 2024.</w:t>
      </w:r>
    </w:p>
    <w:p>
      <w:pPr>
        <w:spacing w:after="0" w:line="133"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Adjusted net loss from operations was $1.4 million, or $0.03 per diluted share, compared to adjusted net loss of $4.0 million, or $0.08 per diluted share, for the same period in 2024. Free cash flow was a use of cash of $7.1 million compared to a generation of cash of $0.3 million for the same period in 2024.</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Power Solutions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Net sales for the first quarter of 2025 were $43.5 million compared to $48.2 million in the same period in 2024.</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989" w:right="299" w:bottom="1440" w:gutter="0" w:footer="0" w:header="0"/>
        </w:sectPr>
      </w:pPr>
    </w:p>
    <w:bookmarkStart w:id="5" w:name="page6"/>
    <w:bookmarkEnd w:id="5"/>
    <w:p>
      <w:pPr>
        <w:spacing w:after="0" w:line="284" w:lineRule="auto"/>
        <w:rPr>
          <w:sz w:val="20"/>
          <w:szCs w:val="20"/>
          <w:color w:val="auto"/>
        </w:rPr>
      </w:pPr>
      <w:r>
        <w:rPr>
          <w:rFonts w:ascii="Arial" w:cs="Arial" w:eastAsia="Arial" w:hAnsi="Arial"/>
          <w:sz w:val="13"/>
          <w:szCs w:val="13"/>
          <w:color w:val="auto"/>
        </w:rPr>
        <w:t>The decrease is primarily due to the sale of our Lubbock operations, lower volumes and unfavorable foreign exchange effects of $0.8 million. These decreases were partially offset by higher precious metals pass-through pricing. Income from operations was $3.0 million compared to income from operations of $4.0 million for the same period in 2024.</w:t>
      </w:r>
    </w:p>
    <w:p>
      <w:pPr>
        <w:spacing w:after="0" w:line="114"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Adjusted income from operations was $ 5.5 million compared to $ 6.8 million in the first quarter of 2024. The decrease in adjusted income from operations was primarily due to lower revenues and unfavorable product mix, partially offset by lower operating costs due to the sale of the Lubbock operations in 2024.</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Mobile Solutions</w:t>
      </w:r>
    </w:p>
    <w:p>
      <w:pPr>
        <w:spacing w:after="0" w:line="40"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Net sales for the first quarter of 2025 were $62.2 million compared to $ 73.1 million in the first quarter of 2024. The decrease in sales was primarily due to the closure of the Juarez plant, lower volumes and unfavorable foreign exchange effects of $1.9 million. Loss from operations was $2.7 million compared to loss from operations of $2.1 million for the same period in 2024.</w:t>
      </w:r>
    </w:p>
    <w:p>
      <w:pPr>
        <w:spacing w:after="0" w:line="105" w:lineRule="exact"/>
        <w:rPr>
          <w:sz w:val="20"/>
          <w:szCs w:val="20"/>
          <w:color w:val="auto"/>
        </w:rPr>
      </w:pPr>
    </w:p>
    <w:p>
      <w:pPr>
        <w:ind w:right="280"/>
        <w:spacing w:after="0" w:line="284" w:lineRule="auto"/>
        <w:rPr>
          <w:sz w:val="20"/>
          <w:szCs w:val="20"/>
          <w:color w:val="auto"/>
        </w:rPr>
      </w:pPr>
      <w:r>
        <w:rPr>
          <w:rFonts w:ascii="Arial" w:cs="Arial" w:eastAsia="Arial" w:hAnsi="Arial"/>
          <w:sz w:val="13"/>
          <w:szCs w:val="13"/>
          <w:color w:val="auto"/>
        </w:rPr>
        <w:t>Adjusted income from operations was $1.6 million compared to adjusted loss from operations of $1.2 million in the first quarter of 2024. The increase in adjusted income from operations was primarily due to lower headcount and lower incentive compensation expense.</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2025 Outlook</w:t>
      </w:r>
    </w:p>
    <w:p>
      <w:pPr>
        <w:spacing w:after="0" w:line="49"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Guidance assumes that key markets remain stable, global foreign currency exchange rates remain consistent with current bank forward rates, the global metals market conditions remain similar to current levels, and start of production on new programs remains stable.</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Note that core performance metrics for net sales and adjusted EBITDA are normalized for sale of Lubbock and rationalized business during 2024.</w:t>
      </w:r>
    </w:p>
    <w:p>
      <w:pPr>
        <w:spacing w:after="0" w:line="184" w:lineRule="exact"/>
        <w:rPr>
          <w:sz w:val="20"/>
          <w:szCs w:val="20"/>
          <w:color w:val="auto"/>
        </w:rPr>
      </w:pPr>
    </w:p>
    <w:p>
      <w:pPr>
        <w:ind w:left="400" w:hanging="192"/>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Net sales to range between $430 to $460 million</w:t>
      </w:r>
    </w:p>
    <w:p>
      <w:pPr>
        <w:spacing w:after="0" w:line="30" w:lineRule="exact"/>
        <w:rPr>
          <w:rFonts w:ascii="Arial" w:cs="Arial" w:eastAsia="Arial" w:hAnsi="Arial"/>
          <w:sz w:val="13"/>
          <w:szCs w:val="13"/>
          <w:color w:val="auto"/>
        </w:rPr>
      </w:pPr>
    </w:p>
    <w:p>
      <w:pPr>
        <w:ind w:left="400" w:hanging="192"/>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Adjusted EBITDA to range between $53 to $63 million</w:t>
      </w:r>
    </w:p>
    <w:p>
      <w:pPr>
        <w:spacing w:after="0" w:line="39" w:lineRule="exact"/>
        <w:rPr>
          <w:rFonts w:ascii="Arial" w:cs="Arial" w:eastAsia="Arial" w:hAnsi="Arial"/>
          <w:sz w:val="13"/>
          <w:szCs w:val="13"/>
          <w:color w:val="auto"/>
        </w:rPr>
      </w:pPr>
    </w:p>
    <w:p>
      <w:pPr>
        <w:ind w:left="400" w:hanging="192"/>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Free cash flow to range between $14 to $16 million; guidance assumes receipt of CARES Act refund in 2025</w:t>
      </w:r>
    </w:p>
    <w:p>
      <w:pPr>
        <w:spacing w:after="0" w:line="30" w:lineRule="exact"/>
        <w:rPr>
          <w:rFonts w:ascii="Arial" w:cs="Arial" w:eastAsia="Arial" w:hAnsi="Arial"/>
          <w:sz w:val="13"/>
          <w:szCs w:val="13"/>
          <w:color w:val="auto"/>
        </w:rPr>
      </w:pPr>
    </w:p>
    <w:p>
      <w:pPr>
        <w:ind w:left="400" w:hanging="192"/>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New business wins to range between $60 to $70 million</w:t>
      </w:r>
    </w:p>
    <w:p>
      <w:pPr>
        <w:spacing w:after="0" w:line="30" w:lineRule="exact"/>
        <w:rPr>
          <w:rFonts w:ascii="Arial" w:cs="Arial" w:eastAsia="Arial" w:hAnsi="Arial"/>
          <w:sz w:val="13"/>
          <w:szCs w:val="13"/>
          <w:color w:val="auto"/>
        </w:rPr>
      </w:pPr>
    </w:p>
    <w:p>
      <w:pPr>
        <w:ind w:left="860" w:hanging="220"/>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Targeting larger amounts from stamped products, electrical products, and medical products</w:t>
      </w:r>
    </w:p>
    <w:p>
      <w:pPr>
        <w:spacing w:after="0" w:line="39" w:lineRule="exact"/>
        <w:rPr>
          <w:rFonts w:ascii="Arial" w:cs="Arial" w:eastAsia="Arial" w:hAnsi="Arial"/>
          <w:sz w:val="13"/>
          <w:szCs w:val="13"/>
          <w:color w:val="auto"/>
        </w:rPr>
      </w:pPr>
    </w:p>
    <w:p>
      <w:pPr>
        <w:ind w:left="860" w:hanging="220"/>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China will fund its own new wins program</w:t>
      </w:r>
    </w:p>
    <w:p>
      <w:pPr>
        <w:spacing w:after="0" w:line="30" w:lineRule="exact"/>
        <w:rPr>
          <w:rFonts w:ascii="Arial" w:cs="Arial" w:eastAsia="Arial" w:hAnsi="Arial"/>
          <w:sz w:val="13"/>
          <w:szCs w:val="13"/>
          <w:color w:val="auto"/>
        </w:rPr>
      </w:pPr>
    </w:p>
    <w:p>
      <w:pPr>
        <w:ind w:left="860" w:hanging="220"/>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Continue to leverage $340 million of machinery and equipment to minimize cash capex spend</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Chris Bohnert, Senior Vice President and Chief Financial Officer, commented, “Thus far the direct impacts of tariff and trade negotiations are immaterial to our results and, as a result, we are maintaining our full-year 2025 guidance range for adjusted EBITDA. Given the current lower relative visibility in the context of growing global economic uncertainty, we expect prevailing market conditions to push our adjusted EBITDA guidance towards the lower half of the provided range. In response to the contraction in GDP in early 2025, we are slightly modifying our full-year net sales outlook, now expecting net sales in the range of $430 million to $460 million. Additionally, with the recently completed refinancing of our term loan, we are initiating full-year free cash flow guidance, expecting results to range between $14 million and $16 million. Our action plans and forecast are supported by continued operational and cost efficiencies across this year, which will help us maintain the strong pace of our transformation and rate of growth.”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674"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58" w:lineRule="exact"/>
        <w:rPr>
          <w:sz w:val="20"/>
          <w:szCs w:val="20"/>
          <w:color w:val="auto"/>
        </w:rPr>
      </w:pPr>
    </w:p>
    <w:p>
      <w:pPr>
        <w:jc w:val="both"/>
        <w:ind w:left="8" w:hanging="8"/>
        <w:spacing w:after="0" w:line="279" w:lineRule="auto"/>
        <w:tabs>
          <w:tab w:leader="none" w:pos="238" w:val="left"/>
        </w:tabs>
        <w:numPr>
          <w:ilvl w:val="0"/>
          <w:numId w:val="6"/>
        </w:numPr>
        <w:rPr>
          <w:rFonts w:ascii="Arial" w:cs="Arial" w:eastAsia="Arial" w:hAnsi="Arial"/>
          <w:sz w:val="13"/>
          <w:szCs w:val="13"/>
          <w:color w:val="auto"/>
        </w:rPr>
      </w:pPr>
      <w:r>
        <w:rPr>
          <w:rFonts w:ascii="Arial" w:cs="Arial" w:eastAsia="Arial" w:hAnsi="Arial"/>
          <w:sz w:val="13"/>
          <w:szCs w:val="13"/>
          <w:color w:val="auto"/>
        </w:rPr>
        <w:t>will discuss its results during its quarterly investor conference call on May 8, 2025, at 9 a.m. ET. The call and supplemental presentation may be accessed via NN's website, www.nninc.com. The conference call can also be accessed by dialing 1-877-255-4315 or 1-412-317-6579. For those who are unavailable to listen to the live broadcast, a replay will be available shortly after the call until May 8, 2026.</w:t>
      </w:r>
    </w:p>
    <w:p>
      <w:pPr>
        <w:spacing w:after="0" w:line="91" w:lineRule="exact"/>
        <w:rPr>
          <w:sz w:val="20"/>
          <w:szCs w:val="20"/>
          <w:color w:val="auto"/>
        </w:rPr>
      </w:pPr>
    </w:p>
    <w:p>
      <w:pPr>
        <w:jc w:val="both"/>
        <w:ind w:left="8" w:hanging="8"/>
        <w:spacing w:after="0" w:line="282" w:lineRule="auto"/>
        <w:tabs>
          <w:tab w:leader="none" w:pos="247" w:val="left"/>
        </w:tabs>
        <w:numPr>
          <w:ilvl w:val="0"/>
          <w:numId w:val="7"/>
        </w:numPr>
        <w:rPr>
          <w:rFonts w:ascii="Arial" w:cs="Arial" w:eastAsia="Arial" w:hAnsi="Arial"/>
          <w:sz w:val="13"/>
          <w:szCs w:val="13"/>
          <w:color w:val="auto"/>
        </w:rPr>
      </w:pPr>
      <w:r>
        <w:rPr>
          <w:rFonts w:ascii="Arial" w:cs="Arial" w:eastAsia="Arial" w:hAnsi="Arial"/>
          <w:sz w:val="13"/>
          <w:szCs w:val="13"/>
          <w:color w:val="auto"/>
        </w:rPr>
        <w:t>discloses in this press release the non-GAAP financial measures of adjusted income (loss) from operations, adjusted EBITDA, adjusted net income (loss), adjusted net income (loss) per diluted common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256" w:lineRule="exact"/>
        <w:rPr>
          <w:sz w:val="20"/>
          <w:szCs w:val="20"/>
          <w:color w:val="auto"/>
        </w:rPr>
      </w:pPr>
    </w:p>
    <w:p>
      <w:pPr>
        <w:jc w:val="both"/>
        <w:ind w:left="8"/>
        <w:spacing w:after="0" w:line="279" w:lineRule="auto"/>
        <w:rPr>
          <w:sz w:val="20"/>
          <w:szCs w:val="20"/>
          <w:color w:val="auto"/>
        </w:rPr>
      </w:pPr>
      <w:r>
        <w:rPr>
          <w:rFonts w:ascii="Arial" w:cs="Arial" w:eastAsia="Arial" w:hAnsi="Arial"/>
          <w:sz w:val="13"/>
          <w:szCs w:val="13"/>
          <w:color w:val="auto"/>
        </w:rPr>
        <w:t>The financial tables found later in this press release include a reconciliation of adjusted income (loss) from operations, adjusted operating margin, adjusted EBITDA, adjusted EBITDA margin, adjusted net income (loss), adjusted net income (loss) per diluted share, free cash flow to the U.S. GAAP financial measures of income (loss) from operations, net income (loss), net income (loss) per diluted common share, and cash provided (used) by operating activities.</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8"/>
          </w:cols>
          <w:pgMar w:left="292" w:top="683" w:right="29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auto"/>
        </w:rPr>
        <w:t>About NN, Inc</w:t>
      </w:r>
      <w:r>
        <w:rPr>
          <w:rFonts w:ascii="Arial" w:cs="Arial" w:eastAsia="Arial" w:hAnsi="Arial"/>
          <w:sz w:val="13"/>
          <w:szCs w:val="13"/>
          <w:b w:val="1"/>
          <w:bCs w:val="1"/>
          <w:color w:val="auto"/>
        </w:rPr>
        <w:t>.</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South America, Europe and China. For more information about the company and its products, please visit www.nninc.com.</w:t>
      </w:r>
    </w:p>
    <w:p>
      <w:pPr>
        <w:spacing w:after="0" w:line="91" w:lineRule="exact"/>
        <w:rPr>
          <w:sz w:val="20"/>
          <w:szCs w:val="20"/>
          <w:color w:val="auto"/>
        </w:rPr>
      </w:pPr>
    </w:p>
    <w:p>
      <w:pPr>
        <w:jc w:val="both"/>
        <w:spacing w:after="0" w:line="319" w:lineRule="auto"/>
        <w:rPr>
          <w:sz w:val="20"/>
          <w:szCs w:val="20"/>
          <w:color w:val="auto"/>
        </w:rPr>
      </w:pPr>
      <w:r>
        <w:rPr>
          <w:rFonts w:ascii="Arial" w:cs="Arial" w:eastAsia="Arial" w:hAnsi="Arial"/>
          <w:sz w:val="8"/>
          <w:szCs w:val="8"/>
          <w:i w:val="1"/>
          <w:iCs w:val="1"/>
          <w:color w:val="auto"/>
        </w:rPr>
        <w:t>This press release contains forward-looking statements within the meaning of the Private Securities Litigation Reform Act of 1995. 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the potential impacts of tariffs on the U.S. economy, the economy of other countries in which we conduct operations and our industry, as well as the potential implications and ramifications of tariffs on our business and the local and global supply chains supporting the same, and our ability to mitigate any adverse impacts of such;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uncertainty of government policies and actions after recent U.S. elections in respect to global trade, tariffs and international trade agreements;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U.S.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367" w:lineRule="exact"/>
        <w:rPr>
          <w:sz w:val="20"/>
          <w:szCs w:val="20"/>
          <w:color w:val="auto"/>
        </w:rPr>
      </w:pPr>
    </w:p>
    <w:p>
      <w:pPr>
        <w:ind w:right="160"/>
        <w:spacing w:after="0" w:line="283" w:lineRule="auto"/>
        <w:rPr>
          <w:sz w:val="20"/>
          <w:szCs w:val="20"/>
          <w:color w:val="auto"/>
        </w:rPr>
      </w:pPr>
      <w:r>
        <w:rPr>
          <w:rFonts w:ascii="Arial" w:cs="Arial" w:eastAsia="Arial" w:hAnsi="Arial"/>
          <w:sz w:val="10"/>
          <w:szCs w:val="10"/>
          <w:i w:val="1"/>
          <w:iCs w:val="1"/>
          <w:color w:val="auto"/>
        </w:rPr>
        <w:t>With respect to any non-GAAP financial measures included in the following document, the accompanying information required by SEC Regulation G can be found in the back of this document or in the “Investors” section of the Company’s web site, www.nninc.com, under the heading “News &amp; Events” and subheading “Presentations.”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&amp; Media Contacts: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Joe Caminiti or Stephen Poe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NNBR@alpha-ir.com</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312-445-2870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Financial Tables Follow</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683"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Income (Loss)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0" w:type="dxa"/>
            <w:vAlign w:val="bottom"/>
          </w:tcPr>
          <w:p>
            <w:pPr>
              <w:spacing w:after="0"/>
              <w:rPr>
                <w:sz w:val="10"/>
                <w:szCs w:val="10"/>
                <w:color w:val="auto"/>
              </w:rPr>
            </w:pPr>
          </w:p>
        </w:tc>
      </w:tr>
      <w:tr>
        <w:trPr>
          <w:trHeight w:val="125"/>
        </w:trPr>
        <w:tc>
          <w:tcPr>
            <w:tcW w:w="87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800" w:type="dxa"/>
            <w:vAlign w:val="bottom"/>
            <w:tcBorders>
              <w:bottom w:val="single" w:sz="8" w:color="auto"/>
            </w:tcBorders>
          </w:tcPr>
          <w:p>
            <w:pPr>
              <w:spacing w:after="0"/>
              <w:rPr>
                <w:sz w:val="10"/>
                <w:szCs w:val="10"/>
                <w:color w:val="auto"/>
              </w:rPr>
            </w:pPr>
          </w:p>
        </w:tc>
      </w:tr>
      <w:tr>
        <w:trPr>
          <w:trHeight w:val="127"/>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105,688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121,198</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91,646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101,086</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11,170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13,348</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8,774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12,547</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income, net</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(1,113)</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(4,783)</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5,194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5,366</w:t>
            </w:r>
          </w:p>
        </w:tc>
      </w:tr>
      <w:tr>
        <w:trPr>
          <w:trHeight w:val="15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(2,169)</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4,153</w:t>
            </w: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provision for income taxes and share of net income from joint venture</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(14,302)</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2,439</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2,271</w:t>
            </w:r>
          </w:p>
        </w:tc>
      </w:tr>
      <w:tr>
        <w:trPr>
          <w:trHeight w:val="158"/>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(6,685)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(12,537)</w:t>
            </w:r>
          </w:p>
        </w:tc>
      </w:tr>
      <w:tr>
        <w:trPr>
          <w:trHeight w:val="135"/>
        </w:trPr>
        <w:tc>
          <w:tcPr>
            <w:tcW w:w="8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3"/>
        </w:trPr>
        <w:tc>
          <w:tcPr>
            <w:tcW w:w="8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Foreign currency transaction gain (loss)</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3,125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(2,346)</w:t>
            </w:r>
          </w:p>
        </w:tc>
      </w:tr>
      <w:tr>
        <w:trPr>
          <w:trHeight w:val="153"/>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Reclassification adjustments from the interest rate swap included in net loss, net of tax</w:t>
            </w:r>
          </w:p>
        </w:tc>
        <w:tc>
          <w:tcPr>
            <w:tcW w:w="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r>
      <w:tr>
        <w:trPr>
          <w:trHeight w:val="142"/>
        </w:trPr>
        <w:tc>
          <w:tcPr>
            <w:tcW w:w="87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3,125</w:t>
            </w:r>
          </w:p>
        </w:tc>
        <w:tc>
          <w:tcPr>
            <w:tcW w:w="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(2,795)</w:t>
            </w:r>
          </w:p>
        </w:tc>
      </w:tr>
      <w:tr>
        <w:trPr>
          <w:trHeight w:val="140"/>
        </w:trPr>
        <w:tc>
          <w:tcPr>
            <w:tcW w:w="870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Comprehensive loss</w:t>
            </w:r>
          </w:p>
        </w:tc>
        <w:tc>
          <w:tcPr>
            <w:tcW w:w="300" w:type="dxa"/>
            <w:vAlign w:val="bottom"/>
            <w:tcBorders>
              <w:bottom w:val="single" w:sz="8" w:color="auto"/>
            </w:tcBorders>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(3,560)</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(15,332)</w:t>
            </w:r>
          </w:p>
        </w:tc>
      </w:tr>
      <w:tr>
        <w:trPr>
          <w:trHeight w:val="153"/>
        </w:trPr>
        <w:tc>
          <w:tcPr>
            <w:tcW w:w="8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(0.34)</w:t>
            </w:r>
          </w:p>
        </w:tc>
      </w:tr>
      <w:tr>
        <w:trPr>
          <w:trHeight w:val="155"/>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Shares used to calculate basic and diluted net loss per share</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49,075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47,724</w:t>
            </w:r>
          </w:p>
        </w:tc>
      </w:tr>
      <w:tr>
        <w:trPr>
          <w:trHeight w:val="400"/>
        </w:trPr>
        <w:tc>
          <w:tcPr>
            <w:tcW w:w="8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r>
    </w:tbl>
    <w:p>
      <w:pPr>
        <w:sectPr>
          <w:pgSz w:w="11900" w:h="16838" w:orient="portrait"/>
          <w:cols w:equalWidth="0" w:num="1">
            <w:col w:w="11300"/>
          </w:cols>
          <w:pgMar w:left="300" w:top="674" w:right="299" w:bottom="1440" w:gutter="0" w:footer="0" w:header="0"/>
        </w:sectPr>
      </w:pPr>
    </w:p>
    <w:bookmarkStart w:id="9" w:name="page10"/>
    <w:bookmarkEnd w:id="9"/>
    <w:p>
      <w:pPr>
        <w:ind w:left="54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260" w:type="dxa"/>
            <w:vAlign w:val="bottom"/>
          </w:tcPr>
          <w:p>
            <w:pPr>
              <w:spacing w:after="0"/>
              <w:rPr>
                <w:sz w:val="10"/>
                <w:szCs w:val="1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20" w:type="dxa"/>
            <w:vAlign w:val="bottom"/>
          </w:tcPr>
          <w:p>
            <w:pPr>
              <w:spacing w:after="0"/>
              <w:rPr>
                <w:sz w:val="10"/>
                <w:szCs w:val="10"/>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8660" w:type="dxa"/>
            <w:vAlign w:val="bottom"/>
            <w:tcBorders>
              <w:bottom w:val="single" w:sz="8" w:color="BFE4FF"/>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BFE4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37"/>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shd w:val="clear" w:color="auto" w:fill="BFE4FF"/>
          </w:tcPr>
          <w:p>
            <w:pPr>
              <w:spacing w:after="0"/>
              <w:rPr>
                <w:sz w:val="11"/>
                <w:szCs w:val="11"/>
                <w:color w:val="auto"/>
              </w:rPr>
            </w:pPr>
          </w:p>
        </w:tc>
        <w:tc>
          <w:tcPr>
            <w:tcW w:w="10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BFE4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11,739</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18,128</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67,750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61,549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62,927</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61,877</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 receivable</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12,688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12,634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Prepaid assets</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5,600</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2,855</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assets</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12,270</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10,519</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shd w:val="clear" w:color="auto" w:fill="BFE4FF"/>
          </w:tcPr>
          <w:p>
            <w:pPr>
              <w:spacing w:after="0"/>
              <w:rPr>
                <w:sz w:val="12"/>
                <w:szCs w:val="12"/>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172,974</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167,562</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162,040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162,034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38,305</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39,317</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41,005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44,410</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Investment in joint venture</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37,622</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34,971</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1,329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60" w:type="dxa"/>
            <w:vAlign w:val="bottom"/>
            <w:tcBorders>
              <w:bottom w:val="single" w:sz="8" w:color="auto"/>
            </w:tcBorders>
            <w:shd w:val="clear" w:color="auto" w:fill="BFE4FF"/>
          </w:tcPr>
          <w:p>
            <w:pPr>
              <w:spacing w:after="0"/>
              <w:rPr>
                <w:sz w:val="13"/>
                <w:szCs w:val="13"/>
                <w:color w:val="auto"/>
              </w:rPr>
            </w:pPr>
          </w:p>
        </w:tc>
        <w:tc>
          <w:tcPr>
            <w:tcW w:w="102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7,449</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7,270</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460,724</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456,893</w:t>
            </w:r>
          </w:p>
        </w:tc>
        <w:tc>
          <w:tcPr>
            <w:tcW w:w="0" w:type="dxa"/>
            <w:vAlign w:val="bottom"/>
          </w:tcPr>
          <w:p>
            <w:pPr>
              <w:spacing w:after="0"/>
              <w:rPr>
                <w:sz w:val="1"/>
                <w:szCs w:val="1"/>
                <w:color w:val="auto"/>
              </w:rPr>
            </w:pPr>
          </w:p>
        </w:tc>
      </w:tr>
      <w:tr>
        <w:trPr>
          <w:trHeight w:val="135"/>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Preferred Stock, and Stockholders’ Equity</w:t>
            </w:r>
          </w:p>
        </w:tc>
        <w:tc>
          <w:tcPr>
            <w:tcW w:w="260" w:type="dxa"/>
            <w:vAlign w:val="bottom"/>
            <w:shd w:val="clear" w:color="auto" w:fill="BFE4FF"/>
          </w:tcPr>
          <w:p>
            <w:pPr>
              <w:spacing w:after="0"/>
              <w:rPr>
                <w:sz w:val="11"/>
                <w:szCs w:val="11"/>
                <w:color w:val="auto"/>
              </w:rPr>
            </w:pPr>
          </w:p>
        </w:tc>
        <w:tc>
          <w:tcPr>
            <w:tcW w:w="10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260" w:type="dxa"/>
            <w:vAlign w:val="bottom"/>
            <w:shd w:val="clear" w:color="auto" w:fill="BFE4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45,876</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38,879</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salaries, wages and benefits</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17,698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19,915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Income tax payable</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534</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Short-term debt and current maturities of long-term debt</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3,719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5,039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5,566</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6,038</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16,711</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13,382</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shd w:val="clear" w:color="auto" w:fill="BFE4FF"/>
          </w:tcPr>
          <w:p>
            <w:pPr>
              <w:spacing w:after="0"/>
              <w:rPr>
                <w:sz w:val="12"/>
                <w:szCs w:val="12"/>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90,104</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83,912</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5,088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4,969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Long-term debt, net of current maturities</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147,604</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143,591</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41,007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42,291</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60" w:type="dxa"/>
            <w:vAlign w:val="bottom"/>
            <w:tcBorders>
              <w:bottom w:val="single" w:sz="8" w:color="auto"/>
            </w:tcBorders>
            <w:shd w:val="clear" w:color="auto" w:fill="BFE4FF"/>
          </w:tcPr>
          <w:p>
            <w:pPr>
              <w:spacing w:after="0"/>
              <w:rPr>
                <w:sz w:val="13"/>
                <w:szCs w:val="13"/>
                <w:color w:val="auto"/>
              </w:rPr>
            </w:pPr>
          </w:p>
        </w:tc>
        <w:tc>
          <w:tcPr>
            <w:tcW w:w="102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11,673</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14,111</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295,476</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288,874</w:t>
            </w:r>
          </w:p>
        </w:tc>
        <w:tc>
          <w:tcPr>
            <w:tcW w:w="0" w:type="dxa"/>
            <w:vAlign w:val="bottom"/>
          </w:tcPr>
          <w:p>
            <w:pPr>
              <w:spacing w:after="0"/>
              <w:rPr>
                <w:sz w:val="1"/>
                <w:szCs w:val="1"/>
                <w:color w:val="auto"/>
              </w:rPr>
            </w:pPr>
          </w:p>
        </w:tc>
      </w:tr>
      <w:tr>
        <w:trPr>
          <w:trHeight w:val="133"/>
        </w:trPr>
        <w:tc>
          <w:tcPr>
            <w:tcW w:w="8660" w:type="dxa"/>
            <w:vAlign w:val="bottom"/>
            <w:shd w:val="clear" w:color="auto" w:fill="BFE4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260" w:type="dxa"/>
            <w:vAlign w:val="bottom"/>
            <w:shd w:val="clear" w:color="auto" w:fill="BFE4FF"/>
          </w:tcPr>
          <w:p>
            <w:pPr>
              <w:spacing w:after="0"/>
              <w:rPr>
                <w:sz w:val="11"/>
                <w:szCs w:val="11"/>
                <w:color w:val="auto"/>
              </w:rPr>
            </w:pPr>
          </w:p>
        </w:tc>
        <w:tc>
          <w:tcPr>
            <w:tcW w:w="10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Series D perpetual preferred stock</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97,904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93,497</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452,187</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455,811</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(340,306)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(333,621)</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60" w:type="dxa"/>
            <w:vAlign w:val="bottom"/>
            <w:tcBorders>
              <w:bottom w:val="single" w:sz="8" w:color="auto"/>
            </w:tcBorders>
            <w:shd w:val="clear" w:color="auto" w:fill="BFE4FF"/>
          </w:tcPr>
          <w:p>
            <w:pPr>
              <w:spacing w:after="0"/>
              <w:rPr>
                <w:sz w:val="13"/>
                <w:szCs w:val="13"/>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(45,042)</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(48,167)</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67,344</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74,522</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liabilities, preferred stock, and stockholders’ equity</w:t>
            </w:r>
          </w:p>
        </w:tc>
        <w:tc>
          <w:tcPr>
            <w:tcW w:w="260" w:type="dxa"/>
            <w:vAlign w:val="bottom"/>
            <w:tcBorders>
              <w:bottom w:val="single" w:sz="8" w:color="auto"/>
            </w:tcBorders>
            <w:shd w:val="clear" w:color="auto" w:fill="BFE4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460,724</w:t>
            </w:r>
          </w:p>
        </w:tc>
        <w:tc>
          <w:tcPr>
            <w:tcW w:w="80" w:type="dxa"/>
            <w:vAlign w:val="bottom"/>
            <w:tcBorders>
              <w:bottom w:val="single" w:sz="8" w:color="BFE4FF"/>
            </w:tcBorders>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456,893</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674"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80" w:type="dxa"/>
            <w:vAlign w:val="bottom"/>
          </w:tcPr>
          <w:p>
            <w:pPr>
              <w:spacing w:after="0"/>
              <w:rPr>
                <w:sz w:val="10"/>
                <w:szCs w:val="10"/>
                <w:color w:val="auto"/>
              </w:rPr>
            </w:pPr>
          </w:p>
        </w:tc>
      </w:tr>
      <w:tr>
        <w:trPr>
          <w:trHeight w:val="125"/>
        </w:trPr>
        <w:tc>
          <w:tcPr>
            <w:tcW w:w="84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880" w:type="dxa"/>
            <w:vAlign w:val="bottom"/>
            <w:tcBorders>
              <w:bottom w:val="single" w:sz="8" w:color="auto"/>
            </w:tcBorders>
          </w:tcPr>
          <w:p>
            <w:pPr>
              <w:spacing w:after="0"/>
              <w:rPr>
                <w:sz w:val="10"/>
                <w:szCs w:val="10"/>
                <w:color w:val="auto"/>
              </w:rPr>
            </w:pPr>
          </w:p>
        </w:tc>
      </w:tr>
      <w:tr>
        <w:trPr>
          <w:trHeight w:val="12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(6,685)</w:t>
            </w:r>
          </w:p>
        </w:tc>
        <w:tc>
          <w:tcPr>
            <w:tcW w:w="120" w:type="dxa"/>
            <w:vAlign w:val="bottom"/>
          </w:tcPr>
          <w:p>
            <w:pPr>
              <w:spacing w:after="0"/>
              <w:rPr>
                <w:sz w:val="13"/>
                <w:szCs w:val="13"/>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(12,537)</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(used in) operating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8,774</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12,547</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Paid-in-kind interest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derivative loss (gain), net of cash settlements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(1,762)</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3,331</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(2,439)</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(2,271)</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(666)</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Accounts receivable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(6,888)</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Inventories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(1,554)</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Other operating assets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(3,444)</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(4,821)</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Income taxes receivable and payable, net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Accounts payable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6,468</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6,130</w:t>
            </w:r>
          </w:p>
        </w:tc>
      </w:tr>
      <w:tr>
        <w:trPr>
          <w:trHeight w:val="153"/>
        </w:trPr>
        <w:tc>
          <w:tcPr>
            <w:tcW w:w="84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2"/>
                <w:szCs w:val="12"/>
                <w:color w:val="auto"/>
              </w:rPr>
              <w:t>Other operating liabilities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5,744</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(3,345)</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w:t>
            </w:r>
          </w:p>
        </w:tc>
      </w:tr>
      <w:tr>
        <w:trPr>
          <w:trHeight w:val="133"/>
        </w:trPr>
        <w:tc>
          <w:tcPr>
            <w:tcW w:w="8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(3,907)</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(5,460)</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(3,730)</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(5,362)</w:t>
            </w:r>
          </w:p>
        </w:tc>
      </w:tr>
      <w:tr>
        <w:trPr>
          <w:trHeight w:val="133"/>
        </w:trPr>
        <w:tc>
          <w:tcPr>
            <w:tcW w:w="8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13,001</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(9,026)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(29,808)</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debt issuance costs</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32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4,910</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sale-leaseback of land and buildings</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16,863</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financing obligations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Repayments of short-term debt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(1,031)</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(651)</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3,570</w:t>
            </w:r>
          </w:p>
        </w:tc>
      </w:tr>
      <w:tr>
        <w:trPr>
          <w:trHeight w:val="142"/>
        </w:trPr>
        <w:tc>
          <w:tcPr>
            <w:tcW w:w="84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Effect of exchange rate changes on cash flows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(6,389)</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18,128</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21,903</w:t>
            </w:r>
          </w:p>
        </w:tc>
      </w:tr>
      <w:tr>
        <w:trPr>
          <w:trHeight w:val="158"/>
        </w:trPr>
        <w:tc>
          <w:tcPr>
            <w:tcW w:w="846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 at end of quarter</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11,739</w:t>
            </w: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20,610</w:t>
            </w: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674"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GAAP Income (Loss) from Operations to Non-GAAP Adjusted Income (Loss) from Operations</w:t>
      </w:r>
    </w:p>
    <w:p>
      <w:pPr>
        <w:sectPr>
          <w:pgSz w:w="11900" w:h="16838" w:orient="portrait"/>
          <w:cols w:equalWidth="0" w:num="1">
            <w:col w:w="11300"/>
          </w:cols>
          <w:pgMar w:left="300" w:top="674" w:right="299" w:bottom="1440" w:gutter="0" w:footer="0" w:header="0"/>
        </w:sect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71"/>
        </w:trPr>
        <w:tc>
          <w:tcPr>
            <w:tcW w:w="31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b w:val="1"/>
                <w:bCs w:val="1"/>
                <w:color w:val="auto"/>
              </w:rPr>
              <w:t>NN, Inc. Consolidated</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BFE4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9"/>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GAAP loss from operations</w:t>
            </w:r>
          </w:p>
        </w:tc>
        <w:tc>
          <w:tcPr>
            <w:tcW w:w="16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(4,789)</w:t>
            </w:r>
          </w:p>
        </w:tc>
        <w:tc>
          <w:tcPr>
            <w:tcW w:w="100" w:type="dxa"/>
            <w:vAlign w:val="bottom"/>
            <w:shd w:val="clear" w:color="auto" w:fill="BFE4FF"/>
          </w:tcPr>
          <w:p>
            <w:pPr>
              <w:spacing w:after="0"/>
              <w:rPr>
                <w:sz w:val="14"/>
                <w:szCs w:val="14"/>
                <w:color w:val="auto"/>
              </w:rPr>
            </w:pPr>
          </w:p>
        </w:tc>
        <w:tc>
          <w:tcPr>
            <w:tcW w:w="220" w:type="dxa"/>
            <w:vAlign w:val="bottom"/>
            <w:shd w:val="clear" w:color="auto" w:fill="BFE4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(4,783)</w:t>
            </w: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Professional fees</w:t>
            </w:r>
          </w:p>
        </w:tc>
        <w:tc>
          <w:tcPr>
            <w:tcW w:w="160" w:type="dxa"/>
            <w:vAlign w:val="bottom"/>
          </w:tcPr>
          <w:p>
            <w:pPr>
              <w:spacing w:after="0"/>
              <w:rPr>
                <w:sz w:val="13"/>
                <w:szCs w:val="13"/>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70</w:t>
            </w:r>
          </w:p>
        </w:tc>
      </w:tr>
      <w:tr>
        <w:trPr>
          <w:trHeight w:val="180"/>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Personnel costs (1)</w:t>
            </w:r>
          </w:p>
        </w:tc>
        <w:tc>
          <w:tcPr>
            <w:tcW w:w="160" w:type="dxa"/>
            <w:vAlign w:val="bottom"/>
            <w:shd w:val="clear" w:color="auto" w:fill="BFE4FF"/>
          </w:tcPr>
          <w:p>
            <w:pPr>
              <w:spacing w:after="0"/>
              <w:rPr>
                <w:sz w:val="15"/>
                <w:szCs w:val="15"/>
                <w:color w:val="auto"/>
              </w:rPr>
            </w:pPr>
          </w:p>
        </w:tc>
        <w:tc>
          <w:tcPr>
            <w:tcW w:w="88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3,365</w:t>
            </w:r>
          </w:p>
        </w:tc>
        <w:tc>
          <w:tcPr>
            <w:tcW w:w="10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80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300</w:t>
            </w: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Facility costs (2)</w:t>
            </w:r>
          </w:p>
        </w:tc>
        <w:tc>
          <w:tcPr>
            <w:tcW w:w="16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258</w:t>
            </w:r>
          </w:p>
        </w:tc>
      </w:tr>
      <w:tr>
        <w:trPr>
          <w:trHeight w:val="180"/>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60" w:type="dxa"/>
            <w:vAlign w:val="bottom"/>
            <w:tcBorders>
              <w:bottom w:val="single" w:sz="8" w:color="auto"/>
            </w:tcBorders>
            <w:shd w:val="clear" w:color="auto" w:fill="BFE4FF"/>
          </w:tcPr>
          <w:p>
            <w:pPr>
              <w:spacing w:after="0"/>
              <w:rPr>
                <w:sz w:val="15"/>
                <w:szCs w:val="15"/>
                <w:color w:val="auto"/>
              </w:rPr>
            </w:pPr>
          </w:p>
        </w:tc>
        <w:tc>
          <w:tcPr>
            <w:tcW w:w="880" w:type="dxa"/>
            <w:vAlign w:val="bottom"/>
            <w:tcBorders>
              <w:bottom w:val="single" w:sz="8" w:color="auto"/>
            </w:tcBorders>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3,405</w:t>
            </w:r>
          </w:p>
        </w:tc>
        <w:tc>
          <w:tcPr>
            <w:tcW w:w="100" w:type="dxa"/>
            <w:vAlign w:val="bottom"/>
            <w:shd w:val="clear" w:color="auto" w:fill="BFE4FF"/>
          </w:tcPr>
          <w:p>
            <w:pPr>
              <w:spacing w:after="0"/>
              <w:rPr>
                <w:sz w:val="15"/>
                <w:szCs w:val="15"/>
                <w:color w:val="auto"/>
              </w:rPr>
            </w:pPr>
          </w:p>
        </w:tc>
        <w:tc>
          <w:tcPr>
            <w:tcW w:w="220" w:type="dxa"/>
            <w:vAlign w:val="bottom"/>
            <w:tcBorders>
              <w:bottom w:val="single" w:sz="8" w:color="auto"/>
            </w:tcBorders>
            <w:shd w:val="clear" w:color="auto" w:fill="BFE4FF"/>
          </w:tcPr>
          <w:p>
            <w:pPr>
              <w:spacing w:after="0"/>
              <w:rPr>
                <w:sz w:val="15"/>
                <w:szCs w:val="15"/>
                <w:color w:val="auto"/>
              </w:rPr>
            </w:pPr>
          </w:p>
        </w:tc>
        <w:tc>
          <w:tcPr>
            <w:tcW w:w="80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3,456</w:t>
            </w:r>
          </w:p>
        </w:tc>
      </w:tr>
      <w:tr>
        <w:trPr>
          <w:trHeight w:val="158"/>
        </w:trPr>
        <w:tc>
          <w:tcPr>
            <w:tcW w:w="31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color w:val="auto"/>
              </w:rPr>
              <w:t>Non-GAAP adjusted income (loss) from operations (a)</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2,031</w:t>
            </w:r>
          </w:p>
        </w:tc>
        <w:tc>
          <w:tcPr>
            <w:tcW w:w="10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(699)</w:t>
            </w:r>
          </w:p>
        </w:tc>
      </w:tr>
      <w:tr>
        <w:trPr>
          <w:trHeight w:val="126"/>
        </w:trPr>
        <w:tc>
          <w:tcPr>
            <w:tcW w:w="3100" w:type="dxa"/>
            <w:vAlign w:val="bottom"/>
            <w:shd w:val="clear" w:color="auto" w:fill="BFE4FF"/>
          </w:tcPr>
          <w:p>
            <w:pPr>
              <w:spacing w:after="0"/>
              <w:rPr>
                <w:sz w:val="10"/>
                <w:szCs w:val="10"/>
                <w:color w:val="auto"/>
              </w:rPr>
            </w:pPr>
          </w:p>
        </w:tc>
        <w:tc>
          <w:tcPr>
            <w:tcW w:w="160" w:type="dxa"/>
            <w:vAlign w:val="bottom"/>
            <w:shd w:val="clear" w:color="auto" w:fill="BFE4FF"/>
          </w:tcPr>
          <w:p>
            <w:pPr>
              <w:spacing w:after="0"/>
              <w:rPr>
                <w:sz w:val="10"/>
                <w:szCs w:val="10"/>
                <w:color w:val="auto"/>
              </w:rPr>
            </w:pPr>
          </w:p>
        </w:tc>
        <w:tc>
          <w:tcPr>
            <w:tcW w:w="88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220" w:type="dxa"/>
            <w:vAlign w:val="bottom"/>
            <w:shd w:val="clear" w:color="auto" w:fill="BFE4FF"/>
          </w:tcPr>
          <w:p>
            <w:pPr>
              <w:spacing w:after="0"/>
              <w:rPr>
                <w:sz w:val="10"/>
                <w:szCs w:val="10"/>
                <w:color w:val="auto"/>
              </w:rPr>
            </w:pPr>
          </w:p>
        </w:tc>
        <w:tc>
          <w:tcPr>
            <w:tcW w:w="800" w:type="dxa"/>
            <w:vAlign w:val="bottom"/>
            <w:shd w:val="clear" w:color="auto" w:fill="BFE4FF"/>
          </w:tcPr>
          <w:p>
            <w:pPr>
              <w:spacing w:after="0"/>
              <w:rPr>
                <w:sz w:val="10"/>
                <w:szCs w:val="10"/>
                <w:color w:val="auto"/>
              </w:rPr>
            </w:pPr>
          </w:p>
        </w:tc>
      </w:tr>
      <w:tr>
        <w:trPr>
          <w:trHeight w:val="171"/>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89"/>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GAAP net sales</w:t>
            </w:r>
          </w:p>
        </w:tc>
        <w:tc>
          <w:tcPr>
            <w:tcW w:w="16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105,688</w:t>
            </w:r>
          </w:p>
        </w:tc>
        <w:tc>
          <w:tcPr>
            <w:tcW w:w="100" w:type="dxa"/>
            <w:vAlign w:val="bottom"/>
            <w:shd w:val="clear" w:color="auto" w:fill="BFE4FF"/>
          </w:tcPr>
          <w:p>
            <w:pPr>
              <w:spacing w:after="0"/>
              <w:rPr>
                <w:sz w:val="16"/>
                <w:szCs w:val="16"/>
                <w:color w:val="auto"/>
              </w:rPr>
            </w:pPr>
          </w:p>
        </w:tc>
        <w:tc>
          <w:tcPr>
            <w:tcW w:w="220" w:type="dxa"/>
            <w:vAlign w:val="bottom"/>
            <w:shd w:val="clear" w:color="auto" w:fill="BFE4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121,198</w:t>
            </w:r>
          </w:p>
        </w:tc>
      </w:tr>
    </w:tbl>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71"/>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Mobile Solutions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loss from operations</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(2,143)</w:t>
            </w: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180" w:type="dxa"/>
            <w:vAlign w:val="bottom"/>
          </w:tcPr>
          <w:p>
            <w:pPr>
              <w:spacing w:after="0"/>
              <w:rPr>
                <w:sz w:val="15"/>
                <w:szCs w:val="15"/>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86</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w:t>
            </w:r>
          </w:p>
        </w:tc>
      </w:tr>
      <w:tr>
        <w:trPr>
          <w:trHeight w:val="18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838</w:t>
            </w:r>
          </w:p>
        </w:tc>
      </w:tr>
      <w:tr>
        <w:trPr>
          <w:trHeight w:val="15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Non-GAAP adjusted income (loss) from operations (a)</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(1,165)</w:t>
            </w:r>
          </w:p>
        </w:tc>
      </w:tr>
      <w:tr>
        <w:trPr>
          <w:trHeight w:val="126"/>
        </w:trPr>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2,439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2,271</w:t>
            </w:r>
          </w:p>
        </w:tc>
      </w:tr>
      <w:tr>
        <w:trPr>
          <w:trHeight w:val="185"/>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Non-GAAP adjusted income from operations with JV (a)</w:t>
            </w: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1,106</w:t>
            </w:r>
          </w:p>
        </w:tc>
      </w:tr>
      <w:tr>
        <w:trPr>
          <w:trHeight w:val="126"/>
        </w:trPr>
        <w:tc>
          <w:tcPr>
            <w:tcW w:w="3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1.5 %</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62,244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73,060</w:t>
            </w:r>
          </w:p>
        </w:tc>
      </w:tr>
    </w:tbl>
    <w:p>
      <w:pPr>
        <w:spacing w:after="0" w:line="200" w:lineRule="exact"/>
        <w:rPr>
          <w:sz w:val="20"/>
          <w:szCs w:val="20"/>
          <w:color w:val="auto"/>
        </w:rPr>
      </w:pPr>
    </w:p>
    <w:p>
      <w:pPr>
        <w:sectPr>
          <w:pgSz w:w="11900" w:h="16838" w:orient="portrait"/>
          <w:cols w:equalWidth="0" w:num="2">
            <w:col w:w="5260" w:space="640"/>
            <w:col w:w="5400"/>
          </w:cols>
          <w:pgMar w:left="300" w:top="674" w:right="29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Power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income from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34899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8990" cy="971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334899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operating margin (3)</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net sales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9"/>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3,023</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3,979</w:t>
            </w:r>
          </w:p>
        </w:tc>
      </w:tr>
      <w:tr>
        <w:trPr>
          <w:trHeight w:val="178"/>
        </w:trPr>
        <w:tc>
          <w:tcPr>
            <w:tcW w:w="24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35</w:t>
            </w:r>
          </w:p>
        </w:tc>
      </w:tr>
      <w:tr>
        <w:trPr>
          <w:trHeight w:val="155"/>
        </w:trPr>
        <w:tc>
          <w:tcPr>
            <w:tcW w:w="2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211</w:t>
            </w:r>
          </w:p>
        </w:tc>
      </w:tr>
      <w:tr>
        <w:trPr>
          <w:trHeight w:val="180"/>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2,567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2,618</w:t>
            </w:r>
          </w:p>
        </w:tc>
      </w:tr>
      <w:tr>
        <w:trPr>
          <w:trHeight w:val="142"/>
        </w:trPr>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5,524</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6,843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00"/>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14.2 %</w:t>
            </w:r>
          </w:p>
        </w:tc>
      </w:tr>
      <w:tr>
        <w:trPr>
          <w:trHeight w:val="198"/>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43,508</w:t>
            </w:r>
          </w:p>
        </w:tc>
        <w:tc>
          <w:tcPr>
            <w:tcW w:w="100" w:type="dxa"/>
            <w:vAlign w:val="bottom"/>
          </w:tcPr>
          <w:p>
            <w:pPr>
              <w:spacing w:after="0"/>
              <w:rPr>
                <w:sz w:val="17"/>
                <w:szCs w:val="17"/>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48,238</w:t>
            </w:r>
          </w:p>
        </w:tc>
      </w:tr>
    </w:tbl>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0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78"/>
        </w:trPr>
        <w:tc>
          <w:tcPr>
            <w:tcW w:w="32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Elimination</w:t>
            </w: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2025</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3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660" w:type="dxa"/>
            <w:vAlign w:val="bottom"/>
            <w:shd w:val="clear" w:color="auto" w:fill="BFE4FF"/>
          </w:tcPr>
          <w:p>
            <w:pPr>
              <w:jc w:val="right"/>
              <w:ind w:right="54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(100)</w:t>
            </w:r>
          </w:p>
        </w:tc>
      </w:tr>
    </w:tbl>
    <w:p>
      <w:pPr>
        <w:spacing w:after="0" w:line="1180" w:lineRule="exact"/>
        <w:rPr>
          <w:sz w:val="20"/>
          <w:szCs w:val="20"/>
          <w:color w:val="auto"/>
        </w:rPr>
      </w:pPr>
    </w:p>
    <w:p>
      <w:pPr>
        <w:sectPr>
          <w:pgSz w:w="11900" w:h="16838" w:orient="portrait"/>
          <w:cols w:equalWidth="0" w:num="3">
            <w:col w:w="2380" w:space="720"/>
            <w:col w:w="2160" w:space="640"/>
            <w:col w:w="5400"/>
          </w:cols>
          <w:pgMar w:left="300" w:top="67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hanging="224"/>
        <w:spacing w:after="0"/>
        <w:tabs>
          <w:tab w:leader="none" w:pos="10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44"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35"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operating margin = Non-GAAP adjusted income (loss) from operations / GAAP net sales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674" w:right="299" w:bottom="1440" w:gutter="0" w:footer="0" w:header="0"/>
          <w:type w:val="continuous"/>
        </w:sectPr>
      </w:pPr>
    </w:p>
    <w:bookmarkStart w:id="12" w:name="page13"/>
    <w:bookmarkEnd w:id="12"/>
    <w:tbl>
      <w:tblPr>
        <w:tblLayout w:type="fixed"/>
        <w:tblInd w:w="420" w:type="dxa"/>
        <w:tblCellMar>
          <w:top w:w="0" w:type="dxa"/>
          <w:left w:w="0" w:type="dxa"/>
          <w:bottom w:w="0" w:type="dxa"/>
          <w:right w:w="0" w:type="dxa"/>
        </w:tblCellMar>
      </w:tblPr>
      <w:tr>
        <w:trPr>
          <w:trHeight w:val="159"/>
        </w:trPr>
        <w:tc>
          <w:tcPr>
            <w:tcW w:w="6820" w:type="dxa"/>
            <w:vAlign w:val="bottom"/>
            <w:gridSpan w:val="4"/>
          </w:tcPr>
          <w:p>
            <w:pPr>
              <w:ind w:left="2120"/>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EBITDA</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5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(6,685)</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(12,537)</w:t>
            </w:r>
          </w:p>
        </w:tc>
      </w:tr>
      <w:tr>
        <w:trPr>
          <w:trHeight w:val="17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1,310</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506</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5,194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5,366</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Change in fair value of preferred stock derivatives and warrants</w:t>
            </w: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(1,763)</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3,781</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8,774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12,547</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Professional fees</w:t>
            </w: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70</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3,365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300</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320" w:type="dxa"/>
            <w:vAlign w:val="bottom"/>
            <w:shd w:val="clear" w:color="auto" w:fill="BFE4FF"/>
          </w:tcPr>
          <w:p>
            <w:pPr>
              <w:spacing w:after="0"/>
              <w:rPr>
                <w:sz w:val="13"/>
                <w:szCs w:val="13"/>
                <w:color w:val="auto"/>
              </w:rPr>
            </w:pPr>
          </w:p>
        </w:tc>
        <w:tc>
          <w:tcPr>
            <w:tcW w:w="110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258</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Non-cash stock compensation</w:t>
            </w: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839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845</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Non-cash foreign exchange (gain) loss on inter-company loans</w:t>
            </w:r>
          </w:p>
        </w:tc>
        <w:tc>
          <w:tcPr>
            <w:tcW w:w="320" w:type="dxa"/>
            <w:vAlign w:val="bottom"/>
            <w:tcBorders>
              <w:bottom w:val="single" w:sz="8" w:color="auto"/>
            </w:tcBorders>
            <w:shd w:val="clear" w:color="auto" w:fill="BFE4FF"/>
          </w:tcPr>
          <w:p>
            <w:pPr>
              <w:spacing w:after="0"/>
              <w:rPr>
                <w:sz w:val="15"/>
                <w:szCs w:val="15"/>
                <w:color w:val="auto"/>
              </w:rPr>
            </w:pPr>
          </w:p>
        </w:tc>
        <w:tc>
          <w:tcPr>
            <w:tcW w:w="1020" w:type="dxa"/>
            <w:vAlign w:val="bottom"/>
            <w:tcBorders>
              <w:bottom w:val="single" w:sz="8" w:color="auto"/>
            </w:tcBorders>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(506)</w:t>
            </w:r>
          </w:p>
        </w:tc>
        <w:tc>
          <w:tcPr>
            <w:tcW w:w="80" w:type="dxa"/>
            <w:vAlign w:val="bottom"/>
            <w:shd w:val="clear" w:color="auto" w:fill="BFE4FF"/>
          </w:tcPr>
          <w:p>
            <w:pPr>
              <w:spacing w:after="0"/>
              <w:rPr>
                <w:sz w:val="15"/>
                <w:szCs w:val="15"/>
                <w:color w:val="auto"/>
              </w:rPr>
            </w:pPr>
          </w:p>
        </w:tc>
        <w:tc>
          <w:tcPr>
            <w:tcW w:w="320" w:type="dxa"/>
            <w:vAlign w:val="bottom"/>
            <w:tcBorders>
              <w:bottom w:val="single" w:sz="8" w:color="auto"/>
            </w:tcBorders>
            <w:shd w:val="clear" w:color="auto" w:fill="BFE4FF"/>
          </w:tcPr>
          <w:p>
            <w:pPr>
              <w:spacing w:after="0"/>
              <w:rPr>
                <w:sz w:val="15"/>
                <w:szCs w:val="15"/>
                <w:color w:val="auto"/>
              </w:rPr>
            </w:pPr>
          </w:p>
        </w:tc>
        <w:tc>
          <w:tcPr>
            <w:tcW w:w="10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161</w:t>
            </w:r>
          </w:p>
        </w:tc>
      </w:tr>
      <w:tr>
        <w:trPr>
          <w:trHeight w:val="158"/>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Non-GAAP adjusted EBITDA (b)</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10,578</w:t>
            </w:r>
          </w:p>
        </w:tc>
        <w:tc>
          <w:tcPr>
            <w:tcW w:w="8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11,297</w:t>
            </w:r>
          </w:p>
        </w:tc>
      </w:tr>
      <w:tr>
        <w:trPr>
          <w:trHeight w:val="153"/>
        </w:trPr>
        <w:tc>
          <w:tcPr>
            <w:tcW w:w="540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spacing w:after="0"/>
              <w:rPr>
                <w:sz w:val="13"/>
                <w:szCs w:val="13"/>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Non-GAAP adjusted EBITDA margin (3)</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9.3 %</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105,688</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121,198</w:t>
            </w:r>
          </w:p>
        </w:tc>
      </w:tr>
    </w:tbl>
    <w:p>
      <w:pPr>
        <w:spacing w:after="0" w:line="252" w:lineRule="exact"/>
        <w:rPr>
          <w:sz w:val="20"/>
          <w:szCs w:val="20"/>
          <w:color w:val="auto"/>
        </w:rPr>
      </w:pPr>
    </w:p>
    <w:p>
      <w:pPr>
        <w:ind w:left="860" w:hanging="151"/>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35"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116"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EBITDA margin = Non-GAAP adjusted EBITDA / GAAP net sales</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160"/>
          </w:cols>
          <w:pgMar w:left="1440" w:top="674"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1"/>
          <w:szCs w:val="11"/>
          <w:b w:val="1"/>
          <w:bCs w:val="1"/>
          <w:color w:val="auto"/>
        </w:rPr>
        <w:t>Reconciliation of GAAP Net Income (Loss) to Non-GAAP Adjusted Net Income and GAAP Net Income (Loss) per Diluted Common Share to Non-GAAP Adjusted Net Income (Loss) per Diluted Common Share</w:t>
      </w:r>
    </w:p>
    <w:p>
      <w:pPr>
        <w:sectPr>
          <w:pgSz w:w="11900" w:h="16838" w:orient="portrait"/>
          <w:cols w:equalWidth="0" w:num="1">
            <w:col w:w="11020"/>
          </w:cols>
          <w:pgMar w:left="580" w:top="674" w:right="2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13335</wp:posOffset>
            </wp:positionV>
            <wp:extent cx="5949315"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49315" cy="114300"/>
                    </a:xfrm>
                    <a:prstGeom prst="rect">
                      <a:avLst/>
                    </a:prstGeom>
                    <a:noFill/>
                  </pic:spPr>
                </pic:pic>
              </a:graphicData>
            </a:graphic>
          </wp:anchor>
        </w:drawing>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GAAP net loss</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-85725</wp:posOffset>
            </wp:positionV>
            <wp:extent cx="5949315"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9315" cy="97155"/>
                    </a:xfrm>
                    <a:prstGeom prst="rect">
                      <a:avLst/>
                    </a:prstGeom>
                    <a:noFill/>
                  </pic:spPr>
                </pic:pic>
              </a:graphicData>
            </a:graphic>
          </wp:anchor>
        </w:drawing>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personnel costs</w:t>
      </w:r>
    </w:p>
    <w:p>
      <w:pPr>
        <w:spacing w:after="0" w:line="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facility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-85725</wp:posOffset>
            </wp:positionV>
            <wp:extent cx="5949315"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49315" cy="97155"/>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Pre-tax change in fair value of preferred stock derivatives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-79375</wp:posOffset>
            </wp:positionV>
            <wp:extent cx="5949315"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9315" cy="97155"/>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9525</wp:posOffset>
            </wp:positionV>
            <wp:extent cx="5949315"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49315" cy="97155"/>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12"/>
          <w:szCs w:val="12"/>
          <w:color w:val="auto"/>
        </w:rPr>
        <w:t>Tax effect of adjustments reflected above (c)</w:t>
      </w:r>
    </w:p>
    <w:p>
      <w:pPr>
        <w:spacing w:after="0" w:line="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Non-GAAP adjusted net income (loss) (d)</w:t>
      </w:r>
    </w:p>
    <w:p>
      <w:pPr>
        <w:spacing w:after="0" w:line="3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i w:val="1"/>
          <w:iCs w:val="1"/>
          <w:color w:val="auto"/>
        </w:rPr>
        <w:t>(per diluted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13335</wp:posOffset>
            </wp:positionV>
            <wp:extent cx="5949315"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9315" cy="114300"/>
                    </a:xfrm>
                    <a:prstGeom prst="rect">
                      <a:avLst/>
                    </a:prstGeom>
                    <a:noFill/>
                  </pic:spPr>
                </pic:pic>
              </a:graphicData>
            </a:graphic>
          </wp:anchor>
        </w:drawing>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GAAP net loss per diluted common share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8059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5940" cy="5715"/>
                    </a:xfrm>
                    <a:prstGeom prst="rect">
                      <a:avLst/>
                    </a:prstGeom>
                    <a:noFill/>
                  </pic:spPr>
                </pic:pic>
              </a:graphicData>
            </a:graphic>
          </wp:anchor>
        </w:drawing>
      </w:r>
    </w:p>
    <w:p>
      <w:pPr>
        <w:spacing w:after="0" w:line="4" w:lineRule="exact"/>
        <w:rPr>
          <w:sz w:val="20"/>
          <w:szCs w:val="20"/>
          <w:color w:val="auto"/>
        </w:rPr>
      </w:pPr>
    </w:p>
    <w:p>
      <w:pPr>
        <w:ind w:left="560"/>
        <w:spacing w:after="0"/>
        <w:tabs>
          <w:tab w:leader="none" w:pos="2040" w:val="left"/>
        </w:tabs>
        <w:rPr>
          <w:sz w:val="20"/>
          <w:szCs w:val="20"/>
          <w:color w:val="auto"/>
        </w:rPr>
      </w:pPr>
      <w:r>
        <w:rPr>
          <w:rFonts w:ascii="Times New Roman" w:cs="Times New Roman" w:eastAsia="Times New Roman" w:hAnsi="Times New Roman"/>
          <w:sz w:val="12"/>
          <w:szCs w:val="12"/>
          <w:b w:val="1"/>
          <w:bCs w:val="1"/>
          <w:color w:val="auto"/>
        </w:rPr>
        <w:t>2025</w:t>
      </w:r>
      <w:r>
        <w:rPr>
          <w:sz w:val="20"/>
          <w:szCs w:val="20"/>
          <w:color w:val="auto"/>
        </w:rPr>
        <w:tab/>
      </w:r>
      <w:r>
        <w:rPr>
          <w:rFonts w:ascii="Times New Roman" w:cs="Times New Roman" w:eastAsia="Times New Roman" w:hAnsi="Times New Roman"/>
          <w:sz w:val="12"/>
          <w:szCs w:val="12"/>
          <w:b w:val="1"/>
          <w:bCs w:val="1"/>
          <w:color w:val="auto"/>
        </w:rPr>
        <w:t>2024</w:t>
      </w:r>
    </w:p>
    <w:p>
      <w:pPr>
        <w:spacing w:after="0" w:line="46" w:lineRule="exact"/>
        <w:rPr>
          <w:sz w:val="20"/>
          <w:szCs w:val="20"/>
          <w:color w:val="auto"/>
        </w:rPr>
      </w:pPr>
    </w:p>
    <w:p>
      <w:pPr>
        <w:ind w:left="20"/>
        <w:spacing w:after="0"/>
        <w:tabs>
          <w:tab w:leader="none" w:pos="960" w:val="left"/>
          <w:tab w:leader="none" w:pos="1500" w:val="left"/>
          <w:tab w:leader="none" w:pos="240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(6,685)</w:t>
        <w:tab/>
        <w:t>$</w:t>
      </w:r>
      <w:r>
        <w:rPr>
          <w:sz w:val="20"/>
          <w:szCs w:val="20"/>
          <w:color w:val="auto"/>
        </w:rPr>
        <w:tab/>
      </w:r>
      <w:r>
        <w:rPr>
          <w:rFonts w:ascii="Times New Roman" w:cs="Times New Roman" w:eastAsia="Times New Roman" w:hAnsi="Times New Roman"/>
          <w:sz w:val="12"/>
          <w:szCs w:val="12"/>
          <w:color w:val="auto"/>
        </w:rPr>
        <w:t>(12,537)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78"/>
        </w:trPr>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r>
      <w:tr>
        <w:trPr>
          <w:trHeight w:val="153"/>
        </w:trPr>
        <w:tc>
          <w:tcPr>
            <w:tcW w:w="32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w:t>
            </w:r>
          </w:p>
        </w:tc>
      </w:tr>
      <w:tr>
        <w:trPr>
          <w:trHeight w:val="153"/>
        </w:trPr>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r>
      <w:tr>
        <w:trPr>
          <w:trHeight w:val="153"/>
        </w:trPr>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(1,763)</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3,781</w:t>
            </w:r>
          </w:p>
        </w:tc>
      </w:tr>
      <w:tr>
        <w:trPr>
          <w:trHeight w:val="153"/>
        </w:trPr>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4,125</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w:t>
            </w:r>
          </w:p>
        </w:tc>
      </w:tr>
      <w:tr>
        <w:trPr>
          <w:trHeight w:val="155"/>
        </w:trPr>
        <w:tc>
          <w:tcPr>
            <w:tcW w:w="32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2"/>
        </w:trPr>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(1,414)</w:t>
            </w:r>
          </w:p>
        </w:tc>
        <w:tc>
          <w:tcPr>
            <w:tcW w:w="1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(3,996)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291"/>
        </w:trPr>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14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(0.34)</w:t>
            </w:r>
          </w:p>
        </w:tc>
      </w:tr>
    </w:tbl>
    <w:p>
      <w:pPr>
        <w:spacing w:after="0" w:line="180" w:lineRule="exact"/>
        <w:rPr>
          <w:sz w:val="20"/>
          <w:szCs w:val="20"/>
          <w:color w:val="auto"/>
        </w:rPr>
      </w:pPr>
    </w:p>
    <w:p>
      <w:pPr>
        <w:sectPr>
          <w:pgSz w:w="11900" w:h="16838" w:orient="portrait"/>
          <w:cols w:equalWidth="0" w:num="2">
            <w:col w:w="6480" w:space="720"/>
            <w:col w:w="3820"/>
          </w:cols>
          <w:pgMar w:left="580" w:top="674" w:right="299" w:bottom="1440" w:gutter="0" w:footer="0" w:header="0"/>
          <w:type w:val="continuous"/>
        </w:sectPr>
      </w:pPr>
    </w:p>
    <w:tbl>
      <w:tblPr>
        <w:tblLayout w:type="fixed"/>
        <w:tblInd w:w="680" w:type="dxa"/>
        <w:tblCellMar>
          <w:top w:w="0" w:type="dxa"/>
          <w:left w:w="0" w:type="dxa"/>
          <w:bottom w:w="0" w:type="dxa"/>
          <w:right w:w="0" w:type="dxa"/>
        </w:tblCellMar>
      </w:tblPr>
      <w:tr>
        <w:trPr>
          <w:trHeight w:val="18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13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140" w:type="dxa"/>
            <w:vAlign w:val="bottom"/>
            <w:shd w:val="clear" w:color="auto" w:fill="BFE4FF"/>
          </w:tcPr>
          <w:p>
            <w:pPr>
              <w:spacing w:after="0"/>
              <w:rPr>
                <w:sz w:val="15"/>
                <w:szCs w:val="15"/>
                <w:color w:val="auto"/>
              </w:rPr>
            </w:pPr>
          </w:p>
        </w:tc>
        <w:tc>
          <w:tcPr>
            <w:tcW w:w="13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tc>
        <w:tc>
          <w:tcPr>
            <w:tcW w:w="13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shd w:val="clear" w:color="auto" w:fill="BFE4FF"/>
          </w:tcPr>
          <w:p>
            <w:pPr>
              <w:spacing w:after="0"/>
              <w:rPr>
                <w:sz w:val="13"/>
                <w:szCs w:val="13"/>
                <w:color w:val="auto"/>
              </w:rPr>
            </w:pPr>
          </w:p>
        </w:tc>
        <w:tc>
          <w:tcPr>
            <w:tcW w:w="13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0.08</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13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shd w:val="clear" w:color="auto" w:fill="BFE4FF"/>
          </w:tcPr>
          <w:p>
            <w:pPr>
              <w:spacing w:after="0"/>
              <w:rPr>
                <w:sz w:val="13"/>
                <w:szCs w:val="13"/>
                <w:color w:val="auto"/>
              </w:rPr>
            </w:pPr>
          </w:p>
        </w:tc>
        <w:tc>
          <w:tcPr>
            <w:tcW w:w="13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0.08</w:t>
            </w:r>
          </w:p>
        </w:tc>
      </w:tr>
      <w:tr>
        <w:trPr>
          <w:trHeight w:val="153"/>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Preferred stock cumulative dividends and deemed dividends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140" w:type="dxa"/>
            <w:vAlign w:val="bottom"/>
            <w:tcBorders>
              <w:bottom w:val="single" w:sz="8" w:color="BFE4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0.09</w:t>
            </w:r>
          </w:p>
        </w:tc>
      </w:tr>
      <w:tr>
        <w:trPr>
          <w:trHeight w:val="162"/>
        </w:trPr>
        <w:tc>
          <w:tcPr>
            <w:tcW w:w="65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per diluted common share (d)</w:t>
            </w:r>
          </w:p>
        </w:tc>
        <w:tc>
          <w:tcPr>
            <w:tcW w:w="13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140" w:type="dxa"/>
            <w:vAlign w:val="bottom"/>
            <w:tcBorders>
              <w:bottom w:val="single" w:sz="8" w:color="BFE4FF"/>
            </w:tcBorders>
            <w:shd w:val="clear" w:color="auto" w:fill="BFE4FF"/>
          </w:tcPr>
          <w:p>
            <w:pPr>
              <w:spacing w:after="0"/>
              <w:rPr>
                <w:sz w:val="14"/>
                <w:szCs w:val="14"/>
                <w:color w:val="auto"/>
              </w:rPr>
            </w:pPr>
          </w:p>
        </w:tc>
        <w:tc>
          <w:tcPr>
            <w:tcW w:w="13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$(0.08)</w:t>
            </w:r>
          </w:p>
        </w:tc>
      </w:tr>
      <w:tr>
        <w:trPr>
          <w:trHeight w:val="151"/>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used to calculate net earnings (loss) per share</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49,075</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020"/>
          </w:cols>
          <w:pgMar w:left="580" w:top="674" w:right="299" w:bottom="1440" w:gutter="0" w:footer="0" w:header="0"/>
          <w:type w:val="continuous"/>
        </w:sectPr>
      </w:pPr>
    </w:p>
    <w:bookmarkStart w:id="14" w:name="page15"/>
    <w:bookmarkEnd w:id="14"/>
    <w:tbl>
      <w:tblPr>
        <w:tblLayout w:type="fixed"/>
        <w:tblInd w:w="700" w:type="dxa"/>
        <w:tblCellMar>
          <w:top w:w="0" w:type="dxa"/>
          <w:left w:w="0" w:type="dxa"/>
          <w:bottom w:w="0" w:type="dxa"/>
          <w:right w:w="0" w:type="dxa"/>
        </w:tblCellMar>
      </w:tblPr>
      <w:tr>
        <w:trPr>
          <w:trHeight w:val="159"/>
        </w:trPr>
        <w:tc>
          <w:tcPr>
            <w:tcW w:w="540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Reconciliation of Operating Cash Flow to Free Cash Flow</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4"/>
        </w:trPr>
        <w:tc>
          <w:tcPr>
            <w:tcW w:w="5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80" w:type="dxa"/>
            <w:vAlign w:val="bottom"/>
          </w:tcPr>
          <w:p>
            <w:pPr>
              <w:spacing w:after="0"/>
              <w:rPr>
                <w:sz w:val="12"/>
                <w:szCs w:val="12"/>
                <w:color w:val="auto"/>
              </w:rPr>
            </w:pPr>
          </w:p>
        </w:tc>
      </w:tr>
      <w:tr>
        <w:trPr>
          <w:trHeight w:val="159"/>
        </w:trPr>
        <w:tc>
          <w:tcPr>
            <w:tcW w:w="50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80" w:type="dxa"/>
            <w:vAlign w:val="bottom"/>
            <w:tcBorders>
              <w:bottom w:val="single" w:sz="8" w:color="auto"/>
            </w:tcBorders>
          </w:tcPr>
          <w:p>
            <w:pPr>
              <w:spacing w:after="0"/>
              <w:rPr>
                <w:sz w:val="13"/>
                <w:szCs w:val="13"/>
                <w:color w:val="auto"/>
              </w:rPr>
            </w:pPr>
          </w:p>
        </w:tc>
      </w:tr>
      <w:tr>
        <w:trPr>
          <w:trHeight w:val="145"/>
        </w:trPr>
        <w:tc>
          <w:tcPr>
            <w:tcW w:w="50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w w:val="99"/>
              </w:rPr>
              <w:t>2024</w:t>
            </w:r>
          </w:p>
        </w:tc>
      </w:tr>
      <w:tr>
        <w:trPr>
          <w:trHeight w:val="142"/>
        </w:trPr>
        <w:tc>
          <w:tcPr>
            <w:tcW w:w="50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400" w:type="dxa"/>
            <w:vAlign w:val="bottom"/>
            <w:shd w:val="clear" w:color="auto" w:fill="BFE4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(3,345)</w:t>
            </w:r>
          </w:p>
        </w:tc>
        <w:tc>
          <w:tcPr>
            <w:tcW w:w="100" w:type="dxa"/>
            <w:vAlign w:val="bottom"/>
            <w:shd w:val="clear" w:color="auto" w:fill="BFE4FF"/>
          </w:tcPr>
          <w:p>
            <w:pPr>
              <w:spacing w:after="0"/>
              <w:rPr>
                <w:sz w:val="12"/>
                <w:szCs w:val="12"/>
                <w:color w:val="auto"/>
              </w:rPr>
            </w:pPr>
          </w:p>
        </w:tc>
        <w:tc>
          <w:tcPr>
            <w:tcW w:w="480" w:type="dxa"/>
            <w:vAlign w:val="bottom"/>
            <w:shd w:val="clear" w:color="auto" w:fill="BFE4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712</w:t>
            </w:r>
          </w:p>
        </w:tc>
      </w:tr>
      <w:tr>
        <w:trPr>
          <w:trHeight w:val="153"/>
        </w:trPr>
        <w:tc>
          <w:tcPr>
            <w:tcW w:w="500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w:t>
            </w:r>
          </w:p>
        </w:tc>
      </w:tr>
      <w:tr>
        <w:trPr>
          <w:trHeight w:val="153"/>
        </w:trPr>
        <w:tc>
          <w:tcPr>
            <w:tcW w:w="50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400" w:type="dxa"/>
            <w:vAlign w:val="bottom"/>
            <w:shd w:val="clear" w:color="auto" w:fill="BFE4FF"/>
          </w:tcPr>
          <w:p>
            <w:pPr>
              <w:spacing w:after="0"/>
              <w:rPr>
                <w:sz w:val="13"/>
                <w:szCs w:val="13"/>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shd w:val="clear" w:color="auto" w:fill="BFE4FF"/>
          </w:tcPr>
          <w:p>
            <w:pPr>
              <w:spacing w:after="0"/>
              <w:rPr>
                <w:sz w:val="13"/>
                <w:szCs w:val="13"/>
                <w:color w:val="auto"/>
              </w:rPr>
            </w:pPr>
          </w:p>
        </w:tc>
        <w:tc>
          <w:tcPr>
            <w:tcW w:w="480" w:type="dxa"/>
            <w:vAlign w:val="bottom"/>
            <w:shd w:val="clear" w:color="auto" w:fill="BFE4FF"/>
          </w:tcPr>
          <w:p>
            <w:pPr>
              <w:spacing w:after="0"/>
              <w:rPr>
                <w:sz w:val="13"/>
                <w:szCs w:val="13"/>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53"/>
        </w:trPr>
        <w:tc>
          <w:tcPr>
            <w:tcW w:w="50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4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4,910</w:t>
            </w:r>
          </w:p>
        </w:tc>
      </w:tr>
      <w:tr>
        <w:trPr>
          <w:trHeight w:val="158"/>
        </w:trPr>
        <w:tc>
          <w:tcPr>
            <w:tcW w:w="5000" w:type="dxa"/>
            <w:vAlign w:val="bottom"/>
            <w:tcBorders>
              <w:top w:val="single" w:sz="8" w:color="BFE4FF"/>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400" w:type="dxa"/>
            <w:vAlign w:val="bottom"/>
            <w:tcBorders>
              <w:top w:val="single" w:sz="8" w:color="auto"/>
              <w:bottom w:val="single" w:sz="8" w:color="auto"/>
            </w:tcBorders>
            <w:shd w:val="clear" w:color="auto" w:fill="BFE4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(7,075)</w:t>
            </w:r>
          </w:p>
        </w:tc>
        <w:tc>
          <w:tcPr>
            <w:tcW w:w="100" w:type="dxa"/>
            <w:vAlign w:val="bottom"/>
            <w:tcBorders>
              <w:top w:val="single" w:sz="8" w:color="BFE4FF"/>
              <w:bottom w:val="single" w:sz="8" w:color="BFE4FF"/>
            </w:tcBorders>
            <w:shd w:val="clear" w:color="auto" w:fill="BFE4FF"/>
          </w:tcPr>
          <w:p>
            <w:pPr>
              <w:spacing w:after="0"/>
              <w:rPr>
                <w:sz w:val="13"/>
                <w:szCs w:val="13"/>
                <w:color w:val="auto"/>
              </w:rPr>
            </w:pPr>
          </w:p>
        </w:tc>
        <w:tc>
          <w:tcPr>
            <w:tcW w:w="480" w:type="dxa"/>
            <w:vAlign w:val="bottom"/>
            <w:tcBorders>
              <w:top w:val="single" w:sz="8" w:color="auto"/>
              <w:bottom w:val="single" w:sz="8" w:color="auto"/>
            </w:tcBorders>
            <w:shd w:val="clear" w:color="auto" w:fill="BFE4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260</w:t>
            </w:r>
          </w:p>
        </w:tc>
      </w:tr>
    </w:tbl>
    <w:p>
      <w:pPr>
        <w:spacing w:after="0" w:line="3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0160"/>
          </w:cols>
          <w:pgMar w:left="1440" w:top="872" w:right="299" w:bottom="1440" w:gutter="0" w:footer="0" w:header="0"/>
        </w:sectPr>
      </w:pPr>
    </w:p>
    <w:bookmarkStart w:id="15" w:name="page16"/>
    <w:bookmarkEnd w:id="15"/>
    <w:p>
      <w:pPr>
        <w:ind w:left="8"/>
        <w:spacing w:after="0" w:line="260" w:lineRule="auto"/>
        <w:rPr>
          <w:sz w:val="20"/>
          <w:szCs w:val="20"/>
          <w:color w:val="auto"/>
        </w:rPr>
      </w:pPr>
      <w:r>
        <w:rPr>
          <w:rFonts w:ascii="Arial" w:cs="Arial" w:eastAsia="Arial" w:hAnsi="Arial"/>
          <w:sz w:val="11"/>
          <w:szCs w:val="11"/>
          <w:i w:val="1"/>
          <w:iCs w:val="1"/>
          <w:color w:val="auto"/>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The costs we incur in completing acquisitions, including the amortization of intangibles and deferred financing costs, and divestitures are excluded from these measures because their size and inconsistent frequency are unrelated to our commercial performance during the period, and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spacing w:after="0" w:line="112" w:lineRule="exact"/>
        <w:rPr>
          <w:sz w:val="20"/>
          <w:szCs w:val="20"/>
          <w:color w:val="auto"/>
        </w:rPr>
      </w:pPr>
    </w:p>
    <w:p>
      <w:pPr>
        <w:ind w:left="8" w:right="200"/>
        <w:spacing w:after="0" w:line="270" w:lineRule="auto"/>
        <w:rPr>
          <w:sz w:val="20"/>
          <w:szCs w:val="20"/>
          <w:color w:val="auto"/>
        </w:rPr>
      </w:pPr>
      <w:r>
        <w:rPr>
          <w:rFonts w:ascii="Arial" w:cs="Arial" w:eastAsia="Arial" w:hAnsi="Arial"/>
          <w:sz w:val="11"/>
          <w:szCs w:val="11"/>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95" w:lineRule="exact"/>
        <w:rPr>
          <w:sz w:val="20"/>
          <w:szCs w:val="20"/>
          <w:color w:val="auto"/>
        </w:rPr>
      </w:pPr>
    </w:p>
    <w:p>
      <w:pPr>
        <w:ind w:left="8" w:right="20" w:hanging="8"/>
        <w:spacing w:after="0" w:line="300" w:lineRule="auto"/>
        <w:tabs>
          <w:tab w:leader="none" w:pos="170" w:val="left"/>
        </w:tabs>
        <w:numPr>
          <w:ilvl w:val="0"/>
          <w:numId w:val="10"/>
        </w:numPr>
        <w:rPr>
          <w:rFonts w:ascii="Arial" w:cs="Arial" w:eastAsia="Arial" w:hAnsi="Arial"/>
          <w:sz w:val="10"/>
          <w:szCs w:val="10"/>
          <w:i w:val="1"/>
          <w:iCs w:val="1"/>
          <w:color w:val="auto"/>
        </w:rPr>
      </w:pPr>
      <w:r>
        <w:rPr>
          <w:rFonts w:ascii="Arial" w:cs="Arial" w:eastAsia="Arial" w:hAnsi="Arial"/>
          <w:sz w:val="10"/>
          <w:szCs w:val="10"/>
          <w:i w:val="1"/>
          <w:iCs w:val="1"/>
          <w:color w:val="auto"/>
        </w:rPr>
        <w:t>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spacing w:after="0" w:line="82" w:lineRule="exact"/>
        <w:rPr>
          <w:rFonts w:ascii="Arial" w:cs="Arial" w:eastAsia="Arial" w:hAnsi="Arial"/>
          <w:sz w:val="10"/>
          <w:szCs w:val="10"/>
          <w:i w:val="1"/>
          <w:iCs w:val="1"/>
          <w:color w:val="auto"/>
        </w:rPr>
      </w:pPr>
    </w:p>
    <w:p>
      <w:pPr>
        <w:ind w:left="168" w:hanging="168"/>
        <w:spacing w:after="0"/>
        <w:tabs>
          <w:tab w:leader="none" w:pos="168"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Non-GAAP adjusted EBITDA represents GAAP net income (loss), adjusted to include income taxes, interest expense, write-off of unamortized debt issuance costs, interest rate swap payments and change in fair value that was</w:t>
      </w:r>
    </w:p>
    <w:p>
      <w:pPr>
        <w:spacing w:after="0" w:line="15" w:lineRule="exact"/>
        <w:rPr>
          <w:rFonts w:ascii="Arial" w:cs="Arial" w:eastAsia="Arial" w:hAnsi="Arial"/>
          <w:sz w:val="11"/>
          <w:szCs w:val="11"/>
          <w:i w:val="1"/>
          <w:iCs w:val="1"/>
          <w:color w:val="auto"/>
        </w:rPr>
      </w:pPr>
    </w:p>
    <w:p>
      <w:pPr>
        <w:ind w:left="8" w:right="120"/>
        <w:spacing w:after="0" w:line="260" w:lineRule="auto"/>
        <w:rPr>
          <w:rFonts w:ascii="Arial" w:cs="Arial" w:eastAsia="Arial" w:hAnsi="Arial"/>
          <w:sz w:val="11"/>
          <w:szCs w:val="11"/>
          <w:i w:val="1"/>
          <w:iCs w:val="1"/>
          <w:color w:val="auto"/>
        </w:rPr>
      </w:pPr>
      <w:r>
        <w:rPr>
          <w:rFonts w:ascii="Arial" w:cs="Arial" w:eastAsia="Arial" w:hAnsi="Arial"/>
          <w:sz w:val="11"/>
          <w:szCs w:val="11"/>
          <w:i w:val="1"/>
          <w:iCs w:val="1"/>
          <w:color w:val="auto"/>
        </w:rPr>
        <w:t>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09" w:lineRule="exact"/>
        <w:rPr>
          <w:rFonts w:ascii="Arial" w:cs="Arial" w:eastAsia="Arial" w:hAnsi="Arial"/>
          <w:sz w:val="11"/>
          <w:szCs w:val="11"/>
          <w:i w:val="1"/>
          <w:iCs w:val="1"/>
          <w:color w:val="auto"/>
        </w:rPr>
      </w:pPr>
    </w:p>
    <w:p>
      <w:pPr>
        <w:ind w:left="8" w:right="500" w:hanging="8"/>
        <w:spacing w:after="0" w:line="285" w:lineRule="auto"/>
        <w:tabs>
          <w:tab w:leader="none" w:pos="164"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86" w:lineRule="exact"/>
        <w:rPr>
          <w:rFonts w:ascii="Arial" w:cs="Arial" w:eastAsia="Arial" w:hAnsi="Arial"/>
          <w:sz w:val="11"/>
          <w:szCs w:val="11"/>
          <w:i w:val="1"/>
          <w:iCs w:val="1"/>
          <w:color w:val="auto"/>
        </w:rPr>
      </w:pPr>
    </w:p>
    <w:p>
      <w:pPr>
        <w:ind w:left="8" w:right="340" w:hanging="8"/>
        <w:spacing w:after="0" w:line="263" w:lineRule="auto"/>
        <w:tabs>
          <w:tab w:leader="none" w:pos="170"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8"/>
          </w:cols>
          <w:pgMar w:left="292" w:top="680" w:right="299" w:bottom="1440"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1"/>
      <w:numFmt w:val="upperLetter"/>
      <w:start w:val="40"/>
    </w:lvl>
  </w:abstractNum>
  <w:abstractNum w:abstractNumId="6">
    <w:nsid w:val="515F007C"/>
    <w:multiLevelType w:val="hybridMultilevel"/>
    <w:lvl w:ilvl="0">
      <w:lvlJc w:val="left"/>
      <w:lvlText w:val="%1"/>
      <w:numFmt w:val="upperLetter"/>
      <w:start w:val="40"/>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2025-05-07T16:13:51Z</dcterms:created>
  <dcterms:modified xsi:type="dcterms:W3CDTF">2025-05-07T16:13:51Z</dcterms:modified>
</cp:coreProperties>
</file>