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800" w:hanging="360"/>
        <w:spacing w:after="0"/>
        <w:tabs>
          <w:tab w:leader="none" w:pos="480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406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-238760</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Barrett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Corre Partners Management, LLC, 12 East 49th Street, 40th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646-863-7152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2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4,879,635.00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4,879,635.00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4,879,635.00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5,502,004.00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5,502,004.00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5,502,004.00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5,502,004.00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5,502,004.00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5,502,004.00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Barrett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5,502,004.00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5,502,004.00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5,502,004.00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6210 Ardrey Kell Road, Suite 120, Charlotte, NORTH CAROLINA , 28277.</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NN, Inc., a Delaware corporation (the "Issuer"). The address of the Issuer's principal</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executive offices is 6210 Ardrey Kell Road, Suite 120, Charlotte, North Carolina 28277. This Schedule 13D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amendment relates to the Issuer's common stock, par value $0.01 per share (the "Shares").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This Schedule 13D amendment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w:t>
      </w:r>
    </w:p>
    <w:p>
      <w:pPr>
        <w:spacing w:after="0" w:line="1" w:lineRule="exact"/>
        <w:rPr>
          <w:sz w:val="20"/>
          <w:szCs w:val="20"/>
          <w:color w:val="auto"/>
        </w:rPr>
      </w:pPr>
    </w:p>
    <w:p>
      <w:pPr>
        <w:ind w:left="920" w:right="46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 a Delaware limited liability company (the "Investment Adviser"), which has been delegated investment authority over the assets of the Fund by the General Partner; and (iv) Mr. John Barrett, who serves as a managing member of the General Partner and the Investment Adviser; and (each, a "Reporting Person" and collectively, the "Reporting Persons").</w:t>
      </w:r>
    </w:p>
    <w:p>
      <w:pPr>
        <w:spacing w:after="0" w:line="15" w:lineRule="exact"/>
        <w:rPr>
          <w:rFonts w:ascii="Times New Roman" w:cs="Times New Roman" w:eastAsia="Times New Roman" w:hAnsi="Times New Roman"/>
          <w:sz w:val="22"/>
          <w:szCs w:val="22"/>
          <w:color w:val="auto"/>
        </w:rPr>
      </w:pPr>
    </w:p>
    <w:p>
      <w:pPr>
        <w:ind w:left="920" w:right="20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 (c) The Fund is principally engaged in the business of investing in securities. The principal business address of the Fund is 12 East 49th Street, 40th Floor, New York, NY 10017. The General Partner is principally engaged in the business of serving as general partner and/or managing member to private investment vehicles, including the Fund. The principal business address of the General Partner is 12 East 49th Street, 40th Floor, New York, NY 10017. The</w:t>
      </w:r>
    </w:p>
    <w:p>
      <w:pPr>
        <w:spacing w:after="0" w:line="1" w:lineRule="exact"/>
        <w:rPr>
          <w:rFonts w:ascii="Times New Roman" w:cs="Times New Roman" w:eastAsia="Times New Roman" w:hAnsi="Times New Roman"/>
          <w:sz w:val="22"/>
          <w:szCs w:val="22"/>
          <w:color w:val="auto"/>
        </w:rPr>
      </w:pPr>
    </w:p>
    <w:p>
      <w:pPr>
        <w:ind w:left="920" w:right="320" w:hanging="912"/>
        <w:spacing w:after="0" w:line="244"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Adviser is an investment adviser registered with the Securities and Exchange Commission (the "SEC") that is principally engaged in the business of providing investment management services to private investment vehicles, including the Fund. The principal business address of the Investment Adviser is 12 East 49th Street, 40th Floor, New York, NY 10017. Mr. Barrett is the owner and managing member of the General Partner and the Investment Adviser. The business address of Mr. Barrett is 12 East 49th Street, 40th Floor, New York, NY 10017.</w:t>
      </w:r>
    </w:p>
    <w:p>
      <w:pPr>
        <w:spacing w:after="0" w:line="17" w:lineRule="exact"/>
        <w:rPr>
          <w:sz w:val="20"/>
          <w:szCs w:val="20"/>
          <w:color w:val="auto"/>
        </w:rPr>
      </w:pPr>
    </w:p>
    <w:p>
      <w:pPr>
        <w:ind w:left="920" w:right="3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have,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have,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Barrett is a citizen of the 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The funds for the purchase of the 4,879,635 Shares beneficially owned by the Fund came from the working capital of the Fund, which is the direct owner of the Shares. The funds for the purchase of the 5,502,004 Shares beneficially owned by the other Reporting Persons (which include the 4,879,635 Shares directly owned by the Fund) came from the working capital of the Fund and other private investment vehicles managed by the Investment Adviser, which are the direct owners of such Shares. No borrowed funds were used to purchase the Shares, other than any borrowed funds used for working capital purposes (including certain leverage arrangements) in the ordinary course of business.</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Reporting Persons originally acquired the Shares for investment purposes. The Reporting Persons have had discussions with certain representatives of the Issuer and management of the Issuer. 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w:t>
      </w:r>
    </w:p>
    <w:p>
      <w:pPr>
        <w:sectPr>
          <w:pgSz w:w="11900" w:h="16838" w:orient="portrait"/>
          <w:cols w:equalWidth="0" w:num="1">
            <w:col w:w="11160"/>
          </w:cols>
          <w:pgMar w:left="360" w:top="110" w:right="379" w:bottom="0" w:gutter="0" w:footer="0" w:header="0"/>
        </w:sectPr>
      </w:pPr>
    </w:p>
    <w:bookmarkStart w:id="5" w:name="page6"/>
    <w:bookmarkEnd w:id="5"/>
    <w:p>
      <w:pPr>
        <w:ind w:left="920" w:right="60"/>
        <w:spacing w:after="0" w:line="255" w:lineRule="auto"/>
        <w:rPr>
          <w:sz w:val="20"/>
          <w:szCs w:val="20"/>
          <w:color w:val="auto"/>
        </w:rPr>
      </w:pPr>
      <w:r>
        <w:rPr>
          <w:rFonts w:ascii="Times New Roman" w:cs="Times New Roman" w:eastAsia="Times New Roman" w:hAnsi="Times New Roman"/>
          <w:sz w:val="21"/>
          <w:szCs w:val="21"/>
          <w:color w:val="auto"/>
        </w:rPr>
        <w:t>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 of the date hereof (i) the Fund may be deemed to be the beneficial owner of 4,879,635 Shares, constituting 9.7%</w:t>
      </w:r>
    </w:p>
    <w:p>
      <w:pPr>
        <w:spacing w:after="0" w:line="14" w:lineRule="exact"/>
        <w:rPr>
          <w:sz w:val="20"/>
          <w:szCs w:val="20"/>
          <w:color w:val="auto"/>
        </w:rPr>
      </w:pPr>
    </w:p>
    <w:p>
      <w:pPr>
        <w:ind w:left="920" w:right="12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of the Shares in the aggregate and (ii) each of the General Partner, the Investment Adviser and Mr. Barrett may be deemed to be the beneficial owner of 5,502,004 Shares, constituting 11% of the Shares in the aggregate, in each case based upon 50,190,124 Shares outstanding at February 13, 2026, as determined based on reports by the Issuer.</w:t>
      </w:r>
    </w:p>
    <w:p>
      <w:pPr>
        <w:spacing w:after="0" w:line="18" w:lineRule="exact"/>
        <w:rPr>
          <w:rFonts w:ascii="Times New Roman" w:cs="Times New Roman" w:eastAsia="Times New Roman" w:hAnsi="Times New Roman"/>
          <w:sz w:val="42"/>
          <w:szCs w:val="42"/>
          <w:color w:val="auto"/>
          <w:vertAlign w:val="subscript"/>
        </w:rPr>
      </w:pPr>
    </w:p>
    <w:p>
      <w:pPr>
        <w:ind w:left="920" w:right="60"/>
        <w:spacing w:after="0" w:line="246"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Fund has the sole power to vote or direct the vote of 0 Shares; has the shared power to vote or direct the vote of 4,879,635 Shares; has the sole power to dispose or direct the disposition of 0 Shares; and has the shared power to dispose or direct the disposition of 4,879,635 Shares. The General Partner has the sole power to vote or direct the vote of 0 Shares; has the shared power to vote or direct the vote of 5,502,004 Shares; has the sole power to dispose or direct the disposition of 0 Shares; and has the shared power to dispose or direct the disposition of 5,502,004 Shares.</w:t>
      </w:r>
    </w:p>
    <w:p>
      <w:pPr>
        <w:spacing w:after="0" w:line="1" w:lineRule="exact"/>
        <w:rPr>
          <w:rFonts w:ascii="Times New Roman" w:cs="Times New Roman" w:eastAsia="Times New Roman" w:hAnsi="Times New Roman"/>
          <w:sz w:val="42"/>
          <w:szCs w:val="42"/>
          <w:color w:val="auto"/>
          <w:vertAlign w:val="subscript"/>
        </w:rPr>
      </w:pPr>
    </w:p>
    <w:p>
      <w:pPr>
        <w:ind w:left="920" w:right="10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has the sole power to vote or direct the vote of 0 Shares; has the shared power to vote or direct the vote of 5,502,004 Shares; has the sole power to dispose or direct the disposition of 0 Shares; and has the shared power to dispose or direct the disposition of 5,502,004 Shares. Mr. Barrett has the sole power to vote or direct the vote of 0 Shares; has the shared power to vote or direct the vote of 5,502,004 Shares; has the sole power to dispose or direct the disposition of 0 Shares; and has the shared power to dispose or direct the disposition of 5,502,004 Shares.</w:t>
      </w:r>
    </w:p>
    <w:p>
      <w:pPr>
        <w:spacing w:after="0" w:line="20"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by the Reporting Persons in the securities of the Issuer during the past sixty days are set forth in Exhibit B. All such transactions were carried out in open market transactions.</w:t>
      </w:r>
    </w:p>
    <w:p>
      <w:pPr>
        <w:spacing w:after="0" w:line="17" w:lineRule="exact"/>
        <w:rPr>
          <w:rFonts w:ascii="Times New Roman" w:cs="Times New Roman" w:eastAsia="Times New Roman" w:hAnsi="Times New Roman"/>
          <w:sz w:val="39"/>
          <w:szCs w:val="39"/>
          <w:color w:val="auto"/>
          <w:vertAlign w:val="subscript"/>
        </w:rPr>
      </w:pPr>
    </w:p>
    <w:p>
      <w:pPr>
        <w:ind w:left="920" w:right="1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no person has the right to receive or the power to direct receipt of dividends from, or the proceeds of sale of, securities covered by Schedule 13D.</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 The Warrants are exercisable, in full or in part, at any time prior to the seventh anniversary of their issuance, at an exercise price of $11.03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 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 The Reporting Persons do not have any contract, arrangement, understanding or relationship with any person with respect to securities of the Issuer that is not described above and/or incorporated herein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51" w:lineRule="auto"/>
        <w:rPr>
          <w:sz w:val="20"/>
          <w:szCs w:val="20"/>
          <w:color w:val="auto"/>
        </w:rPr>
      </w:pPr>
      <w:r>
        <w:rPr>
          <w:rFonts w:ascii="Times New Roman" w:cs="Times New Roman" w:eastAsia="Times New Roman" w:hAnsi="Times New Roman"/>
          <w:sz w:val="21"/>
          <w:szCs w:val="21"/>
          <w:color w:val="auto"/>
        </w:rPr>
        <w:t>Exhibit A: Joint Filing Agreement Exhibit B: Schedule of Transactions in Shares Exhibit C: Securities Purchase Agreement (incorporated by reference to Exhibit 10.1 to the Form 8-K filed with the SEC by the Issuer on December 11, 2019) Exhibit D: Common Stock Purchase Warrant (incorporated by reference to Exhibit 4.1 to the Form 8-K filed with the SEC by the Issuer on December 11, 2019) Exhibit E: Registration Rights Agreement (incorporated by reference to Exhibit 10.2 to the Form 8-K filed with the SEC by the Issuer on December 11, 2019)</w:t>
      </w: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Corre Partners Advisors, LLC, its general</w:t>
      </w:r>
    </w:p>
    <w:p>
      <w:pPr>
        <w:ind w:left="6740"/>
        <w:spacing w:after="0"/>
        <w:rPr>
          <w:sz w:val="20"/>
          <w:szCs w:val="20"/>
          <w:color w:val="auto"/>
        </w:rPr>
      </w:pPr>
      <w:r>
        <w:rPr>
          <w:rFonts w:ascii="Times New Roman" w:cs="Times New Roman" w:eastAsia="Times New Roman" w:hAnsi="Times New Roman"/>
          <w:sz w:val="22"/>
          <w:szCs w:val="22"/>
          <w:color w:val="auto"/>
        </w:rPr>
        <w:t>partner, /s/ John Barrett</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John Barrett/Managing Member</w:t>
      </w:r>
    </w:p>
    <w:p>
      <w:pPr>
        <w:sectPr>
          <w:pgSz w:w="11900" w:h="16838" w:orient="portrait"/>
          <w:cols w:equalWidth="0" w:num="1">
            <w:col w:w="11140"/>
          </w:cols>
          <w:pgMar w:left="360" w:top="111" w:right="399" w:bottom="0" w:gutter="0" w:footer="0" w:header="0"/>
        </w:sectPr>
      </w:pPr>
    </w:p>
    <w:bookmarkStart w:id="6" w:name="page7"/>
    <w:bookmarkEnd w:id="6"/>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152"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Corre Partners Advisors, LLC*, /s/ John Barrett</w:t>
      </w:r>
    </w:p>
    <w:p>
      <w:pPr>
        <w:spacing w:after="0" w:line="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Name/Title: John Barrett/Managing Member</w:t>
      </w:r>
    </w:p>
    <w:p>
      <w:pPr>
        <w:spacing w:after="0" w:line="44" w:lineRule="exact"/>
        <w:rPr>
          <w:sz w:val="20"/>
          <w:szCs w:val="20"/>
          <w:color w:val="auto"/>
        </w:rPr>
      </w:pPr>
    </w:p>
    <w:p>
      <w:pPr>
        <w:ind w:left="542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Corre Partners Management, LLC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Corre Partners Management, LLC*, /s/ John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Barrett</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John Barrett/Managing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John Barrett</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Barrett*</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John Barrett</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12" w:lineRule="exact"/>
        <w:rPr>
          <w:sz w:val="20"/>
          <w:szCs w:val="20"/>
          <w:color w:val="auto"/>
        </w:rPr>
      </w:pPr>
    </w:p>
    <w:p>
      <w:pPr>
        <w:jc w:val="right"/>
        <w:spacing w:after="0" w:line="205"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 The Reporting Person disclaims beneficial ownership of the reported securities except to the extent of his or its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pecuniary interests therein, and this report shall not be deemed an admission that such person is the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owner of these securities for purposes of Section 16 of the U.S. Securities Exchange Act of 1934, as amended, or for any other purpose. Attention: Intentional misstatements or omissions of fact constitute Federal criminal</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violations (see 18 U.S.C. 1001).</w:t>
      </w:r>
    </w:p>
    <w:p>
      <w:pPr>
        <w:sectPr>
          <w:pgSz w:w="11900" w:h="16838" w:orient="portrait"/>
          <w:cols w:equalWidth="0" w:num="1">
            <w:col w:w="11160"/>
          </w:cols>
          <w:pgMar w:left="360" w:top="111" w:right="3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April 21, 2026, relating to the common stock, par value $0.01 per share, of NN, Inc. shall be filed on behalf of the undersigned.</w:t>
      </w:r>
    </w:p>
    <w:p>
      <w:pPr>
        <w:spacing w:after="0" w:line="200" w:lineRule="exact"/>
        <w:rPr>
          <w:sz w:val="20"/>
          <w:szCs w:val="20"/>
          <w:color w:val="auto"/>
        </w:rPr>
      </w:pPr>
    </w:p>
    <w:p>
      <w:pPr>
        <w:spacing w:after="0" w:line="2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-13970</wp:posOffset>
            </wp:positionV>
            <wp:extent cx="13449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By: Corre Partners Advisors, LLC, its general partner</w:t>
      </w: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u w:val="single" w:color="auto"/>
          <w:color w:val="auto"/>
        </w:rPr>
        <w:t>s/ John Barrett</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 John Barrett</w:t>
      </w:r>
    </w:p>
    <w:p>
      <w:pPr>
        <w:ind w:left="56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Barrett</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 John Barrett</w:t>
      </w:r>
    </w:p>
    <w:p>
      <w:pPr>
        <w:ind w:left="56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Barrett</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 John Barrett</w:t>
      </w:r>
    </w:p>
    <w:p>
      <w:pPr>
        <w:ind w:left="56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John Barrett</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/s/ John Barrett</w:t>
      </w:r>
    </w:p>
    <w:p>
      <w:pPr>
        <w:sectPr>
          <w:pgSz w:w="11900" w:h="16838" w:orient="portrait"/>
          <w:cols w:equalWidth="0" w:num="1">
            <w:col w:w="11240"/>
          </w:cols>
          <w:pgMar w:left="320" w:top="355" w:right="339" w:bottom="1440" w:gutter="0" w:footer="0" w:header="0"/>
        </w:sectPr>
      </w:pPr>
    </w:p>
    <w:bookmarkStart w:id="8" w:name="page9"/>
    <w:bookmarkEnd w:id="8"/>
    <w:tbl>
      <w:tblPr>
        <w:tblLayout w:type="fixed"/>
        <w:tblInd w:w="92" w:type="dxa"/>
        <w:tblCellMar>
          <w:top w:w="0" w:type="dxa"/>
          <w:left w:w="0" w:type="dxa"/>
          <w:bottom w:w="0" w:type="dxa"/>
          <w:right w:w="0" w:type="dxa"/>
        </w:tblCellMar>
      </w:tblPr>
      <w:tr>
        <w:trPr>
          <w:trHeight w:val="282"/>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w w:val="96"/>
              </w:rPr>
              <w:t>Exhibit B</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0" w:type="dxa"/>
            <w:vAlign w:val="bottom"/>
            <w:gridSpan w:val="6"/>
          </w:tcPr>
          <w:p>
            <w:pPr>
              <w:ind w:left="240"/>
              <w:spacing w:after="0"/>
              <w:rPr>
                <w:sz w:val="20"/>
                <w:szCs w:val="20"/>
                <w:color w:val="auto"/>
              </w:rPr>
            </w:pPr>
            <w:r>
              <w:rPr>
                <w:rFonts w:ascii="Times New Roman" w:cs="Times New Roman" w:eastAsia="Times New Roman" w:hAnsi="Times New Roman"/>
                <w:sz w:val="22"/>
                <w:szCs w:val="22"/>
                <w:b w:val="1"/>
                <w:bCs w:val="1"/>
                <w:color w:val="auto"/>
              </w:rPr>
              <w:t>Schedule of Transactions in Shares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60" w:type="dxa"/>
            <w:vAlign w:val="bottom"/>
          </w:tcPr>
          <w:p>
            <w:pPr>
              <w:spacing w:after="0"/>
              <w:rPr>
                <w:sz w:val="24"/>
                <w:szCs w:val="2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Date of Transaction</w:t>
            </w:r>
          </w:p>
        </w:tc>
        <w:tc>
          <w:tcPr>
            <w:tcW w:w="1340" w:type="dxa"/>
            <w:vAlign w:val="bottom"/>
          </w:tcPr>
          <w:p>
            <w:pPr>
              <w:spacing w:after="0"/>
              <w:rPr>
                <w:sz w:val="24"/>
                <w:szCs w:val="24"/>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Title of Class</w:t>
            </w:r>
          </w:p>
        </w:tc>
        <w:tc>
          <w:tcPr>
            <w:tcW w:w="2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3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5"/>
          </w:tcPr>
          <w:p>
            <w:pPr>
              <w:jc w:val="center"/>
              <w:ind w:right="200"/>
              <w:spacing w:after="0"/>
              <w:rPr>
                <w:sz w:val="20"/>
                <w:szCs w:val="20"/>
                <w:color w:val="auto"/>
              </w:rPr>
            </w:pPr>
            <w:r>
              <w:rPr>
                <w:rFonts w:ascii="Times New Roman" w:cs="Times New Roman" w:eastAsia="Times New Roman" w:hAnsi="Times New Roman"/>
                <w:sz w:val="22"/>
                <w:szCs w:val="22"/>
                <w:color w:val="auto"/>
                <w:w w:val="97"/>
              </w:rPr>
              <w:t>Number of</w:t>
            </w:r>
          </w:p>
        </w:tc>
        <w:tc>
          <w:tcPr>
            <w:tcW w:w="2020" w:type="dxa"/>
            <w:vAlign w:val="bottom"/>
            <w:gridSpan w:val="5"/>
          </w:tcPr>
          <w:p>
            <w:pPr>
              <w:jc w:val="center"/>
              <w:ind w:left="12"/>
              <w:spacing w:after="0"/>
              <w:rPr>
                <w:sz w:val="20"/>
                <w:szCs w:val="20"/>
                <w:color w:val="auto"/>
              </w:rPr>
            </w:pPr>
            <w:r>
              <w:rPr>
                <w:rFonts w:ascii="Times New Roman" w:cs="Times New Roman" w:eastAsia="Times New Roman" w:hAnsi="Times New Roman"/>
                <w:sz w:val="22"/>
                <w:szCs w:val="22"/>
                <w:color w:val="auto"/>
                <w:w w:val="97"/>
              </w:rPr>
              <w:t>Price Per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2440" w:type="dxa"/>
            <w:vAlign w:val="bottom"/>
            <w:gridSpan w:val="2"/>
            <w:vMerge w:val="continue"/>
          </w:tcPr>
          <w:p>
            <w:pPr>
              <w:spacing w:after="0"/>
              <w:rPr>
                <w:sz w:val="19"/>
                <w:szCs w:val="19"/>
                <w:color w:val="auto"/>
              </w:rPr>
            </w:pPr>
          </w:p>
        </w:tc>
        <w:tc>
          <w:tcPr>
            <w:tcW w:w="1560" w:type="dxa"/>
            <w:vAlign w:val="bottom"/>
            <w:gridSpan w:val="4"/>
          </w:tcPr>
          <w:p>
            <w:pPr>
              <w:jc w:val="center"/>
              <w:ind w:right="100"/>
              <w:spacing w:after="0" w:line="223" w:lineRule="exact"/>
              <w:rPr>
                <w:sz w:val="20"/>
                <w:szCs w:val="20"/>
                <w:color w:val="auto"/>
              </w:rPr>
            </w:pPr>
            <w:r>
              <w:rPr>
                <w:rFonts w:ascii="Times New Roman" w:cs="Times New Roman" w:eastAsia="Times New Roman" w:hAnsi="Times New Roman"/>
                <w:sz w:val="22"/>
                <w:szCs w:val="22"/>
                <w:color w:val="auto"/>
                <w:w w:val="97"/>
              </w:rPr>
              <w:t>Shares Acquired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380"/>
              <w:spacing w:after="0" w:line="223" w:lineRule="exact"/>
              <w:rPr>
                <w:sz w:val="20"/>
                <w:szCs w:val="20"/>
                <w:color w:val="auto"/>
              </w:rPr>
            </w:pPr>
            <w:r>
              <w:rPr>
                <w:rFonts w:ascii="Times New Roman" w:cs="Times New Roman" w:eastAsia="Times New Roman" w:hAnsi="Times New Roman"/>
                <w:sz w:val="22"/>
                <w:szCs w:val="22"/>
                <w:color w:val="auto"/>
                <w:w w:val="98"/>
              </w:rPr>
              <w:t>Shares</w:t>
            </w:r>
          </w:p>
        </w:tc>
        <w:tc>
          <w:tcPr>
            <w:tcW w:w="680" w:type="dxa"/>
            <w:vAlign w:val="bottom"/>
          </w:tcPr>
          <w:p>
            <w:pPr>
              <w:spacing w:after="0"/>
              <w:rPr>
                <w:sz w:val="19"/>
                <w:szCs w:val="19"/>
                <w:color w:val="auto"/>
              </w:rPr>
            </w:pPr>
          </w:p>
        </w:tc>
        <w:tc>
          <w:tcPr>
            <w:tcW w:w="1340" w:type="dxa"/>
            <w:vAlign w:val="bottom"/>
            <w:gridSpan w:val="4"/>
          </w:tcPr>
          <w:p>
            <w:pPr>
              <w:jc w:val="center"/>
              <w:ind w:right="560"/>
              <w:spacing w:after="0" w:line="223" w:lineRule="exact"/>
              <w:rPr>
                <w:sz w:val="20"/>
                <w:szCs w:val="20"/>
                <w:color w:val="auto"/>
              </w:rPr>
            </w:pPr>
            <w:r>
              <w:rPr>
                <w:rFonts w:ascii="Times New Roman" w:cs="Times New Roman" w:eastAsia="Times New Roman" w:hAnsi="Times New Roman"/>
                <w:sz w:val="22"/>
                <w:szCs w:val="22"/>
                <w:color w:val="auto"/>
                <w:w w:val="99"/>
              </w:rPr>
              <w:t>Share</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70"/>
              </w:rPr>
              <w:t>Disposed</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20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w w:val="96"/>
              </w:rPr>
              <w:t>4/15/2026</w:t>
            </w:r>
          </w:p>
        </w:tc>
        <w:tc>
          <w:tcPr>
            <w:tcW w:w="260" w:type="dxa"/>
            <w:vAlign w:val="bottom"/>
          </w:tcPr>
          <w:p>
            <w:pPr>
              <w:spacing w:after="0"/>
              <w:rPr>
                <w:sz w:val="24"/>
                <w:szCs w:val="24"/>
                <w:color w:val="auto"/>
              </w:rPr>
            </w:pPr>
          </w:p>
        </w:tc>
        <w:tc>
          <w:tcPr>
            <w:tcW w:w="37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231,067 (1)</w:t>
            </w:r>
          </w:p>
        </w:tc>
        <w:tc>
          <w:tcPr>
            <w:tcW w:w="200" w:type="dxa"/>
            <w:vAlign w:val="bottom"/>
          </w:tcPr>
          <w:p>
            <w:pPr>
              <w:spacing w:after="0"/>
              <w:rPr>
                <w:sz w:val="24"/>
                <w:szCs w:val="24"/>
                <w:color w:val="auto"/>
              </w:rPr>
            </w:pP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$2.0563 (3)</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4/15/2026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84,369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$2.0563 (3)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4/16/2026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29,323 (1)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$2.0411 (4)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4/16/2026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10,707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$2.0411 (4)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4/17/2026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rPr>
              <w:t>255,039 (1)</w:t>
            </w:r>
          </w:p>
        </w:tc>
        <w:tc>
          <w:tcPr>
            <w:tcW w:w="200" w:type="dxa"/>
            <w:vAlign w:val="bottom"/>
          </w:tcPr>
          <w:p>
            <w:pPr>
              <w:spacing w:after="0"/>
              <w:rPr>
                <w:sz w:val="21"/>
                <w:szCs w:val="21"/>
                <w:color w:val="auto"/>
              </w:rPr>
            </w:pPr>
          </w:p>
        </w:tc>
        <w:tc>
          <w:tcPr>
            <w:tcW w:w="1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$2.2939 (5)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right"/>
              <w:ind w:right="1072"/>
              <w:spacing w:after="0" w:line="243" w:lineRule="exact"/>
              <w:rPr>
                <w:sz w:val="20"/>
                <w:szCs w:val="20"/>
                <w:color w:val="auto"/>
              </w:rPr>
            </w:pPr>
            <w:r>
              <w:rPr>
                <w:rFonts w:ascii="Times New Roman" w:cs="Times New Roman" w:eastAsia="Times New Roman" w:hAnsi="Times New Roman"/>
                <w:sz w:val="22"/>
                <w:szCs w:val="22"/>
                <w:color w:val="auto"/>
                <w:w w:val="96"/>
              </w:rPr>
              <w:t>4/17/2026</w:t>
            </w:r>
          </w:p>
        </w:tc>
        <w:tc>
          <w:tcPr>
            <w:tcW w:w="260" w:type="dxa"/>
            <w:vAlign w:val="bottom"/>
          </w:tcPr>
          <w:p>
            <w:pPr>
              <w:spacing w:after="0"/>
              <w:rPr>
                <w:sz w:val="21"/>
                <w:szCs w:val="21"/>
                <w:color w:val="auto"/>
              </w:rPr>
            </w:pPr>
          </w:p>
        </w:tc>
        <w:tc>
          <w:tcPr>
            <w:tcW w:w="378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 per</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93,122 (2)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$2.2939 (5)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share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reported securities are directly owned by the Fund.</w:t>
      </w:r>
    </w:p>
    <w:p>
      <w:pPr>
        <w:spacing w:after="0" w:line="233"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reported securities are directly owned by other clients of the Investment Adviser.</w:t>
      </w:r>
    </w:p>
    <w:p>
      <w:pPr>
        <w:spacing w:after="0" w:line="233" w:lineRule="exact"/>
        <w:rPr>
          <w:rFonts w:ascii="Times New Roman" w:cs="Times New Roman" w:eastAsia="Times New Roman" w:hAnsi="Times New Roman"/>
          <w:sz w:val="22"/>
          <w:szCs w:val="22"/>
          <w:color w:val="auto"/>
        </w:rPr>
      </w:pPr>
    </w:p>
    <w:p>
      <w:pPr>
        <w:jc w:val="both"/>
        <w:ind w:left="-8" w:firstLine="8"/>
        <w:spacing w:after="0" w:line="244" w:lineRule="auto"/>
        <w:tabs>
          <w:tab w:leader="none" w:pos="30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reported is a weighted average price. These Shares were sold in multiple transactions within the range of $2.00 to $2.17.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0" w:lineRule="exact"/>
        <w:rPr>
          <w:rFonts w:ascii="Times New Roman" w:cs="Times New Roman" w:eastAsia="Times New Roman" w:hAnsi="Times New Roman"/>
          <w:sz w:val="22"/>
          <w:szCs w:val="22"/>
          <w:color w:val="auto"/>
        </w:rPr>
      </w:pPr>
    </w:p>
    <w:p>
      <w:pPr>
        <w:jc w:val="both"/>
        <w:ind w:left="-8" w:firstLine="8"/>
        <w:spacing w:after="0" w:line="261" w:lineRule="auto"/>
        <w:tabs>
          <w:tab w:leader="none" w:pos="30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$2.015 to $2.105.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4" w:lineRule="exact"/>
        <w:rPr>
          <w:rFonts w:ascii="Times New Roman" w:cs="Times New Roman" w:eastAsia="Times New Roman" w:hAnsi="Times New Roman"/>
          <w:sz w:val="21"/>
          <w:szCs w:val="21"/>
          <w:color w:val="auto"/>
        </w:rPr>
      </w:pPr>
    </w:p>
    <w:p>
      <w:pPr>
        <w:jc w:val="both"/>
        <w:ind w:left="-8" w:firstLine="8"/>
        <w:spacing w:after="0" w:line="261" w:lineRule="auto"/>
        <w:tabs>
          <w:tab w:leader="none" w:pos="30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reported is a weighted average price. These Shares were sold in multiple transactions within the range of $2.04 to $2.445. The Reporting Persons undertake to provide to the Issuer, any security holder of the Issuer or the staff of the SEC, upon request, full information regarding the number of shares sold at each separate price within the range set forth in this footnote.</w:t>
      </w:r>
    </w:p>
    <w:sectPr>
      <w:pgSz w:w="11900" w:h="16838" w:orient="portrait"/>
      <w:cols w:equalWidth="0" w:num="1">
        <w:col w:w="11232"/>
      </w:cols>
      <w:pgMar w:left="328"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2026-04-21T17:56:08Z</dcterms:created>
  <dcterms:modified xsi:type="dcterms:W3CDTF">2026-04-21T17:56:08Z</dcterms:modified>
</cp:coreProperties>
</file>