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102870</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1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74295</wp:posOffset>
            </wp:positionV>
            <wp:extent cx="2597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CURRENT REPORT</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May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99695</wp:posOffset>
            </wp:positionV>
            <wp:extent cx="2597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160020</wp:posOffset>
            </wp:positionV>
            <wp:extent cx="39433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NN,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52070</wp:posOffset>
            </wp:positionV>
            <wp:extent cx="2597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p>
      <w:pPr>
        <w:spacing w:after="0" w:line="217" w:lineRule="exact"/>
        <w:rPr>
          <w:sz w:val="24"/>
          <w:szCs w:val="24"/>
          <w:color w:val="auto"/>
        </w:rPr>
      </w:pPr>
    </w:p>
    <w:p>
      <w:pPr>
        <w:ind w:left="2020"/>
        <w:spacing w:after="0"/>
        <w:rPr>
          <w:sz w:val="20"/>
          <w:szCs w:val="20"/>
          <w:color w:val="auto"/>
        </w:rPr>
      </w:pPr>
      <w:r>
        <w:rPr>
          <w:rFonts w:ascii="Arial" w:cs="Arial" w:eastAsia="Arial" w:hAnsi="Arial"/>
          <w:sz w:val="16"/>
          <w:szCs w:val="16"/>
          <w:b w:val="1"/>
          <w:bCs w:val="1"/>
          <w:color w:val="auto"/>
        </w:rPr>
        <w:t>Delaware</w:t>
      </w:r>
    </w:p>
    <w:p>
      <w:pPr>
        <w:spacing w:after="0" w:line="36" w:lineRule="exact"/>
        <w:rPr>
          <w:sz w:val="24"/>
          <w:szCs w:val="24"/>
          <w:color w:val="auto"/>
        </w:rPr>
      </w:pPr>
    </w:p>
    <w:p>
      <w:pPr>
        <w:ind w:left="1400"/>
        <w:spacing w:after="0"/>
        <w:rPr>
          <w:sz w:val="20"/>
          <w:szCs w:val="20"/>
          <w:color w:val="auto"/>
        </w:rPr>
      </w:pPr>
      <w:r>
        <w:rPr>
          <w:rFonts w:ascii="Arial" w:cs="Arial" w:eastAsia="Arial" w:hAnsi="Arial"/>
          <w:sz w:val="15"/>
          <w:szCs w:val="15"/>
          <w:i w:val="1"/>
          <w:iCs w:val="1"/>
          <w:color w:val="auto"/>
        </w:rPr>
        <w:t>(State or other jurisdiction of</w:t>
      </w:r>
    </w:p>
    <w:p>
      <w:pPr>
        <w:spacing w:after="0" w:line="4" w:lineRule="exact"/>
        <w:rPr>
          <w:sz w:val="24"/>
          <w:szCs w:val="24"/>
          <w:color w:val="auto"/>
        </w:rPr>
      </w:pPr>
    </w:p>
    <w:p>
      <w:pPr>
        <w:ind w:left="1340"/>
        <w:spacing w:after="0"/>
        <w:rPr>
          <w:sz w:val="20"/>
          <w:szCs w:val="20"/>
          <w:color w:val="auto"/>
        </w:rPr>
      </w:pPr>
      <w:r>
        <w:rPr>
          <w:rFonts w:ascii="Arial" w:cs="Arial" w:eastAsia="Arial" w:hAnsi="Arial"/>
          <w:sz w:val="15"/>
          <w:szCs w:val="15"/>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880"/>
        <w:spacing w:after="0"/>
        <w:rPr>
          <w:sz w:val="20"/>
          <w:szCs w:val="20"/>
          <w:color w:val="auto"/>
        </w:rPr>
      </w:pPr>
      <w:r>
        <w:rPr>
          <w:rFonts w:ascii="Arial" w:cs="Arial" w:eastAsia="Arial" w:hAnsi="Arial"/>
          <w:sz w:val="16"/>
          <w:szCs w:val="16"/>
          <w:b w:val="1"/>
          <w:bCs w:val="1"/>
          <w:color w:val="auto"/>
        </w:rPr>
        <w:t>000-23486</w:t>
      </w:r>
    </w:p>
    <w:p>
      <w:pPr>
        <w:spacing w:after="0" w:line="36" w:lineRule="exact"/>
        <w:rPr>
          <w:sz w:val="24"/>
          <w:szCs w:val="24"/>
          <w:color w:val="auto"/>
        </w:rPr>
      </w:pPr>
    </w:p>
    <w:p>
      <w:pPr>
        <w:jc w:val="center"/>
        <w:ind w:right="920"/>
        <w:spacing w:after="0"/>
        <w:rPr>
          <w:sz w:val="20"/>
          <w:szCs w:val="20"/>
          <w:color w:val="auto"/>
        </w:rPr>
      </w:pPr>
      <w:r>
        <w:rPr>
          <w:rFonts w:ascii="Arial" w:cs="Arial" w:eastAsia="Arial" w:hAnsi="Arial"/>
          <w:sz w:val="14"/>
          <w:szCs w:val="14"/>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600"/>
        <w:spacing w:after="0"/>
        <w:rPr>
          <w:sz w:val="20"/>
          <w:szCs w:val="20"/>
          <w:color w:val="auto"/>
        </w:rPr>
      </w:pPr>
      <w:r>
        <w:rPr>
          <w:rFonts w:ascii="Arial" w:cs="Arial" w:eastAsia="Arial" w:hAnsi="Arial"/>
          <w:sz w:val="16"/>
          <w:szCs w:val="16"/>
          <w:b w:val="1"/>
          <w:bCs w:val="1"/>
          <w:color w:val="auto"/>
        </w:rPr>
        <w:t>62-1096725</w:t>
      </w:r>
    </w:p>
    <w:p>
      <w:pPr>
        <w:spacing w:after="0" w:line="28" w:lineRule="exact"/>
        <w:rPr>
          <w:sz w:val="24"/>
          <w:szCs w:val="24"/>
          <w:color w:val="auto"/>
        </w:rPr>
      </w:pPr>
    </w:p>
    <w:p>
      <w:pPr>
        <w:jc w:val="center"/>
        <w:ind w:right="1600"/>
        <w:spacing w:after="0"/>
        <w:rPr>
          <w:sz w:val="20"/>
          <w:szCs w:val="20"/>
          <w:color w:val="auto"/>
        </w:rPr>
      </w:pPr>
      <w:r>
        <w:rPr>
          <w:rFonts w:ascii="Arial" w:cs="Arial" w:eastAsia="Arial" w:hAnsi="Arial"/>
          <w:sz w:val="16"/>
          <w:szCs w:val="16"/>
          <w:i w:val="1"/>
          <w:iCs w:val="1"/>
          <w:color w:val="auto"/>
        </w:rPr>
        <w:t>(I.R.S. Employer</w:t>
      </w:r>
    </w:p>
    <w:p>
      <w:pPr>
        <w:jc w:val="center"/>
        <w:ind w:right="1600"/>
        <w:spacing w:after="0"/>
        <w:rPr>
          <w:sz w:val="20"/>
          <w:szCs w:val="20"/>
          <w:color w:val="auto"/>
        </w:rPr>
      </w:pPr>
      <w:r>
        <w:rPr>
          <w:rFonts w:ascii="Arial" w:cs="Arial" w:eastAsia="Arial" w:hAnsi="Arial"/>
          <w:sz w:val="15"/>
          <w:szCs w:val="15"/>
          <w:i w:val="1"/>
          <w:iCs w:val="1"/>
          <w:color w:val="auto"/>
        </w:rPr>
        <w:t>Identification Number)</w:t>
      </w:r>
    </w:p>
    <w:p>
      <w:pPr>
        <w:spacing w:after="0" w:line="200" w:lineRule="exact"/>
        <w:rPr>
          <w:sz w:val="24"/>
          <w:szCs w:val="24"/>
          <w:color w:val="auto"/>
        </w:rPr>
      </w:pPr>
    </w:p>
    <w:p>
      <w:pPr>
        <w:sectPr>
          <w:pgSz w:w="11900" w:h="16838" w:orient="portrait"/>
          <w:cols w:equalWidth="0" w:num="3">
            <w:col w:w="4020" w:space="720"/>
            <w:col w:w="2700" w:space="720"/>
            <w:col w:w="3080"/>
          </w:cols>
          <w:pgMar w:left="320" w:top="1295" w:right="339" w:bottom="1440" w:gutter="0" w:footer="0" w:header="0"/>
          <w:type w:val="continuous"/>
        </w:sectPr>
      </w:pPr>
    </w:p>
    <w:p>
      <w:pPr>
        <w:spacing w:after="0" w:line="231" w:lineRule="exact"/>
        <w:rPr>
          <w:sz w:val="24"/>
          <w:szCs w:val="24"/>
          <w:color w:val="auto"/>
        </w:rPr>
      </w:pPr>
    </w:p>
    <w:p>
      <w:pPr>
        <w:jc w:val="center"/>
        <w:ind w:left="440"/>
        <w:spacing w:after="0"/>
        <w:rPr>
          <w:sz w:val="20"/>
          <w:szCs w:val="20"/>
          <w:color w:val="auto"/>
        </w:rPr>
      </w:pPr>
      <w:r>
        <w:rPr>
          <w:rFonts w:ascii="Arial" w:cs="Arial" w:eastAsia="Arial" w:hAnsi="Arial"/>
          <w:sz w:val="14"/>
          <w:szCs w:val="14"/>
          <w:b w:val="1"/>
          <w:bCs w:val="1"/>
          <w:color w:val="auto"/>
        </w:rPr>
        <w:t>6210 Ardrey Kell Road, Suite 600</w:t>
      </w:r>
    </w:p>
    <w:p>
      <w:pPr>
        <w:spacing w:after="0" w:line="109" w:lineRule="exact"/>
        <w:rPr>
          <w:sz w:val="24"/>
          <w:szCs w:val="24"/>
          <w:color w:val="auto"/>
        </w:rPr>
      </w:pPr>
    </w:p>
    <w:p>
      <w:pPr>
        <w:jc w:val="center"/>
        <w:ind w:left="440"/>
        <w:spacing w:after="0"/>
        <w:rPr>
          <w:sz w:val="20"/>
          <w:szCs w:val="20"/>
          <w:color w:val="auto"/>
        </w:rPr>
      </w:pPr>
      <w:r>
        <w:rPr>
          <w:rFonts w:ascii="Arial" w:cs="Arial" w:eastAsia="Arial" w:hAnsi="Arial"/>
          <w:sz w:val="16"/>
          <w:szCs w:val="16"/>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1" w:lineRule="exact"/>
        <w:rPr>
          <w:sz w:val="24"/>
          <w:szCs w:val="24"/>
          <w:color w:val="auto"/>
        </w:rPr>
      </w:pPr>
    </w:p>
    <w:p>
      <w:pPr>
        <w:jc w:val="center"/>
        <w:ind w:right="2780"/>
        <w:spacing w:after="0"/>
        <w:rPr>
          <w:sz w:val="20"/>
          <w:szCs w:val="20"/>
          <w:color w:val="auto"/>
        </w:rPr>
      </w:pPr>
      <w:r>
        <w:rPr>
          <w:rFonts w:ascii="Arial" w:cs="Arial" w:eastAsia="Arial" w:hAnsi="Arial"/>
          <w:sz w:val="15"/>
          <w:szCs w:val="15"/>
          <w:b w:val="1"/>
          <w:bCs w:val="1"/>
          <w:color w:val="auto"/>
        </w:rPr>
        <w:t>28277</w:t>
      </w:r>
    </w:p>
    <w:p>
      <w:pPr>
        <w:spacing w:after="0" w:line="101" w:lineRule="exact"/>
        <w:rPr>
          <w:sz w:val="24"/>
          <w:szCs w:val="24"/>
          <w:color w:val="auto"/>
        </w:rPr>
      </w:pPr>
    </w:p>
    <w:p>
      <w:pPr>
        <w:sectPr>
          <w:pgSz w:w="11900" w:h="16838" w:orient="portrait"/>
          <w:cols w:equalWidth="0" w:num="2">
            <w:col w:w="7320" w:space="720"/>
            <w:col w:w="3200"/>
          </w:cols>
          <w:pgMar w:left="320" w:top="1295" w:right="339" w:bottom="1440" w:gutter="0" w:footer="0" w:header="0"/>
          <w:type w:val="continuous"/>
        </w:sectPr>
      </w:pPr>
    </w:p>
    <w:p>
      <w:pPr>
        <w:jc w:val="center"/>
        <w:ind w:left="600"/>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640"/>
        <w:spacing w:after="0"/>
        <w:rPr>
          <w:sz w:val="20"/>
          <w:szCs w:val="20"/>
          <w:color w:val="auto"/>
        </w:rPr>
      </w:pPr>
      <w:r>
        <w:rPr>
          <w:rFonts w:ascii="Arial" w:cs="Arial" w:eastAsia="Arial" w:hAnsi="Arial"/>
          <w:sz w:val="14"/>
          <w:szCs w:val="14"/>
          <w:i w:val="1"/>
          <w:iCs w:val="1"/>
          <w:color w:val="auto"/>
        </w:rPr>
        <w:t>(Zip Code)</w:t>
      </w:r>
    </w:p>
    <w:p>
      <w:pPr>
        <w:spacing w:after="0" w:line="200" w:lineRule="exact"/>
        <w:rPr>
          <w:sz w:val="24"/>
          <w:szCs w:val="24"/>
          <w:color w:val="auto"/>
        </w:rPr>
      </w:pPr>
    </w:p>
    <w:p>
      <w:pPr>
        <w:sectPr>
          <w:pgSz w:w="11900" w:h="16838" w:orient="portrait"/>
          <w:cols w:equalWidth="0" w:num="2">
            <w:col w:w="7180" w:space="720"/>
            <w:col w:w="3340"/>
          </w:cols>
          <w:pgMar w:left="320" w:top="1295" w:right="339" w:bottom="1440" w:gutter="0" w:footer="0" w:header="0"/>
          <w:type w:val="continuous"/>
        </w:sect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(980) 264-4300</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4"/>
          <w:szCs w:val="14"/>
          <w:i w:val="1"/>
          <w:iCs w:val="1"/>
          <w:color w:val="auto"/>
        </w:rPr>
        <w:t>(Registrant’s telephone number, including area code)</w:t>
      </w:r>
    </w:p>
    <w:p>
      <w:pPr>
        <w:sectPr>
          <w:pgSz w:w="11900" w:h="16838" w:orient="portrait"/>
          <w:cols w:equalWidth="0" w:num="1">
            <w:col w:w="11240"/>
          </w:cols>
          <w:pgMar w:left="320" w:top="1295" w:right="339" w:bottom="1440" w:gutter="0" w:footer="0" w:header="0"/>
          <w:type w:val="continuous"/>
        </w:sectPr>
      </w:pP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32385</wp:posOffset>
            </wp:positionV>
            <wp:extent cx="2125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286"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1295" w:right="339" w:bottom="1440" w:gutter="0" w:footer="0" w:header="0"/>
          <w:type w:val="continuous"/>
        </w:sectPr>
      </w:pPr>
    </w:p>
    <w:p>
      <w:pPr>
        <w:spacing w:after="0" w:line="32" w:lineRule="exact"/>
        <w:rPr>
          <w:sz w:val="24"/>
          <w:szCs w:val="24"/>
          <w:color w:val="auto"/>
        </w:rPr>
      </w:pPr>
    </w:p>
    <w:p>
      <w:pPr>
        <w:ind w:left="1640"/>
        <w:spacing w:after="0"/>
        <w:rPr>
          <w:sz w:val="20"/>
          <w:szCs w:val="20"/>
          <w:color w:val="auto"/>
        </w:rPr>
      </w:pPr>
      <w:r>
        <w:rPr>
          <w:rFonts w:ascii="Arial" w:cs="Arial" w:eastAsia="Arial" w:hAnsi="Arial"/>
          <w:sz w:val="12"/>
          <w:szCs w:val="12"/>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i w:val="1"/>
          <w:iCs w:val="1"/>
          <w:color w:val="auto"/>
        </w:rPr>
        <w:t>Trading symbol</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Name of each exchange on which registered</w:t>
      </w:r>
    </w:p>
    <w:p>
      <w:pPr>
        <w:spacing w:after="0" w:line="47" w:lineRule="exact"/>
        <w:rPr>
          <w:sz w:val="24"/>
          <w:szCs w:val="24"/>
          <w:color w:val="auto"/>
        </w:rPr>
      </w:pPr>
    </w:p>
    <w:p>
      <w:pPr>
        <w:sectPr>
          <w:pgSz w:w="11900" w:h="16838" w:orient="portrait"/>
          <w:cols w:equalWidth="0" w:num="3">
            <w:col w:w="4440" w:space="720"/>
            <w:col w:w="1940" w:space="720"/>
            <w:col w:w="3420"/>
          </w:cols>
          <w:pgMar w:left="320" w:top="1295" w:right="339" w:bottom="1440" w:gutter="0" w:footer="0" w:header="0"/>
          <w:type w:val="continuous"/>
        </w:sectPr>
      </w:pPr>
    </w:p>
    <w:p>
      <w:pPr>
        <w:ind w:left="860"/>
        <w:spacing w:after="0"/>
        <w:rPr>
          <w:sz w:val="20"/>
          <w:szCs w:val="20"/>
          <w:color w:val="auto"/>
        </w:rPr>
      </w:pPr>
      <w:r>
        <w:rPr>
          <w:rFonts w:ascii="Arial" w:cs="Arial" w:eastAsia="Arial" w:hAnsi="Arial"/>
          <w:sz w:val="13"/>
          <w:szCs w:val="13"/>
          <w:b w:val="1"/>
          <w:bCs w:val="1"/>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The Nasdaq Stock Market LLC</w:t>
      </w:r>
    </w:p>
    <w:p>
      <w:pPr>
        <w:spacing w:after="0" w:line="142" w:lineRule="exact"/>
        <w:rPr>
          <w:sz w:val="24"/>
          <w:szCs w:val="24"/>
          <w:color w:val="auto"/>
        </w:rPr>
      </w:pPr>
    </w:p>
    <w:p>
      <w:pPr>
        <w:sectPr>
          <w:pgSz w:w="11900" w:h="16838" w:orient="portrait"/>
          <w:cols w:equalWidth="0" w:num="3">
            <w:col w:w="4680" w:space="720"/>
            <w:col w:w="2000" w:space="720"/>
            <w:col w:w="3120"/>
          </w:cols>
          <w:pgMar w:left="320" w:top="1295" w:right="339" w:bottom="1440" w:gutter="0" w:footer="0" w:header="0"/>
          <w:type w:val="continuous"/>
        </w:sect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3"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382270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type w:val="continuous"/>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12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On May 5, 2022, NN, Inc. (the “Company”) issued a press release announcing the Company’s financial results for the quarter ended March 31, 2022. The full text of the press release is furnished as Exhibit 99.1 and is incorporated herein by reference.</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Pursuant to the rules and regulations of the U.S. Securities and Exchange Commission (the “SEC”), the information furnished pursuant to Item 2.02 of this Current Report on Form 8-K (including Exhibit 99.1) is deemed to have been furnished and shall not be deemed to be “filed” for purposes of Section 18 of the Securities Exchange Act of 1934, as amended,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251"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08" w:lineRule="exact"/>
        <w:rPr>
          <w:sz w:val="20"/>
          <w:szCs w:val="20"/>
          <w:color w:val="auto"/>
        </w:rPr>
      </w:pPr>
    </w:p>
    <w:p>
      <w:pPr>
        <w:ind w:left="440" w:hanging="387"/>
        <w:spacing w:after="0"/>
        <w:tabs>
          <w:tab w:leader="none" w:pos="4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Exhibit</w:t>
      </w:r>
    </w:p>
    <w:p>
      <w:pPr>
        <w:ind w:left="240"/>
        <w:spacing w:after="0"/>
        <w:tabs>
          <w:tab w:leader="none" w:pos="820" w:val="left"/>
        </w:tabs>
        <w:rPr>
          <w:sz w:val="20"/>
          <w:szCs w:val="20"/>
          <w:color w:val="auto"/>
        </w:rPr>
      </w:pPr>
      <w:r>
        <w:rPr>
          <w:rFonts w:ascii="Arial" w:cs="Arial" w:eastAsia="Arial" w:hAnsi="Arial"/>
          <w:sz w:val="14"/>
          <w:szCs w:val="14"/>
          <w:b w:val="1"/>
          <w:bCs w:val="1"/>
          <w:u w:val="single" w:color="auto"/>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p>
    <w:p>
      <w:pPr>
        <w:ind w:left="20"/>
        <w:spacing w:after="0"/>
        <w:tabs>
          <w:tab w:leader="none" w:pos="82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FF"/>
          </w:rPr>
          <w:t>Press Release issued by NN, Inc., dated May 5, 2022</w:t>
        </w:r>
      </w:hyperlink>
    </w:p>
    <w:p>
      <w:pPr>
        <w:spacing w:after="0" w:line="23"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2022</w:t>
      </w:r>
    </w:p>
    <w:p>
      <w:pPr>
        <w:spacing w:after="0" w:line="397" w:lineRule="exact"/>
        <w:rPr>
          <w:sz w:val="20"/>
          <w:szCs w:val="20"/>
          <w:color w:val="auto"/>
        </w:rPr>
      </w:pPr>
    </w:p>
    <w:tbl>
      <w:tblPr>
        <w:tblLayout w:type="fixed"/>
        <w:tblInd w:w="546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r>
              <w:rPr>
                <w:rFonts w:ascii="Arial" w:cs="Arial" w:eastAsia="Arial" w:hAnsi="Arial"/>
                <w:sz w:val="18"/>
                <w:szCs w:val="18"/>
                <w:b w:val="1"/>
                <w:bCs w:val="1"/>
                <w:color w:val="auto"/>
              </w:rPr>
              <w:t>NN, INC.</w:t>
            </w:r>
          </w:p>
        </w:tc>
        <w:tc>
          <w:tcPr>
            <w:tcW w:w="4360" w:type="dxa"/>
            <w:vAlign w:val="bottom"/>
          </w:tcPr>
          <w:p>
            <w:pPr>
              <w:spacing w:after="0"/>
              <w:rPr>
                <w:sz w:val="20"/>
                <w:szCs w:val="20"/>
                <w:color w:val="auto"/>
              </w:rPr>
            </w:pPr>
          </w:p>
        </w:tc>
      </w:tr>
      <w:tr>
        <w:trPr>
          <w:trHeight w:val="499"/>
        </w:trPr>
        <w:tc>
          <w:tcPr>
            <w:tcW w:w="1420" w:type="dxa"/>
            <w:vAlign w:val="bottom"/>
          </w:tcPr>
          <w:p>
            <w:pPr>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C. Felcher</w:t>
            </w:r>
          </w:p>
        </w:tc>
      </w:tr>
      <w:tr>
        <w:trPr>
          <w:trHeight w:val="222"/>
        </w:trPr>
        <w:tc>
          <w:tcPr>
            <w:tcW w:w="1420" w:type="dxa"/>
            <w:vAlign w:val="bottom"/>
          </w:tcPr>
          <w:p>
            <w:pPr>
              <w:spacing w:after="0"/>
              <w:rPr>
                <w:sz w:val="20"/>
                <w:szCs w:val="20"/>
                <w:color w:val="auto"/>
              </w:rPr>
            </w:pPr>
            <w:r>
              <w:rPr>
                <w:rFonts w:ascii="Arial" w:cs="Arial" w:eastAsia="Arial" w:hAnsi="Arial"/>
                <w:sz w:val="18"/>
                <w:szCs w:val="18"/>
                <w:color w:val="auto"/>
              </w:rPr>
              <w:t>Name:</w:t>
            </w:r>
          </w:p>
        </w:tc>
        <w:tc>
          <w:tcPr>
            <w:tcW w:w="4360" w:type="dxa"/>
            <w:vAlign w:val="bottom"/>
          </w:tcPr>
          <w:p>
            <w:pPr>
              <w:ind w:left="20"/>
              <w:spacing w:after="0"/>
              <w:rPr>
                <w:sz w:val="20"/>
                <w:szCs w:val="20"/>
                <w:color w:val="auto"/>
              </w:rPr>
            </w:pPr>
            <w:r>
              <w:rPr>
                <w:rFonts w:ascii="Arial" w:cs="Arial" w:eastAsia="Arial" w:hAnsi="Arial"/>
                <w:sz w:val="18"/>
                <w:szCs w:val="18"/>
                <w:color w:val="auto"/>
              </w:rPr>
              <w:t>Michael C. Felcher</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20"/>
              <w:spacing w:after="0"/>
              <w:rPr>
                <w:sz w:val="20"/>
                <w:szCs w:val="20"/>
                <w:color w:val="auto"/>
              </w:rPr>
            </w:pPr>
            <w:r>
              <w:rPr>
                <w:rFonts w:ascii="Arial" w:cs="Arial" w:eastAsia="Arial" w:hAnsi="Arial"/>
                <w:sz w:val="18"/>
                <w:szCs w:val="18"/>
                <w:color w:val="auto"/>
              </w:rPr>
              <w:t>Senior Vice President - Chief Financial Officer</w:t>
            </w:r>
          </w:p>
        </w:tc>
      </w:tr>
    </w:tbl>
    <w:p>
      <w:pPr>
        <w:sectPr>
          <w:pgSz w:w="11900" w:h="16838" w:orient="portrait"/>
          <w:cols w:equalWidth="0" w:num="1">
            <w:col w:w="11240"/>
          </w:cols>
          <w:pgMar w:left="320" w:top="891" w:right="339" w:bottom="1440" w:gutter="0" w:footer="0" w:header="0"/>
        </w:sectPr>
      </w:pPr>
    </w:p>
    <w:bookmarkStart w:id="3" w:name="page4"/>
    <w:bookmarkEnd w:id="3"/>
    <w:p>
      <w:pPr>
        <w:ind w:left="1014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693420</wp:posOffset>
            </wp:positionV>
            <wp:extent cx="1285875" cy="12598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5875" cy="125984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1010285</wp:posOffset>
            </wp:positionV>
            <wp:extent cx="1928495" cy="617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84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6210 Ardrey Kell Road, Suite 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28277</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NN, INC. REPORTS FINANCIAL RESULTS FOR FIRST QUARTER</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Solid First Quarter Results; Reaffirming 2022 Outlook</w:t>
      </w:r>
    </w:p>
    <w:p>
      <w:pPr>
        <w:spacing w:after="0" w:line="394" w:lineRule="exact"/>
        <w:rPr>
          <w:sz w:val="20"/>
          <w:szCs w:val="20"/>
          <w:color w:val="auto"/>
        </w:rPr>
      </w:pPr>
    </w:p>
    <w:p>
      <w:pPr>
        <w:ind w:right="400"/>
        <w:spacing w:after="0" w:line="286" w:lineRule="auto"/>
        <w:rPr>
          <w:sz w:val="20"/>
          <w:szCs w:val="20"/>
          <w:color w:val="auto"/>
        </w:rPr>
      </w:pPr>
      <w:r>
        <w:rPr>
          <w:rFonts w:ascii="Arial" w:cs="Arial" w:eastAsia="Arial" w:hAnsi="Arial"/>
          <w:sz w:val="20"/>
          <w:szCs w:val="20"/>
          <w:b w:val="1"/>
          <w:bCs w:val="1"/>
          <w:color w:val="auto"/>
        </w:rPr>
        <w:t xml:space="preserve">CHARLOTTE, N.C., May 5, 2022 </w:t>
      </w:r>
      <w:r>
        <w:rPr>
          <w:rFonts w:ascii="Arial" w:cs="Arial" w:eastAsia="Arial" w:hAnsi="Arial"/>
          <w:sz w:val="20"/>
          <w:szCs w:val="20"/>
          <w:color w:val="auto"/>
        </w:rPr>
        <w:t>– NN, Inc. (NASDAQ: NNBR), a diversified industrial company, today reported its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results for the first quarter ended March 31, 2022.</w:t>
      </w:r>
    </w:p>
    <w:p>
      <w:pPr>
        <w:spacing w:after="0" w:line="151"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Warren Veltman, President and Chief Executive Officer, said “I am pleased with our first quarter performance on sales and adjusted EBITDA, and our execution in what remains a challenging operating environment. Our first quarter revenues were up over a strong comparable period in 2021 and up 16% sequentially from the fourth quarter of 2021. This revenue increase was achieved despite the ongoing supply chain challenges affecting our customers and the industries we serve. Part of our strong revenue performance was attributable to our successful negotiations with many customers on pricing to mitigate the inflationary pressures our business has faced. Our sales pipeline continued to grow as we seek to leverage capabilities across Mobile and Power Solutions to target the transformation driven by the adoption of electric vehicles and the evolution of the power grid. As we prepare for our upcoming virtual Investor Day in a couple weeks, we are confident in our strategic direction and focused on delivering increased shareholder value.”</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GAAP Results</w:t>
      </w:r>
    </w:p>
    <w:p>
      <w:pPr>
        <w:spacing w:after="0" w:line="78" w:lineRule="exact"/>
        <w:rPr>
          <w:sz w:val="20"/>
          <w:szCs w:val="20"/>
          <w:color w:val="auto"/>
        </w:rPr>
      </w:pPr>
    </w:p>
    <w:p>
      <w:pPr>
        <w:ind w:right="120"/>
        <w:spacing w:after="0" w:line="232" w:lineRule="auto"/>
        <w:rPr>
          <w:sz w:val="20"/>
          <w:szCs w:val="20"/>
          <w:color w:val="auto"/>
        </w:rPr>
      </w:pPr>
      <w:r>
        <w:rPr>
          <w:rFonts w:ascii="Arial" w:cs="Arial" w:eastAsia="Arial" w:hAnsi="Arial"/>
          <w:sz w:val="20"/>
          <w:szCs w:val="20"/>
          <w:color w:val="auto"/>
        </w:rPr>
        <w:t>Net sales were $128.1 million, an increase of 1.0% from the first quarter of 2021, primarily due to the pass through of increased material and inflationary costs to customers. These increases were partially offset by decreased demand from automotive customers due largely to the ongoing supply chain issues affecting the industry.</w:t>
      </w:r>
    </w:p>
    <w:p>
      <w:pPr>
        <w:spacing w:after="0" w:line="238"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color w:val="auto"/>
        </w:rPr>
        <w:t>Loss from operations was $3.4 million compared to income from operations of $1.0 million in the first quarter of 2021. Loss from operations increased due to variable cost inefficiencies associated with global supply chain interruptions and uneven customer ordering patterns and COVID-19 pandemic related employee absenteeism. In addition, the prior year cost of sales benefited from favorable overhead absorption.</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Income from operations in the Mobile Solutions segment was $2.0 million compared to $6.1 million for the same period in 2021.</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Income from operations for Power Solutions segment was $0.4 million compared to $2.4 million for the same period in 2021.</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25" w:right="339" w:bottom="1440" w:gutter="0" w:footer="0" w:header="0"/>
        </w:sectPr>
      </w:pPr>
    </w:p>
    <w:bookmarkStart w:id="4" w:name="page5"/>
    <w:bookmarkEnd w:id="4"/>
    <w:p>
      <w:pPr>
        <w:ind w:right="300"/>
        <w:spacing w:after="0" w:line="277" w:lineRule="auto"/>
        <w:rPr>
          <w:sz w:val="20"/>
          <w:szCs w:val="20"/>
          <w:color w:val="auto"/>
        </w:rPr>
      </w:pPr>
      <w:r>
        <w:rPr>
          <w:rFonts w:ascii="Arial" w:cs="Arial" w:eastAsia="Arial" w:hAnsi="Arial"/>
          <w:sz w:val="19"/>
          <w:szCs w:val="19"/>
          <w:color w:val="auto"/>
        </w:rPr>
        <w:t>Net loss was $3.3 million compared to a net loss of $4.9 million for the same period in 2021. The decrease in net loss was primarily driven by increased income from the Company’s China joint venture as well as costs associated with the refinancing and interest rate swap termination that occurred in the first quarter of 2021, partially offset by higher income tax expense.</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Adjusted Results</w:t>
      </w:r>
    </w:p>
    <w:p>
      <w:pPr>
        <w:spacing w:after="0" w:line="91" w:lineRule="exact"/>
        <w:rPr>
          <w:sz w:val="20"/>
          <w:szCs w:val="20"/>
          <w:color w:val="auto"/>
        </w:rPr>
      </w:pPr>
    </w:p>
    <w:p>
      <w:pPr>
        <w:ind w:right="100"/>
        <w:spacing w:after="0" w:line="256" w:lineRule="auto"/>
        <w:rPr>
          <w:sz w:val="20"/>
          <w:szCs w:val="20"/>
          <w:color w:val="auto"/>
        </w:rPr>
      </w:pPr>
      <w:r>
        <w:rPr>
          <w:rFonts w:ascii="Arial" w:cs="Arial" w:eastAsia="Arial" w:hAnsi="Arial"/>
          <w:sz w:val="20"/>
          <w:szCs w:val="20"/>
          <w:color w:val="auto"/>
        </w:rPr>
        <w:t>Adjusted income from operations for the first quarter of 2022 was $2.7 million compared to $6.4 million for the same period in 2021. Adjusted EBITDA was $13.4 million, or 10.5% of sales, compared to $16.9 million, or 13.3% of sales, for the same period in 2021. Adjusted net loss was $0.2 million, or $0.00 per diluted share, compared to adjusted net loss of $2.2 million, or $0.05 per diluted share, for the same period in 2020.</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Free cash flow was a use of cash of $9.5 million compared to free cash flow of $2.4 million for the same period in 2021.</w:t>
      </w:r>
    </w:p>
    <w:p>
      <w:pPr>
        <w:spacing w:after="0" w:line="189" w:lineRule="exact"/>
        <w:rPr>
          <w:sz w:val="20"/>
          <w:szCs w:val="20"/>
          <w:color w:val="auto"/>
        </w:rPr>
      </w:pPr>
    </w:p>
    <w:p>
      <w:pPr>
        <w:ind w:right="200"/>
        <w:spacing w:after="0" w:line="268" w:lineRule="auto"/>
        <w:rPr>
          <w:sz w:val="20"/>
          <w:szCs w:val="20"/>
          <w:color w:val="auto"/>
        </w:rPr>
      </w:pPr>
      <w:r>
        <w:rPr>
          <w:rFonts w:ascii="Arial" w:cs="Arial" w:eastAsia="Arial" w:hAnsi="Arial"/>
          <w:sz w:val="20"/>
          <w:szCs w:val="20"/>
          <w:color w:val="auto"/>
        </w:rPr>
        <w:t>"Sales in our Power Solutions business increased year over year as we continue to see recovery and the impact of new business wins, supplemented by pricing actions to recover inflationary costs. Our Mobile Solutions business continued to be affected by the ongoing supply chain issues reducing automotive production schedules. We are taking a proactive approach to inflation, as we have agreed on full protection for material inflation for nearly all customers, and are working to recover other inflationary and volume related impacts. We used approximately $9.5 million of free cash flow during the first quarter of 2022 which was driven by an increase in accounts receivable in line with the sequential increase in sales from the fourth quarter of 2021,” said Veltman.</w:t>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Mobile Solutions</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Net sales for the first quarter of 2022 were $76.1 million compared to $77.8 million in the first quarter of 2021, a decrease of</w:t>
      </w:r>
    </w:p>
    <w:p>
      <w:pPr>
        <w:spacing w:after="0" w:line="13"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2.2% or $1.7 million. The decrease in sales was primarily due to lower customer demand, partially offset by the pass through of increased material and other inflationary costs to customers along with pricing associated with underutilized capacity. Adjusted income from operations was $3.0 million compared to $7.1 million of adjusted income from operations in the first quarter of 2021. Adjusted income from operation decreased primarily due to lower sales volume, higher material and labor costs, and production inefficiencies caused by supply chain interruptions and COVID-19 pandemic related employee absenteeism. In addition, the prior year income from operations benefited by favorable overhead absorption as the result of increases in inventory during the three months ended March 31, 2021.</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Power Solutions</w:t>
      </w:r>
    </w:p>
    <w:p>
      <w:pPr>
        <w:spacing w:after="0" w:line="91"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Net sales for the first quarter of 2022 were $52.0 million compared to $49.1 million in the first quarter of 2021, an increase of 6.0% or $2.9 million. The increase in sales was primarily due to the pass through of increased material costs to customers. Adjusted income from operations was $5.2 million compared to $5.5 million in the first quarter of 2021. The decrease in adjusted income from operations was primarily due to higher selling, general and administrative expenses, partially offset by an increase in favorable overhead absorption.</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2022 Outlook</w:t>
      </w:r>
    </w:p>
    <w:p>
      <w:pPr>
        <w:spacing w:after="0" w:line="28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 in the range of $515 million to $540 million</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EBITDA in the range of $57 million to $63 million</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Free cash flow in the range of $14 million to $20 million</w:t>
      </w:r>
    </w:p>
    <w:p>
      <w:pPr>
        <w:spacing w:after="0" w:line="13"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Free cash flow guidance does not include CARES Act tax refund of ~$10 million due to uncertain timing</w:t>
      </w:r>
    </w:p>
    <w:p>
      <w:pPr>
        <w:sectPr>
          <w:pgSz w:w="11900" w:h="16838" w:orient="portrait"/>
          <w:cols w:equalWidth="0" w:num="1">
            <w:col w:w="11240"/>
          </w:cols>
          <w:pgMar w:left="320" w:top="14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18" w:right="339" w:bottom="1440" w:gutter="0" w:footer="0" w:header="0"/>
          <w:type w:val="continuous"/>
        </w:sectPr>
      </w:pPr>
    </w:p>
    <w:bookmarkStart w:id="5" w:name="page6"/>
    <w:bookmarkEnd w:id="5"/>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91" w:lineRule="exact"/>
        <w:rPr>
          <w:sz w:val="20"/>
          <w:szCs w:val="20"/>
          <w:color w:val="auto"/>
        </w:rPr>
      </w:pPr>
    </w:p>
    <w:p>
      <w:pPr>
        <w:ind w:right="260" w:firstLine="8"/>
        <w:spacing w:after="0" w:line="256" w:lineRule="auto"/>
        <w:tabs>
          <w:tab w:leader="none" w:pos="341" w:val="left"/>
        </w:tabs>
        <w:numPr>
          <w:ilvl w:val="0"/>
          <w:numId w:val="4"/>
        </w:numPr>
        <w:rPr>
          <w:rFonts w:ascii="Arial" w:cs="Arial" w:eastAsia="Arial" w:hAnsi="Arial"/>
          <w:sz w:val="20"/>
          <w:szCs w:val="20"/>
          <w:color w:val="auto"/>
        </w:rPr>
      </w:pPr>
      <w:r>
        <w:rPr>
          <w:rFonts w:ascii="Arial" w:cs="Arial" w:eastAsia="Arial" w:hAnsi="Arial"/>
          <w:sz w:val="20"/>
          <w:szCs w:val="20"/>
          <w:color w:val="auto"/>
        </w:rPr>
        <w:t>will discuss its results during its quarterly investor conference call on May 6, 2022, at 9:00 a.m. ET. The call and supplemental presentation may be accessed via NN's website, www.nninc.com. The conference call can also be accessed by dialing 1-877-317-6789 or 1-412-317-6789, Conference ID: 10164949. For those who are unavailable to listen to the live broadcast, a replay will be available shortly after the call until March 7, 2023.</w:t>
      </w:r>
    </w:p>
    <w:p>
      <w:pPr>
        <w:spacing w:after="0" w:line="166" w:lineRule="exact"/>
        <w:rPr>
          <w:sz w:val="20"/>
          <w:szCs w:val="20"/>
          <w:color w:val="auto"/>
        </w:rPr>
      </w:pPr>
    </w:p>
    <w:p>
      <w:pPr>
        <w:ind w:right="100" w:firstLine="8"/>
        <w:spacing w:after="0" w:line="255" w:lineRule="auto"/>
        <w:tabs>
          <w:tab w:leader="none" w:pos="341" w:val="left"/>
        </w:tabs>
        <w:numPr>
          <w:ilvl w:val="0"/>
          <w:numId w:val="5"/>
        </w:numPr>
        <w:rPr>
          <w:rFonts w:ascii="Arial" w:cs="Arial" w:eastAsia="Arial" w:hAnsi="Arial"/>
          <w:sz w:val="20"/>
          <w:szCs w:val="20"/>
          <w:color w:val="auto"/>
        </w:rPr>
      </w:pPr>
      <w:r>
        <w:rPr>
          <w:rFonts w:ascii="Arial" w:cs="Arial" w:eastAsia="Arial" w:hAnsi="Arial"/>
          <w:sz w:val="20"/>
          <w:szCs w:val="20"/>
          <w:color w:val="auto"/>
        </w:rPr>
        <w:t>discloses in this press release the non-GAAP financial measures of adjusted income (loss) from operations, adjusted EBITDA, adjusted net income (loss), adjusted net income (loss) per diluted common share, and free cash flow. Each of these non-GAAP financial measures provides supplementary information about the impacts of restructuring and integration expense, acquisition and transition expenses, foreign exchange impacts on inter-company loans, amortization of intangibles and deferred financing costs, and other non-operating impacts on our business.</w:t>
      </w:r>
    </w:p>
    <w:p>
      <w:pPr>
        <w:spacing w:after="0" w:line="182"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color w:val="auto"/>
        </w:rPr>
        <w:t>The financial tables found later in this press release include a reconciliation of adjusted income (loss) from operations, adjusted operating margin, adjusted EBITDA, adjusted EBITDA margin, adjusted net income (loss), adjusted net income (loss) per diluted share, and free cash flow to the U.S. GAAP financial measures of income (loss) from operations, net income (loss), net income (loss) per diluted common share, and cash provided (used) by operating activities.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NN, Inc.</w:t>
      </w:r>
    </w:p>
    <w:p>
      <w:pPr>
        <w:spacing w:after="0" w:line="91" w:lineRule="exact"/>
        <w:rPr>
          <w:sz w:val="20"/>
          <w:szCs w:val="20"/>
          <w:color w:val="auto"/>
        </w:rPr>
      </w:pPr>
    </w:p>
    <w:p>
      <w:pPr>
        <w:ind w:right="280"/>
        <w:spacing w:after="0" w:line="277" w:lineRule="auto"/>
        <w:rPr>
          <w:sz w:val="20"/>
          <w:szCs w:val="20"/>
          <w:color w:val="auto"/>
        </w:rPr>
      </w:pPr>
      <w:r>
        <w:rPr>
          <w:rFonts w:ascii="Arial" w:cs="Arial" w:eastAsia="Arial" w:hAnsi="Arial"/>
          <w:sz w:val="19"/>
          <w:szCs w:val="19"/>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31 facilities in North America, Europe, South America, and China.</w:t>
      </w:r>
    </w:p>
    <w:p>
      <w:pPr>
        <w:spacing w:after="0" w:line="12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statements may discuss goals, intentions and expectations as to future trends, plans, events, results of operations or financial condition, or state other information relating to NN, Inc. (“the Company”),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the COVID-19 pandemic on the Company’s financial condition, business operations and liquidity; competitive influences; risks that current customers will commence or increase captive production; risks of capacity underutilization; quality issues; material changes in the costs and availability of raw materials; economic, social, and political instability, currency fluctuation, and other risks of doing business outside of the United States; our dependence on certain major customers, some of whom are not parties to long-term agreements (and/or are terminable on short notice); the impact of acquisitions and divestitures; the level of our indebtedness; the restrictions contained in our debt agreements; our ability to obtain financing at favorable rates, if at all, and to refinance existing debt as it matures; unanticipated difficulties integrating acquisitions; new laws and governmental regulations; the impact of climate change on our operations; cyber liability or potential liability for breaches of our or our service providers’ information technology systems or business operations disruptions; and other risk factors and cautionary statements listed from time-to-time in our periodic reports filed with the Securities and Exchange Commission. We disclaim any obligation to update any such factors or to publicly announce the result of any revisions to any of the forward-looking statements included herein or therein to reflect future events or developments.</w:t>
      </w:r>
    </w:p>
    <w:p>
      <w:pPr>
        <w:spacing w:after="0" w:line="354" w:lineRule="exact"/>
        <w:rPr>
          <w:sz w:val="20"/>
          <w:szCs w:val="20"/>
          <w:color w:val="auto"/>
        </w:rPr>
      </w:pPr>
    </w:p>
    <w:p>
      <w:pPr>
        <w:ind w:right="160"/>
        <w:spacing w:after="0" w:line="238" w:lineRule="auto"/>
        <w:rPr>
          <w:sz w:val="20"/>
          <w:szCs w:val="20"/>
          <w:color w:val="auto"/>
        </w:rPr>
      </w:pPr>
      <w:r>
        <w:rPr>
          <w:rFonts w:ascii="Arial" w:cs="Arial" w:eastAsia="Arial" w:hAnsi="Arial"/>
          <w:sz w:val="16"/>
          <w:szCs w:val="16"/>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2021 and when filed, the Company’s Quarterly Report on Form 10-Q for the three months ended March 31, 2022. Except as required by law, we undertake no obligation to update or revise any forward-looking statements we make in our press releases, whether as a result of new information, future events or otherwise.</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Jeff Tryka, CFA</w:t>
      </w:r>
    </w:p>
    <w:p>
      <w:pPr>
        <w:spacing w:after="0"/>
        <w:rPr>
          <w:sz w:val="20"/>
          <w:szCs w:val="20"/>
          <w:color w:val="auto"/>
        </w:rPr>
      </w:pPr>
      <w:r>
        <w:rPr>
          <w:rFonts w:ascii="Arial" w:cs="Arial" w:eastAsia="Arial" w:hAnsi="Arial"/>
          <w:sz w:val="20"/>
          <w:szCs w:val="20"/>
          <w:color w:val="auto"/>
        </w:rPr>
        <w:t>Investor Relations Contact</w:t>
      </w:r>
    </w:p>
    <w:p>
      <w:pPr>
        <w:spacing w:after="0"/>
        <w:rPr>
          <w:sz w:val="20"/>
          <w:szCs w:val="20"/>
          <w:color w:val="auto"/>
        </w:rPr>
      </w:pPr>
      <w:r>
        <w:rPr>
          <w:rFonts w:ascii="Arial" w:cs="Arial" w:eastAsia="Arial" w:hAnsi="Arial"/>
          <w:sz w:val="20"/>
          <w:szCs w:val="20"/>
          <w:color w:val="auto"/>
        </w:rPr>
        <w:t>jtryka@lambert.com</w:t>
      </w:r>
    </w:p>
    <w:p>
      <w:pPr>
        <w:spacing w:after="0"/>
        <w:rPr>
          <w:sz w:val="20"/>
          <w:szCs w:val="20"/>
          <w:color w:val="auto"/>
        </w:rPr>
      </w:pPr>
      <w:r>
        <w:rPr>
          <w:rFonts w:ascii="Arial" w:cs="Arial" w:eastAsia="Arial" w:hAnsi="Arial"/>
          <w:sz w:val="20"/>
          <w:szCs w:val="20"/>
          <w:color w:val="auto"/>
        </w:rPr>
        <w:t>(616) 258-5766</w:t>
      </w:r>
    </w:p>
    <w:p>
      <w:pPr>
        <w:sectPr>
          <w:pgSz w:w="11900" w:h="16838" w:orient="portrait"/>
          <w:cols w:equalWidth="0" w:num="1">
            <w:col w:w="11240"/>
          </w:cols>
          <w:pgMar w:left="320" w:top="1440" w:right="339" w:bottom="1440" w:gutter="0" w:footer="0" w:header="0"/>
        </w:sectPr>
      </w:pPr>
    </w:p>
    <w:p>
      <w:pPr>
        <w:spacing w:after="0" w:line="229"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40" w:right="339" w:bottom="1440" w:gutter="0" w:footer="0" w:header="0"/>
          <w:type w:val="continuous"/>
        </w:sectPr>
      </w:pPr>
    </w:p>
    <w:bookmarkStart w:id="6" w:name="page7"/>
    <w:bookmarkEnd w:id="6"/>
    <w:p>
      <w:pPr>
        <w:spacing w:after="0" w:line="200" w:lineRule="exact"/>
        <w:rPr>
          <w:sz w:val="20"/>
          <w:szCs w:val="20"/>
          <w:color w:val="auto"/>
        </w:rPr>
      </w:pPr>
    </w:p>
    <w:p>
      <w:pPr>
        <w:spacing w:after="0" w:line="231" w:lineRule="exact"/>
        <w:rPr>
          <w:sz w:val="20"/>
          <w:szCs w:val="20"/>
          <w:color w:val="auto"/>
        </w:rPr>
      </w:pPr>
    </w:p>
    <w:p>
      <w:pPr>
        <w:ind w:left="3480"/>
        <w:spacing w:after="0"/>
        <w:rPr>
          <w:sz w:val="20"/>
          <w:szCs w:val="20"/>
          <w:color w:val="auto"/>
        </w:rPr>
      </w:pPr>
      <w:r>
        <w:rPr>
          <w:rFonts w:ascii="Arial" w:cs="Arial" w:eastAsia="Arial" w:hAnsi="Arial"/>
          <w:sz w:val="20"/>
          <w:szCs w:val="20"/>
          <w:i w:val="1"/>
          <w:iCs w:val="1"/>
          <w:color w:val="auto"/>
        </w:rPr>
        <w:t>Financial Tables Follow</w:t>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120"/>
          </w:cols>
          <w:pgMar w:left="1440" w:top="144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jc w:val="right"/>
              <w:ind w:right="498"/>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8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620" w:type="dxa"/>
            <w:vAlign w:val="bottom"/>
            <w:tcBorders>
              <w:bottom w:val="single" w:sz="8" w:color="BFE4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BFE4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8620" w:type="dxa"/>
            <w:vAlign w:val="bottom"/>
            <w:shd w:val="clear" w:color="auto" w:fill="BFE4FF"/>
          </w:tcPr>
          <w:p>
            <w:pPr>
              <w:ind w:left="360"/>
              <w:spacing w:after="0"/>
              <w:rPr>
                <w:sz w:val="20"/>
                <w:szCs w:val="20"/>
                <w:color w:val="auto"/>
              </w:rPr>
            </w:pPr>
            <w:r>
              <w:rPr>
                <w:rFonts w:ascii="Arial" w:cs="Arial" w:eastAsia="Arial" w:hAnsi="Arial"/>
                <w:sz w:val="16"/>
                <w:szCs w:val="16"/>
                <w:color w:val="auto"/>
              </w:rPr>
              <w:t>Net sales</w:t>
            </w:r>
          </w:p>
        </w:tc>
        <w:tc>
          <w:tcPr>
            <w:tcW w:w="280" w:type="dxa"/>
            <w:vAlign w:val="bottom"/>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128,067</w:t>
            </w:r>
          </w:p>
        </w:tc>
        <w:tc>
          <w:tcPr>
            <w:tcW w:w="100" w:type="dxa"/>
            <w:vAlign w:val="bottom"/>
            <w:shd w:val="clear" w:color="auto" w:fill="BFE4FF"/>
          </w:tcPr>
          <w:p>
            <w:pPr>
              <w:spacing w:after="0"/>
              <w:rPr>
                <w:sz w:val="18"/>
                <w:szCs w:val="18"/>
                <w:color w:val="auto"/>
              </w:rPr>
            </w:pPr>
          </w:p>
        </w:tc>
        <w:tc>
          <w:tcPr>
            <w:tcW w:w="380" w:type="dxa"/>
            <w:vAlign w:val="bottom"/>
            <w:shd w:val="clear" w:color="auto" w:fill="BFE4FF"/>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126,804</w:t>
            </w:r>
          </w:p>
        </w:tc>
        <w:tc>
          <w:tcPr>
            <w:tcW w:w="0" w:type="dxa"/>
            <w:vAlign w:val="bottom"/>
          </w:tcPr>
          <w:p>
            <w:pPr>
              <w:spacing w:after="0"/>
              <w:rPr>
                <w:sz w:val="1"/>
                <w:szCs w:val="1"/>
                <w:color w:val="auto"/>
              </w:rPr>
            </w:pPr>
          </w:p>
        </w:tc>
      </w:tr>
      <w:tr>
        <w:trPr>
          <w:trHeight w:val="213"/>
        </w:trPr>
        <w:tc>
          <w:tcPr>
            <w:tcW w:w="8620" w:type="dxa"/>
            <w:vAlign w:val="bottom"/>
          </w:tcPr>
          <w:p>
            <w:pPr>
              <w:ind w:left="360"/>
              <w:spacing w:after="0"/>
              <w:rPr>
                <w:sz w:val="20"/>
                <w:szCs w:val="20"/>
                <w:color w:val="auto"/>
              </w:rPr>
            </w:pPr>
            <w:r>
              <w:rPr>
                <w:rFonts w:ascii="Arial" w:cs="Arial" w:eastAsia="Arial" w:hAnsi="Arial"/>
                <w:sz w:val="16"/>
                <w:szCs w:val="16"/>
                <w:color w:val="auto"/>
              </w:rPr>
              <w:t>Cost of sales (exclusive of depreciation and amortization shown separately below)</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104,578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99,688</w:t>
            </w:r>
          </w:p>
        </w:tc>
        <w:tc>
          <w:tcPr>
            <w:tcW w:w="0" w:type="dxa"/>
            <w:vAlign w:val="bottom"/>
          </w:tcPr>
          <w:p>
            <w:pPr>
              <w:spacing w:after="0"/>
              <w:rPr>
                <w:sz w:val="1"/>
                <w:szCs w:val="1"/>
                <w:color w:val="auto"/>
              </w:rPr>
            </w:pPr>
          </w:p>
        </w:tc>
      </w:tr>
      <w:tr>
        <w:trPr>
          <w:trHeight w:val="219"/>
        </w:trPr>
        <w:tc>
          <w:tcPr>
            <w:tcW w:w="8620" w:type="dxa"/>
            <w:vAlign w:val="bottom"/>
            <w:shd w:val="clear" w:color="auto" w:fill="BFE4FF"/>
          </w:tcPr>
          <w:p>
            <w:pPr>
              <w:ind w:left="360"/>
              <w:spacing w:after="0"/>
              <w:rPr>
                <w:sz w:val="20"/>
                <w:szCs w:val="20"/>
                <w:color w:val="auto"/>
              </w:rPr>
            </w:pPr>
            <w:r>
              <w:rPr>
                <w:rFonts w:ascii="Arial" w:cs="Arial" w:eastAsia="Arial" w:hAnsi="Arial"/>
                <w:sz w:val="16"/>
                <w:szCs w:val="16"/>
                <w:color w:val="auto"/>
              </w:rPr>
              <w:t>Selling, general, and administrative expense</w:t>
            </w:r>
          </w:p>
        </w:tc>
        <w:tc>
          <w:tcPr>
            <w:tcW w:w="28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13,454</w:t>
            </w:r>
          </w:p>
        </w:tc>
        <w:tc>
          <w:tcPr>
            <w:tcW w:w="100" w:type="dxa"/>
            <w:vAlign w:val="bottom"/>
            <w:shd w:val="clear" w:color="auto" w:fill="BFE4FF"/>
          </w:tcPr>
          <w:p>
            <w:pPr>
              <w:spacing w:after="0"/>
              <w:rPr>
                <w:sz w:val="19"/>
                <w:szCs w:val="19"/>
                <w:color w:val="auto"/>
              </w:rPr>
            </w:pPr>
          </w:p>
        </w:tc>
        <w:tc>
          <w:tcPr>
            <w:tcW w:w="38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14,575</w:t>
            </w:r>
          </w:p>
        </w:tc>
        <w:tc>
          <w:tcPr>
            <w:tcW w:w="0" w:type="dxa"/>
            <w:vAlign w:val="bottom"/>
          </w:tcPr>
          <w:p>
            <w:pPr>
              <w:spacing w:after="0"/>
              <w:rPr>
                <w:sz w:val="1"/>
                <w:szCs w:val="1"/>
                <w:color w:val="auto"/>
              </w:rPr>
            </w:pPr>
          </w:p>
        </w:tc>
      </w:tr>
      <w:tr>
        <w:trPr>
          <w:trHeight w:val="213"/>
        </w:trPr>
        <w:tc>
          <w:tcPr>
            <w:tcW w:w="86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11,429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11,568</w:t>
            </w:r>
          </w:p>
        </w:tc>
        <w:tc>
          <w:tcPr>
            <w:tcW w:w="0" w:type="dxa"/>
            <w:vAlign w:val="bottom"/>
          </w:tcPr>
          <w:p>
            <w:pPr>
              <w:spacing w:after="0"/>
              <w:rPr>
                <w:sz w:val="1"/>
                <w:szCs w:val="1"/>
                <w:color w:val="auto"/>
              </w:rPr>
            </w:pPr>
          </w:p>
        </w:tc>
      </w:tr>
      <w:tr>
        <w:trPr>
          <w:trHeight w:val="219"/>
        </w:trPr>
        <w:tc>
          <w:tcPr>
            <w:tcW w:w="8620" w:type="dxa"/>
            <w:vAlign w:val="bottom"/>
            <w:shd w:val="clear" w:color="auto" w:fill="BFE4FF"/>
          </w:tcPr>
          <w:p>
            <w:pPr>
              <w:ind w:left="360"/>
              <w:spacing w:after="0"/>
              <w:rPr>
                <w:sz w:val="20"/>
                <w:szCs w:val="20"/>
                <w:color w:val="auto"/>
              </w:rPr>
            </w:pPr>
            <w:r>
              <w:rPr>
                <w:rFonts w:ascii="Arial" w:cs="Arial" w:eastAsia="Arial" w:hAnsi="Arial"/>
                <w:sz w:val="16"/>
                <w:szCs w:val="16"/>
                <w:color w:val="auto"/>
              </w:rPr>
              <w:t>Other operating expense (income), net</w:t>
            </w:r>
          </w:p>
        </w:tc>
        <w:tc>
          <w:tcPr>
            <w:tcW w:w="280" w:type="dxa"/>
            <w:vAlign w:val="bottom"/>
            <w:tcBorders>
              <w:bottom w:val="single" w:sz="8" w:color="auto"/>
            </w:tcBorders>
            <w:shd w:val="clear" w:color="auto" w:fill="BFE4FF"/>
          </w:tcPr>
          <w:p>
            <w:pPr>
              <w:spacing w:after="0"/>
              <w:rPr>
                <w:sz w:val="19"/>
                <w:szCs w:val="19"/>
                <w:color w:val="auto"/>
              </w:rPr>
            </w:pPr>
          </w:p>
        </w:tc>
        <w:tc>
          <w:tcPr>
            <w:tcW w:w="9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2,026</w:t>
            </w:r>
          </w:p>
        </w:tc>
        <w:tc>
          <w:tcPr>
            <w:tcW w:w="100" w:type="dxa"/>
            <w:vAlign w:val="bottom"/>
            <w:shd w:val="clear" w:color="auto" w:fill="BFE4FF"/>
          </w:tcPr>
          <w:p>
            <w:pPr>
              <w:spacing w:after="0"/>
              <w:rPr>
                <w:sz w:val="19"/>
                <w:szCs w:val="19"/>
                <w:color w:val="auto"/>
              </w:rPr>
            </w:pPr>
          </w:p>
        </w:tc>
        <w:tc>
          <w:tcPr>
            <w:tcW w:w="380" w:type="dxa"/>
            <w:vAlign w:val="bottom"/>
            <w:tcBorders>
              <w:bottom w:val="single" w:sz="8" w:color="auto"/>
            </w:tcBorders>
            <w:shd w:val="clear" w:color="auto" w:fill="BFE4FF"/>
          </w:tcPr>
          <w:p>
            <w:pPr>
              <w:spacing w:after="0"/>
              <w:rPr>
                <w:sz w:val="19"/>
                <w:szCs w:val="19"/>
                <w:color w:val="auto"/>
              </w:rPr>
            </w:pPr>
          </w:p>
        </w:tc>
        <w:tc>
          <w:tcPr>
            <w:tcW w:w="8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7"/>
        </w:trPr>
        <w:tc>
          <w:tcPr>
            <w:tcW w:w="8620" w:type="dxa"/>
            <w:vAlign w:val="bottom"/>
          </w:tcPr>
          <w:p>
            <w:pPr>
              <w:ind w:left="20"/>
              <w:spacing w:after="0"/>
              <w:rPr>
                <w:sz w:val="20"/>
                <w:szCs w:val="20"/>
                <w:color w:val="auto"/>
              </w:rPr>
            </w:pPr>
            <w:r>
              <w:rPr>
                <w:rFonts w:ascii="Arial" w:cs="Arial" w:eastAsia="Arial" w:hAnsi="Arial"/>
                <w:sz w:val="16"/>
                <w:szCs w:val="16"/>
                <w:color w:val="auto"/>
              </w:rPr>
              <w:t>Income (loss) from operations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(3,420)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978</w:t>
            </w:r>
          </w:p>
        </w:tc>
        <w:tc>
          <w:tcPr>
            <w:tcW w:w="0" w:type="dxa"/>
            <w:vAlign w:val="bottom"/>
          </w:tcPr>
          <w:p>
            <w:pPr>
              <w:spacing w:after="0"/>
              <w:rPr>
                <w:sz w:val="1"/>
                <w:szCs w:val="1"/>
                <w:color w:val="auto"/>
              </w:rPr>
            </w:pPr>
          </w:p>
        </w:tc>
      </w:tr>
      <w:tr>
        <w:trPr>
          <w:trHeight w:val="219"/>
        </w:trPr>
        <w:tc>
          <w:tcPr>
            <w:tcW w:w="8620" w:type="dxa"/>
            <w:vAlign w:val="bottom"/>
            <w:shd w:val="clear" w:color="auto" w:fill="BFE4FF"/>
          </w:tcPr>
          <w:p>
            <w:pPr>
              <w:ind w:left="360"/>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3,439</w:t>
            </w:r>
          </w:p>
        </w:tc>
        <w:tc>
          <w:tcPr>
            <w:tcW w:w="100" w:type="dxa"/>
            <w:vAlign w:val="bottom"/>
            <w:shd w:val="clear" w:color="auto" w:fill="BFE4FF"/>
          </w:tcPr>
          <w:p>
            <w:pPr>
              <w:spacing w:after="0"/>
              <w:rPr>
                <w:sz w:val="19"/>
                <w:szCs w:val="19"/>
                <w:color w:val="auto"/>
              </w:rPr>
            </w:pPr>
          </w:p>
        </w:tc>
        <w:tc>
          <w:tcPr>
            <w:tcW w:w="38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13"/>
        </w:trPr>
        <w:tc>
          <w:tcPr>
            <w:tcW w:w="8620" w:type="dxa"/>
            <w:vAlign w:val="bottom"/>
          </w:tcPr>
          <w:p>
            <w:pPr>
              <w:ind w:left="360"/>
              <w:spacing w:after="0"/>
              <w:rPr>
                <w:sz w:val="20"/>
                <w:szCs w:val="20"/>
                <w:color w:val="auto"/>
              </w:rPr>
            </w:pPr>
            <w:r>
              <w:rPr>
                <w:rFonts w:ascii="Arial" w:cs="Arial" w:eastAsia="Arial" w:hAnsi="Arial"/>
                <w:sz w:val="16"/>
                <w:szCs w:val="16"/>
                <w:color w:val="auto"/>
              </w:rPr>
              <w:t>Loss on extinguishment of debt and write-off of debt issuance costs</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2,390</w:t>
            </w:r>
          </w:p>
        </w:tc>
        <w:tc>
          <w:tcPr>
            <w:tcW w:w="0" w:type="dxa"/>
            <w:vAlign w:val="bottom"/>
          </w:tcPr>
          <w:p>
            <w:pPr>
              <w:spacing w:after="0"/>
              <w:rPr>
                <w:sz w:val="1"/>
                <w:szCs w:val="1"/>
                <w:color w:val="auto"/>
              </w:rPr>
            </w:pPr>
          </w:p>
        </w:tc>
      </w:tr>
      <w:tr>
        <w:trPr>
          <w:trHeight w:val="219"/>
        </w:trPr>
        <w:tc>
          <w:tcPr>
            <w:tcW w:w="8620" w:type="dxa"/>
            <w:vAlign w:val="bottom"/>
            <w:shd w:val="clear" w:color="auto" w:fill="BFE4FF"/>
          </w:tcPr>
          <w:p>
            <w:pPr>
              <w:ind w:left="360"/>
              <w:spacing w:after="0"/>
              <w:rPr>
                <w:sz w:val="20"/>
                <w:szCs w:val="20"/>
                <w:color w:val="auto"/>
              </w:rPr>
            </w:pPr>
            <w:r>
              <w:rPr>
                <w:rFonts w:ascii="Arial" w:cs="Arial" w:eastAsia="Arial" w:hAnsi="Arial"/>
                <w:sz w:val="16"/>
                <w:szCs w:val="16"/>
                <w:color w:val="auto"/>
              </w:rPr>
              <w:t>Derivative payments on interest rate swap</w:t>
            </w:r>
          </w:p>
        </w:tc>
        <w:tc>
          <w:tcPr>
            <w:tcW w:w="280" w:type="dxa"/>
            <w:vAlign w:val="bottom"/>
            <w:shd w:val="clear" w:color="auto" w:fill="BFE4FF"/>
          </w:tcPr>
          <w:p>
            <w:pPr>
              <w:spacing w:after="0"/>
              <w:rPr>
                <w:sz w:val="19"/>
                <w:szCs w:val="19"/>
                <w:color w:val="auto"/>
              </w:rPr>
            </w:pPr>
          </w:p>
        </w:tc>
        <w:tc>
          <w:tcPr>
            <w:tcW w:w="108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1,717</w:t>
            </w:r>
          </w:p>
        </w:tc>
        <w:tc>
          <w:tcPr>
            <w:tcW w:w="0" w:type="dxa"/>
            <w:vAlign w:val="bottom"/>
          </w:tcPr>
          <w:p>
            <w:pPr>
              <w:spacing w:after="0"/>
              <w:rPr>
                <w:sz w:val="1"/>
                <w:szCs w:val="1"/>
                <w:color w:val="auto"/>
              </w:rPr>
            </w:pPr>
          </w:p>
        </w:tc>
      </w:tr>
      <w:tr>
        <w:trPr>
          <w:trHeight w:val="213"/>
        </w:trPr>
        <w:tc>
          <w:tcPr>
            <w:tcW w:w="8620" w:type="dxa"/>
            <w:vAlign w:val="bottom"/>
          </w:tcPr>
          <w:p>
            <w:pPr>
              <w:ind w:left="360"/>
              <w:spacing w:after="0"/>
              <w:rPr>
                <w:sz w:val="20"/>
                <w:szCs w:val="20"/>
                <w:color w:val="auto"/>
              </w:rPr>
            </w:pPr>
            <w:r>
              <w:rPr>
                <w:rFonts w:ascii="Arial" w:cs="Arial" w:eastAsia="Arial" w:hAnsi="Arial"/>
                <w:sz w:val="16"/>
                <w:szCs w:val="16"/>
                <w:color w:val="auto"/>
              </w:rPr>
              <w:t>Loss on interest rate swap</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2,033</w:t>
            </w:r>
          </w:p>
        </w:tc>
        <w:tc>
          <w:tcPr>
            <w:tcW w:w="0" w:type="dxa"/>
            <w:vAlign w:val="bottom"/>
          </w:tcPr>
          <w:p>
            <w:pPr>
              <w:spacing w:after="0"/>
              <w:rPr>
                <w:sz w:val="1"/>
                <w:szCs w:val="1"/>
                <w:color w:val="auto"/>
              </w:rPr>
            </w:pPr>
          </w:p>
        </w:tc>
      </w:tr>
      <w:tr>
        <w:trPr>
          <w:trHeight w:val="219"/>
        </w:trPr>
        <w:tc>
          <w:tcPr>
            <w:tcW w:w="8620" w:type="dxa"/>
            <w:vAlign w:val="bottom"/>
            <w:shd w:val="clear" w:color="auto" w:fill="BFE4FF"/>
          </w:tcPr>
          <w:p>
            <w:pPr>
              <w:ind w:left="360"/>
              <w:spacing w:after="0"/>
              <w:rPr>
                <w:sz w:val="20"/>
                <w:szCs w:val="20"/>
                <w:color w:val="auto"/>
              </w:rPr>
            </w:pPr>
            <w:r>
              <w:rPr>
                <w:rFonts w:ascii="Arial" w:cs="Arial" w:eastAsia="Arial" w:hAnsi="Arial"/>
                <w:sz w:val="16"/>
                <w:szCs w:val="16"/>
                <w:color w:val="auto"/>
              </w:rPr>
              <w:t>Other income, net</w:t>
            </w:r>
          </w:p>
        </w:tc>
        <w:tc>
          <w:tcPr>
            <w:tcW w:w="280" w:type="dxa"/>
            <w:vAlign w:val="bottom"/>
            <w:tcBorders>
              <w:bottom w:val="single" w:sz="8" w:color="auto"/>
            </w:tcBorders>
            <w:shd w:val="clear" w:color="auto" w:fill="BFE4FF"/>
          </w:tcPr>
          <w:p>
            <w:pPr>
              <w:spacing w:after="0"/>
              <w:rPr>
                <w:sz w:val="19"/>
                <w:szCs w:val="19"/>
                <w:color w:val="auto"/>
              </w:rPr>
            </w:pPr>
          </w:p>
        </w:tc>
        <w:tc>
          <w:tcPr>
            <w:tcW w:w="9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(2,996)</w:t>
            </w:r>
          </w:p>
        </w:tc>
        <w:tc>
          <w:tcPr>
            <w:tcW w:w="100" w:type="dxa"/>
            <w:vAlign w:val="bottom"/>
            <w:shd w:val="clear" w:color="auto" w:fill="BFE4FF"/>
          </w:tcPr>
          <w:p>
            <w:pPr>
              <w:spacing w:after="0"/>
              <w:rPr>
                <w:sz w:val="19"/>
                <w:szCs w:val="19"/>
                <w:color w:val="auto"/>
              </w:rPr>
            </w:pPr>
          </w:p>
        </w:tc>
        <w:tc>
          <w:tcPr>
            <w:tcW w:w="380" w:type="dxa"/>
            <w:vAlign w:val="bottom"/>
            <w:tcBorders>
              <w:bottom w:val="single" w:sz="8" w:color="auto"/>
            </w:tcBorders>
            <w:shd w:val="clear" w:color="auto" w:fill="BFE4FF"/>
          </w:tcPr>
          <w:p>
            <w:pPr>
              <w:spacing w:after="0"/>
              <w:rPr>
                <w:sz w:val="19"/>
                <w:szCs w:val="19"/>
                <w:color w:val="auto"/>
              </w:rPr>
            </w:pPr>
          </w:p>
        </w:tc>
        <w:tc>
          <w:tcPr>
            <w:tcW w:w="8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07"/>
        </w:trPr>
        <w:tc>
          <w:tcPr>
            <w:tcW w:w="8620" w:type="dxa"/>
            <w:vAlign w:val="bottom"/>
          </w:tcPr>
          <w:p>
            <w:pPr>
              <w:ind w:left="20"/>
              <w:spacing w:after="0"/>
              <w:rPr>
                <w:sz w:val="20"/>
                <w:szCs w:val="20"/>
                <w:color w:val="auto"/>
              </w:rPr>
            </w:pPr>
            <w:r>
              <w:rPr>
                <w:rFonts w:ascii="Arial" w:cs="Arial" w:eastAsia="Arial" w:hAnsi="Arial"/>
                <w:sz w:val="16"/>
                <w:szCs w:val="16"/>
                <w:color w:val="auto"/>
              </w:rPr>
              <w:t>Loss before benefit (provision) for income taxes and share of net income from joint venture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(3,863)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(7,064)</w:t>
            </w:r>
          </w:p>
        </w:tc>
        <w:tc>
          <w:tcPr>
            <w:tcW w:w="0" w:type="dxa"/>
            <w:vAlign w:val="bottom"/>
          </w:tcPr>
          <w:p>
            <w:pPr>
              <w:spacing w:after="0"/>
              <w:rPr>
                <w:sz w:val="1"/>
                <w:szCs w:val="1"/>
                <w:color w:val="auto"/>
              </w:rPr>
            </w:pPr>
          </w:p>
        </w:tc>
      </w:tr>
      <w:tr>
        <w:trPr>
          <w:trHeight w:val="219"/>
        </w:trPr>
        <w:tc>
          <w:tcPr>
            <w:tcW w:w="8620" w:type="dxa"/>
            <w:vAlign w:val="bottom"/>
            <w:shd w:val="clear" w:color="auto" w:fill="BFE4FF"/>
          </w:tcPr>
          <w:p>
            <w:pPr>
              <w:ind w:left="360"/>
              <w:spacing w:after="0"/>
              <w:rPr>
                <w:sz w:val="20"/>
                <w:szCs w:val="20"/>
                <w:color w:val="auto"/>
              </w:rPr>
            </w:pPr>
            <w:r>
              <w:rPr>
                <w:rFonts w:ascii="Arial" w:cs="Arial" w:eastAsia="Arial" w:hAnsi="Arial"/>
                <w:sz w:val="16"/>
                <w:szCs w:val="16"/>
                <w:color w:val="auto"/>
              </w:rPr>
              <w:t>Benefit (provision) for income taxes</w:t>
            </w:r>
          </w:p>
        </w:tc>
        <w:tc>
          <w:tcPr>
            <w:tcW w:w="28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(1,531)</w:t>
            </w:r>
          </w:p>
        </w:tc>
        <w:tc>
          <w:tcPr>
            <w:tcW w:w="100" w:type="dxa"/>
            <w:vAlign w:val="bottom"/>
            <w:shd w:val="clear" w:color="auto" w:fill="BFE4FF"/>
          </w:tcPr>
          <w:p>
            <w:pPr>
              <w:spacing w:after="0"/>
              <w:rPr>
                <w:sz w:val="19"/>
                <w:szCs w:val="19"/>
                <w:color w:val="auto"/>
              </w:rPr>
            </w:pPr>
          </w:p>
        </w:tc>
        <w:tc>
          <w:tcPr>
            <w:tcW w:w="38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BFE4FF"/>
            </w:tcBorders>
          </w:tcPr>
          <w:p>
            <w:pPr>
              <w:ind w:left="360"/>
              <w:spacing w:after="0"/>
              <w:rPr>
                <w:sz w:val="20"/>
                <w:szCs w:val="20"/>
                <w:color w:val="auto"/>
              </w:rPr>
            </w:pPr>
            <w:r>
              <w:rPr>
                <w:rFonts w:ascii="Arial" w:cs="Arial" w:eastAsia="Arial" w:hAnsi="Arial"/>
                <w:sz w:val="16"/>
                <w:szCs w:val="16"/>
                <w:color w:val="auto"/>
              </w:rPr>
              <w:t>Share of net income from joint venture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2,092</w:t>
            </w:r>
          </w:p>
        </w:tc>
        <w:tc>
          <w:tcPr>
            <w:tcW w:w="100" w:type="dxa"/>
            <w:vAlign w:val="bottom"/>
            <w:tcBorders>
              <w:bottom w:val="single" w:sz="8" w:color="BFE4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1,395</w:t>
            </w:r>
          </w:p>
        </w:tc>
        <w:tc>
          <w:tcPr>
            <w:tcW w:w="0" w:type="dxa"/>
            <w:vAlign w:val="bottom"/>
          </w:tcPr>
          <w:p>
            <w:pPr>
              <w:spacing w:after="0"/>
              <w:rPr>
                <w:sz w:val="1"/>
                <w:szCs w:val="1"/>
                <w:color w:val="auto"/>
              </w:rPr>
            </w:pPr>
          </w:p>
        </w:tc>
      </w:tr>
      <w:tr>
        <w:trPr>
          <w:trHeight w:val="213"/>
        </w:trPr>
        <w:tc>
          <w:tcPr>
            <w:tcW w:w="8620" w:type="dxa"/>
            <w:vAlign w:val="bottom"/>
            <w:shd w:val="clear" w:color="auto" w:fill="BFE4FF"/>
          </w:tcPr>
          <w:p>
            <w:pPr>
              <w:ind w:left="20"/>
              <w:spacing w:after="0"/>
              <w:rPr>
                <w:sz w:val="20"/>
                <w:szCs w:val="20"/>
                <w:color w:val="auto"/>
              </w:rPr>
            </w:pPr>
            <w:r>
              <w:rPr>
                <w:rFonts w:ascii="Arial" w:cs="Arial" w:eastAsia="Arial" w:hAnsi="Arial"/>
                <w:sz w:val="16"/>
                <w:szCs w:val="16"/>
                <w:b w:val="1"/>
                <w:bCs w:val="1"/>
                <w:color w:val="auto"/>
              </w:rPr>
              <w:t>Net loss</w:t>
            </w:r>
          </w:p>
        </w:tc>
        <w:tc>
          <w:tcPr>
            <w:tcW w:w="280" w:type="dxa"/>
            <w:vAlign w:val="bottom"/>
            <w:tcBorders>
              <w:bottom w:val="single" w:sz="8" w:color="auto"/>
            </w:tcBorders>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(3,302)</w:t>
            </w:r>
          </w:p>
        </w:tc>
        <w:tc>
          <w:tcPr>
            <w:tcW w:w="100" w:type="dxa"/>
            <w:vAlign w:val="bottom"/>
            <w:shd w:val="clear" w:color="auto" w:fill="BFE4FF"/>
          </w:tcPr>
          <w:p>
            <w:pPr>
              <w:spacing w:after="0"/>
              <w:rPr>
                <w:sz w:val="18"/>
                <w:szCs w:val="18"/>
                <w:color w:val="auto"/>
              </w:rPr>
            </w:pPr>
          </w:p>
        </w:tc>
        <w:tc>
          <w:tcPr>
            <w:tcW w:w="380" w:type="dxa"/>
            <w:vAlign w:val="bottom"/>
            <w:tcBorders>
              <w:bottom w:val="single" w:sz="8" w:color="auto"/>
            </w:tcBorders>
            <w:shd w:val="clear" w:color="auto" w:fill="BFE4FF"/>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(4,913)</w:t>
            </w:r>
          </w:p>
        </w:tc>
        <w:tc>
          <w:tcPr>
            <w:tcW w:w="0" w:type="dxa"/>
            <w:vAlign w:val="bottom"/>
          </w:tcPr>
          <w:p>
            <w:pPr>
              <w:spacing w:after="0"/>
              <w:rPr>
                <w:sz w:val="1"/>
                <w:szCs w:val="1"/>
                <w:color w:val="auto"/>
              </w:rPr>
            </w:pPr>
          </w:p>
        </w:tc>
      </w:tr>
      <w:tr>
        <w:trPr>
          <w:trHeight w:val="193"/>
        </w:trPr>
        <w:tc>
          <w:tcPr>
            <w:tcW w:w="862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BFE4FF"/>
          </w:tcPr>
          <w:p>
            <w:pPr>
              <w:ind w:left="360"/>
              <w:spacing w:after="0"/>
              <w:rPr>
                <w:sz w:val="20"/>
                <w:szCs w:val="20"/>
                <w:color w:val="auto"/>
              </w:rPr>
            </w:pPr>
            <w:r>
              <w:rPr>
                <w:rFonts w:ascii="Arial" w:cs="Arial" w:eastAsia="Arial" w:hAnsi="Arial"/>
                <w:sz w:val="16"/>
                <w:szCs w:val="16"/>
                <w:color w:val="auto"/>
              </w:rPr>
              <w:t>Foreign currency translation gain (loss)</w:t>
            </w:r>
          </w:p>
        </w:tc>
        <w:tc>
          <w:tcPr>
            <w:tcW w:w="28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2,600</w:t>
            </w:r>
          </w:p>
        </w:tc>
        <w:tc>
          <w:tcPr>
            <w:tcW w:w="100" w:type="dxa"/>
            <w:vAlign w:val="bottom"/>
            <w:shd w:val="clear" w:color="auto" w:fill="BFE4FF"/>
          </w:tcPr>
          <w:p>
            <w:pPr>
              <w:spacing w:after="0"/>
              <w:rPr>
                <w:sz w:val="19"/>
                <w:szCs w:val="19"/>
                <w:color w:val="auto"/>
              </w:rPr>
            </w:pPr>
          </w:p>
        </w:tc>
        <w:tc>
          <w:tcPr>
            <w:tcW w:w="38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(3,347)</w:t>
            </w:r>
          </w:p>
        </w:tc>
        <w:tc>
          <w:tcPr>
            <w:tcW w:w="0" w:type="dxa"/>
            <w:vAlign w:val="bottom"/>
          </w:tcPr>
          <w:p>
            <w:pPr>
              <w:spacing w:after="0"/>
              <w:rPr>
                <w:sz w:val="1"/>
                <w:szCs w:val="1"/>
                <w:color w:val="auto"/>
              </w:rPr>
            </w:pPr>
          </w:p>
        </w:tc>
      </w:tr>
      <w:tr>
        <w:trPr>
          <w:trHeight w:val="213"/>
        </w:trPr>
        <w:tc>
          <w:tcPr>
            <w:tcW w:w="8620" w:type="dxa"/>
            <w:vAlign w:val="bottom"/>
          </w:tcPr>
          <w:p>
            <w:pPr>
              <w:ind w:left="360"/>
              <w:spacing w:after="0"/>
              <w:rPr>
                <w:sz w:val="20"/>
                <w:szCs w:val="20"/>
                <w:color w:val="auto"/>
              </w:rPr>
            </w:pPr>
            <w:r>
              <w:rPr>
                <w:rFonts w:ascii="Arial" w:cs="Arial" w:eastAsia="Arial" w:hAnsi="Arial"/>
                <w:sz w:val="16"/>
                <w:szCs w:val="16"/>
                <w:color w:val="auto"/>
              </w:rPr>
              <w:t>Interest rate swap:</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BFE4FF"/>
          </w:tcPr>
          <w:p>
            <w:pPr>
              <w:ind w:left="560"/>
              <w:spacing w:after="0"/>
              <w:rPr>
                <w:sz w:val="20"/>
                <w:szCs w:val="20"/>
                <w:color w:val="auto"/>
              </w:rPr>
            </w:pPr>
            <w:r>
              <w:rPr>
                <w:rFonts w:ascii="Arial" w:cs="Arial" w:eastAsia="Arial" w:hAnsi="Arial"/>
                <w:sz w:val="16"/>
                <w:szCs w:val="16"/>
                <w:color w:val="auto"/>
              </w:rPr>
              <w:t>Change in fair value, net of tax</w:t>
            </w:r>
          </w:p>
        </w:tc>
        <w:tc>
          <w:tcPr>
            <w:tcW w:w="28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1,187</w:t>
            </w:r>
          </w:p>
        </w:tc>
        <w:tc>
          <w:tcPr>
            <w:tcW w:w="100" w:type="dxa"/>
            <w:vAlign w:val="bottom"/>
            <w:shd w:val="clear" w:color="auto" w:fill="BFE4FF"/>
          </w:tcPr>
          <w:p>
            <w:pPr>
              <w:spacing w:after="0"/>
              <w:rPr>
                <w:sz w:val="19"/>
                <w:szCs w:val="19"/>
                <w:color w:val="auto"/>
              </w:rPr>
            </w:pPr>
          </w:p>
        </w:tc>
        <w:tc>
          <w:tcPr>
            <w:tcW w:w="38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BFE4FF"/>
            </w:tcBorders>
          </w:tcPr>
          <w:p>
            <w:pPr>
              <w:ind w:left="560"/>
              <w:spacing w:after="0"/>
              <w:rPr>
                <w:sz w:val="20"/>
                <w:szCs w:val="20"/>
                <w:color w:val="auto"/>
              </w:rPr>
            </w:pPr>
            <w:r>
              <w:rPr>
                <w:rFonts w:ascii="Arial" w:cs="Arial" w:eastAsia="Arial" w:hAnsi="Arial"/>
                <w:sz w:val="16"/>
                <w:szCs w:val="16"/>
                <w:color w:val="auto"/>
              </w:rPr>
              <w:t>Reclassification adjustment for losses included in net loss, net of tax</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BFE4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2,851</w:t>
            </w:r>
          </w:p>
        </w:tc>
        <w:tc>
          <w:tcPr>
            <w:tcW w:w="0" w:type="dxa"/>
            <w:vAlign w:val="bottom"/>
          </w:tcPr>
          <w:p>
            <w:pPr>
              <w:spacing w:after="0"/>
              <w:rPr>
                <w:sz w:val="1"/>
                <w:szCs w:val="1"/>
                <w:color w:val="auto"/>
              </w:rPr>
            </w:pPr>
          </w:p>
        </w:tc>
      </w:tr>
      <w:tr>
        <w:trPr>
          <w:trHeight w:val="213"/>
        </w:trPr>
        <w:tc>
          <w:tcPr>
            <w:tcW w:w="8620" w:type="dxa"/>
            <w:vAlign w:val="bottom"/>
            <w:shd w:val="clear" w:color="auto" w:fill="BFE4FF"/>
          </w:tcPr>
          <w:p>
            <w:pPr>
              <w:ind w:left="20"/>
              <w:spacing w:after="0"/>
              <w:rPr>
                <w:sz w:val="20"/>
                <w:szCs w:val="20"/>
                <w:color w:val="auto"/>
              </w:rPr>
            </w:pPr>
            <w:r>
              <w:rPr>
                <w:rFonts w:ascii="Arial" w:cs="Arial" w:eastAsia="Arial" w:hAnsi="Arial"/>
                <w:sz w:val="16"/>
                <w:szCs w:val="16"/>
                <w:color w:val="auto"/>
              </w:rPr>
              <w:t>Other comprehensive income (loss)</w:t>
            </w:r>
          </w:p>
        </w:tc>
        <w:tc>
          <w:tcPr>
            <w:tcW w:w="280" w:type="dxa"/>
            <w:vAlign w:val="bottom"/>
            <w:tcBorders>
              <w:bottom w:val="single" w:sz="8" w:color="auto"/>
            </w:tcBorders>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3,821</w:t>
            </w:r>
          </w:p>
        </w:tc>
        <w:tc>
          <w:tcPr>
            <w:tcW w:w="100" w:type="dxa"/>
            <w:vAlign w:val="bottom"/>
            <w:shd w:val="clear" w:color="auto" w:fill="BFE4FF"/>
          </w:tcPr>
          <w:p>
            <w:pPr>
              <w:spacing w:after="0"/>
              <w:rPr>
                <w:sz w:val="18"/>
                <w:szCs w:val="18"/>
                <w:color w:val="auto"/>
              </w:rPr>
            </w:pPr>
          </w:p>
        </w:tc>
        <w:tc>
          <w:tcPr>
            <w:tcW w:w="380" w:type="dxa"/>
            <w:vAlign w:val="bottom"/>
            <w:tcBorders>
              <w:bottom w:val="single" w:sz="8" w:color="auto"/>
            </w:tcBorders>
            <w:shd w:val="clear" w:color="auto" w:fill="BFE4FF"/>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06"/>
        </w:trPr>
        <w:tc>
          <w:tcPr>
            <w:tcW w:w="862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(5,409)</w:t>
            </w:r>
          </w:p>
        </w:tc>
        <w:tc>
          <w:tcPr>
            <w:tcW w:w="0" w:type="dxa"/>
            <w:vAlign w:val="bottom"/>
          </w:tcPr>
          <w:p>
            <w:pPr>
              <w:spacing w:after="0"/>
              <w:rPr>
                <w:sz w:val="1"/>
                <w:szCs w:val="1"/>
                <w:color w:val="auto"/>
              </w:rPr>
            </w:pPr>
          </w:p>
        </w:tc>
      </w:tr>
      <w:tr>
        <w:trPr>
          <w:trHeight w:val="20"/>
        </w:trPr>
        <w:tc>
          <w:tcPr>
            <w:tcW w:w="8620" w:type="dxa"/>
            <w:vAlign w:val="bottom"/>
            <w:tcBorders>
              <w:bottom w:val="single" w:sz="8" w:color="BFE4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620" w:type="dxa"/>
            <w:vAlign w:val="bottom"/>
            <w:shd w:val="clear" w:color="auto" w:fill="BFE4FF"/>
          </w:tcPr>
          <w:p>
            <w:pPr>
              <w:ind w:left="20"/>
              <w:spacing w:after="0"/>
              <w:rPr>
                <w:sz w:val="20"/>
                <w:szCs w:val="20"/>
                <w:color w:val="auto"/>
              </w:rPr>
            </w:pPr>
            <w:r>
              <w:rPr>
                <w:rFonts w:ascii="Arial" w:cs="Arial" w:eastAsia="Arial" w:hAnsi="Arial"/>
                <w:sz w:val="16"/>
                <w:szCs w:val="16"/>
                <w:b w:val="1"/>
                <w:bCs w:val="1"/>
                <w:color w:val="auto"/>
              </w:rPr>
              <w:t>Basic net loss per common share:</w:t>
            </w:r>
          </w:p>
        </w:tc>
        <w:tc>
          <w:tcPr>
            <w:tcW w:w="280" w:type="dxa"/>
            <w:vAlign w:val="bottom"/>
            <w:shd w:val="clear" w:color="auto" w:fill="BFE4FF"/>
          </w:tcPr>
          <w:p>
            <w:pPr>
              <w:spacing w:after="0"/>
              <w:rPr>
                <w:sz w:val="16"/>
                <w:szCs w:val="16"/>
                <w:color w:val="auto"/>
              </w:rPr>
            </w:pPr>
          </w:p>
        </w:tc>
        <w:tc>
          <w:tcPr>
            <w:tcW w:w="98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380" w:type="dxa"/>
            <w:vAlign w:val="bottom"/>
            <w:shd w:val="clear" w:color="auto" w:fill="BFE4FF"/>
          </w:tcPr>
          <w:p>
            <w:pPr>
              <w:spacing w:after="0"/>
              <w:rPr>
                <w:sz w:val="16"/>
                <w:szCs w:val="16"/>
                <w:color w:val="auto"/>
              </w:rPr>
            </w:pPr>
          </w:p>
        </w:tc>
        <w:tc>
          <w:tcPr>
            <w:tcW w:w="880" w:type="dxa"/>
            <w:vAlign w:val="bottom"/>
            <w:shd w:val="clear" w:color="auto" w:fill="BFE4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360"/>
              <w:spacing w:after="0"/>
              <w:rPr>
                <w:sz w:val="20"/>
                <w:szCs w:val="20"/>
                <w:color w:val="auto"/>
              </w:rPr>
            </w:pPr>
            <w:r>
              <w:rPr>
                <w:rFonts w:ascii="Arial" w:cs="Arial" w:eastAsia="Arial" w:hAnsi="Arial"/>
                <w:sz w:val="16"/>
                <w:szCs w:val="16"/>
                <w:color w:val="auto"/>
              </w:rPr>
              <w:t>Net loss per common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(0.46)</w:t>
            </w:r>
          </w:p>
        </w:tc>
        <w:tc>
          <w:tcPr>
            <w:tcW w:w="0" w:type="dxa"/>
            <w:vAlign w:val="bottom"/>
          </w:tcPr>
          <w:p>
            <w:pPr>
              <w:spacing w:after="0"/>
              <w:rPr>
                <w:sz w:val="1"/>
                <w:szCs w:val="1"/>
                <w:color w:val="auto"/>
              </w:rPr>
            </w:pPr>
          </w:p>
        </w:tc>
      </w:tr>
      <w:tr>
        <w:trPr>
          <w:trHeight w:val="20"/>
        </w:trPr>
        <w:tc>
          <w:tcPr>
            <w:tcW w:w="8620" w:type="dxa"/>
            <w:vAlign w:val="bottom"/>
            <w:tcBorders>
              <w:bottom w:val="single" w:sz="8" w:color="BFE4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620" w:type="dxa"/>
            <w:vAlign w:val="bottom"/>
            <w:shd w:val="clear" w:color="auto" w:fill="BFE4FF"/>
          </w:tcPr>
          <w:p>
            <w:pPr>
              <w:ind w:left="360"/>
              <w:spacing w:after="0"/>
              <w:rPr>
                <w:sz w:val="20"/>
                <w:szCs w:val="20"/>
                <w:color w:val="auto"/>
              </w:rPr>
            </w:pPr>
            <w:r>
              <w:rPr>
                <w:rFonts w:ascii="Arial" w:cs="Arial" w:eastAsia="Arial" w:hAnsi="Arial"/>
                <w:sz w:val="16"/>
                <w:szCs w:val="16"/>
                <w:color w:val="auto"/>
              </w:rPr>
              <w:t>Weighted average common shares outstanding</w:t>
            </w:r>
          </w:p>
        </w:tc>
        <w:tc>
          <w:tcPr>
            <w:tcW w:w="280" w:type="dxa"/>
            <w:vAlign w:val="bottom"/>
            <w:shd w:val="clear" w:color="auto" w:fill="BFE4FF"/>
          </w:tcPr>
          <w:p>
            <w:pPr>
              <w:spacing w:after="0"/>
              <w:rPr>
                <w:sz w:val="18"/>
                <w:szCs w:val="18"/>
                <w:color w:val="auto"/>
              </w:rPr>
            </w:pPr>
          </w:p>
        </w:tc>
        <w:tc>
          <w:tcPr>
            <w:tcW w:w="9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44,594</w:t>
            </w:r>
          </w:p>
        </w:tc>
        <w:tc>
          <w:tcPr>
            <w:tcW w:w="100" w:type="dxa"/>
            <w:vAlign w:val="bottom"/>
            <w:shd w:val="clear" w:color="auto" w:fill="BFE4FF"/>
          </w:tcPr>
          <w:p>
            <w:pPr>
              <w:spacing w:after="0"/>
              <w:rPr>
                <w:sz w:val="18"/>
                <w:szCs w:val="18"/>
                <w:color w:val="auto"/>
              </w:rPr>
            </w:pPr>
          </w:p>
        </w:tc>
        <w:tc>
          <w:tcPr>
            <w:tcW w:w="380" w:type="dxa"/>
            <w:vAlign w:val="bottom"/>
            <w:shd w:val="clear" w:color="auto" w:fill="BFE4FF"/>
          </w:tcPr>
          <w:p>
            <w:pPr>
              <w:spacing w:after="0"/>
              <w:rPr>
                <w:sz w:val="18"/>
                <w:szCs w:val="18"/>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42,672</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Arial" w:cs="Arial" w:eastAsia="Arial" w:hAnsi="Arial"/>
                <w:sz w:val="16"/>
                <w:szCs w:val="16"/>
                <w:b w:val="1"/>
                <w:bCs w:val="1"/>
                <w:color w:val="auto"/>
              </w:rPr>
              <w:t>Diluted net loss per common share: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6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6"/>
                <w:szCs w:val="16"/>
                <w:color w:val="auto"/>
              </w:rPr>
              <w:t>Net loss per common share</w:t>
            </w:r>
          </w:p>
        </w:tc>
        <w:tc>
          <w:tcPr>
            <w:tcW w:w="280" w:type="dxa"/>
            <w:vAlign w:val="bottom"/>
            <w:tcBorders>
              <w:bottom w:val="single" w:sz="8" w:color="auto"/>
            </w:tcBorders>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BFE4FF"/>
            </w:tcBorders>
            <w:shd w:val="clear" w:color="auto" w:fill="BFE4FF"/>
          </w:tcPr>
          <w:p>
            <w:pPr>
              <w:spacing w:after="0"/>
              <w:rPr>
                <w:sz w:val="20"/>
                <w:szCs w:val="20"/>
                <w:color w:val="auto"/>
              </w:rPr>
            </w:pPr>
          </w:p>
        </w:tc>
        <w:tc>
          <w:tcPr>
            <w:tcW w:w="380" w:type="dxa"/>
            <w:vAlign w:val="bottom"/>
            <w:tcBorders>
              <w:bottom w:val="single" w:sz="8" w:color="auto"/>
            </w:tcBorders>
            <w:shd w:val="clear" w:color="auto" w:fill="BFE4FF"/>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(0.46)</w:t>
            </w:r>
          </w:p>
        </w:tc>
        <w:tc>
          <w:tcPr>
            <w:tcW w:w="0" w:type="dxa"/>
            <w:vAlign w:val="bottom"/>
          </w:tcPr>
          <w:p>
            <w:pPr>
              <w:spacing w:after="0"/>
              <w:rPr>
                <w:sz w:val="1"/>
                <w:szCs w:val="1"/>
                <w:color w:val="auto"/>
              </w:rPr>
            </w:pPr>
          </w:p>
        </w:tc>
      </w:tr>
      <w:tr>
        <w:trPr>
          <w:trHeight w:val="20"/>
        </w:trPr>
        <w:tc>
          <w:tcPr>
            <w:tcW w:w="8620" w:type="dxa"/>
            <w:vAlign w:val="bottom"/>
            <w:tcBorders>
              <w:top w:val="single" w:sz="8" w:color="BFE4FF"/>
              <w:bottom w:val="single" w:sz="8" w:color="BFE4FF"/>
            </w:tcBorders>
            <w:vMerge w:val="restart"/>
          </w:tcPr>
          <w:p>
            <w:pPr>
              <w:ind w:left="360"/>
              <w:spacing w:after="0"/>
              <w:rPr>
                <w:sz w:val="20"/>
                <w:szCs w:val="20"/>
                <w:color w:val="auto"/>
              </w:rPr>
            </w:pPr>
            <w:r>
              <w:rPr>
                <w:rFonts w:ascii="Arial" w:cs="Arial" w:eastAsia="Arial" w:hAnsi="Arial"/>
                <w:sz w:val="16"/>
                <w:szCs w:val="16"/>
                <w:color w:val="auto"/>
              </w:rPr>
              <w:t>Weighted average common shares outstanding</w:t>
            </w: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98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80" w:type="dxa"/>
            <w:vAlign w:val="bottom"/>
            <w:tcBorders>
              <w:top w:val="single" w:sz="8" w:color="BFE4FF"/>
              <w:bottom w:val="single" w:sz="8" w:color="auto"/>
            </w:tcBorders>
          </w:tcPr>
          <w:p>
            <w:pPr>
              <w:spacing w:after="0" w:line="20" w:lineRule="exact"/>
              <w:rPr>
                <w:sz w:val="1"/>
                <w:szCs w:val="1"/>
                <w:color w:val="auto"/>
              </w:rPr>
            </w:pPr>
          </w:p>
        </w:tc>
        <w:tc>
          <w:tcPr>
            <w:tcW w:w="88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6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44,594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42,672</w:t>
            </w:r>
          </w:p>
        </w:tc>
        <w:tc>
          <w:tcPr>
            <w:tcW w:w="0" w:type="dxa"/>
            <w:vAlign w:val="bottom"/>
          </w:tcPr>
          <w:p>
            <w:pPr>
              <w:spacing w:after="0"/>
              <w:rPr>
                <w:sz w:val="1"/>
                <w:szCs w:val="1"/>
                <w:color w:val="auto"/>
              </w:rPr>
            </w:pPr>
          </w:p>
        </w:tc>
      </w:tr>
      <w:tr>
        <w:trPr>
          <w:trHeight w:val="604"/>
        </w:trPr>
        <w:tc>
          <w:tcPr>
            <w:tcW w:w="8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90" w:right="339" w:bottom="1440" w:gutter="0" w:footer="0" w:header="0"/>
        </w:sectPr>
      </w:pPr>
    </w:p>
    <w:bookmarkStart w:id="8" w:name="page9"/>
    <w:bookmarkEnd w:id="8"/>
    <w:p>
      <w:pPr>
        <w:ind w:left="5300"/>
        <w:spacing w:after="0"/>
        <w:rPr>
          <w:sz w:val="20"/>
          <w:szCs w:val="20"/>
          <w:color w:val="auto"/>
        </w:rPr>
      </w:pPr>
      <w:r>
        <w:rPr>
          <w:rFonts w:ascii="Arial" w:cs="Arial" w:eastAsia="Arial" w:hAnsi="Arial"/>
          <w:sz w:val="18"/>
          <w:szCs w:val="18"/>
          <w:b w:val="1"/>
          <w:bCs w:val="1"/>
          <w:color w:val="auto"/>
        </w:rPr>
        <w:t>NN, Inc.</w:t>
      </w:r>
    </w:p>
    <w:p>
      <w:pPr>
        <w:spacing w:after="0" w:line="5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136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March 31, 2022</w:t>
            </w:r>
          </w:p>
        </w:tc>
        <w:tc>
          <w:tcPr>
            <w:tcW w:w="120" w:type="dxa"/>
            <w:vAlign w:val="bottom"/>
          </w:tcPr>
          <w:p>
            <w:pPr>
              <w:spacing w:after="0"/>
              <w:rPr>
                <w:sz w:val="16"/>
                <w:szCs w:val="16"/>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3"/>
        </w:trPr>
        <w:tc>
          <w:tcPr>
            <w:tcW w:w="8600" w:type="dxa"/>
            <w:vAlign w:val="bottom"/>
            <w:vMerge w:val="continue"/>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8600" w:type="dxa"/>
            <w:vAlign w:val="bottom"/>
            <w:tcBorders>
              <w:top w:val="single" w:sz="8" w:color="BFE4FF"/>
            </w:tcBorders>
            <w:shd w:val="clear" w:color="auto" w:fill="BFE4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top w:val="single" w:sz="8" w:color="auto"/>
            </w:tcBorders>
            <w:shd w:val="clear" w:color="auto" w:fill="BFE4FF"/>
          </w:tcPr>
          <w:p>
            <w:pPr>
              <w:spacing w:after="0"/>
              <w:rPr>
                <w:sz w:val="17"/>
                <w:szCs w:val="17"/>
                <w:color w:val="auto"/>
              </w:rPr>
            </w:pPr>
          </w:p>
        </w:tc>
        <w:tc>
          <w:tcPr>
            <w:tcW w:w="900" w:type="dxa"/>
            <w:vAlign w:val="bottom"/>
            <w:tcBorders>
              <w:top w:val="single" w:sz="8" w:color="auto"/>
            </w:tcBorders>
            <w:shd w:val="clear" w:color="auto" w:fill="BFE4FF"/>
          </w:tcPr>
          <w:p>
            <w:pPr>
              <w:spacing w:after="0"/>
              <w:rPr>
                <w:sz w:val="17"/>
                <w:szCs w:val="17"/>
                <w:color w:val="auto"/>
              </w:rPr>
            </w:pPr>
          </w:p>
        </w:tc>
        <w:tc>
          <w:tcPr>
            <w:tcW w:w="120" w:type="dxa"/>
            <w:vAlign w:val="bottom"/>
            <w:tcBorders>
              <w:top w:val="single" w:sz="8" w:color="BFE4FF"/>
            </w:tcBorders>
            <w:shd w:val="clear" w:color="auto" w:fill="BFE4FF"/>
          </w:tcPr>
          <w:p>
            <w:pPr>
              <w:spacing w:after="0"/>
              <w:rPr>
                <w:sz w:val="17"/>
                <w:szCs w:val="17"/>
                <w:color w:val="auto"/>
              </w:rPr>
            </w:pPr>
          </w:p>
        </w:tc>
        <w:tc>
          <w:tcPr>
            <w:tcW w:w="120" w:type="dxa"/>
            <w:vAlign w:val="bottom"/>
            <w:tcBorders>
              <w:top w:val="single" w:sz="8" w:color="auto"/>
            </w:tcBorders>
            <w:shd w:val="clear" w:color="auto" w:fill="BFE4FF"/>
          </w:tcPr>
          <w:p>
            <w:pPr>
              <w:spacing w:after="0"/>
              <w:rPr>
                <w:sz w:val="17"/>
                <w:szCs w:val="17"/>
                <w:color w:val="auto"/>
              </w:rPr>
            </w:pPr>
          </w:p>
        </w:tc>
        <w:tc>
          <w:tcPr>
            <w:tcW w:w="1140" w:type="dxa"/>
            <w:vAlign w:val="bottom"/>
            <w:tcBorders>
              <w:top w:val="single" w:sz="8" w:color="auto"/>
            </w:tcBorders>
            <w:shd w:val="clear" w:color="auto" w:fill="BFE4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0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BFE4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20,627</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28,656</w:t>
            </w: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89,397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71,419</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Inventories</w:t>
            </w:r>
          </w:p>
        </w:tc>
        <w:tc>
          <w:tcPr>
            <w:tcW w:w="34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81,239</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75,027</w:t>
            </w: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Income tax receivable</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11,055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11,808</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Other current assets</w:t>
            </w:r>
          </w:p>
        </w:tc>
        <w:tc>
          <w:tcPr>
            <w:tcW w:w="340" w:type="dxa"/>
            <w:vAlign w:val="bottom"/>
            <w:tcBorders>
              <w:bottom w:val="single" w:sz="8" w:color="auto"/>
            </w:tcBorders>
            <w:shd w:val="clear" w:color="auto" w:fill="BFE4FF"/>
          </w:tcPr>
          <w:p>
            <w:pPr>
              <w:spacing w:after="0"/>
              <w:rPr>
                <w:sz w:val="19"/>
                <w:szCs w:val="19"/>
                <w:color w:val="auto"/>
              </w:rPr>
            </w:pP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14,989</w:t>
            </w:r>
          </w:p>
        </w:tc>
        <w:tc>
          <w:tcPr>
            <w:tcW w:w="120" w:type="dxa"/>
            <w:vAlign w:val="bottom"/>
            <w:shd w:val="clear" w:color="auto" w:fill="BFE4FF"/>
          </w:tcPr>
          <w:p>
            <w:pPr>
              <w:spacing w:after="0"/>
              <w:rPr>
                <w:sz w:val="19"/>
                <w:szCs w:val="19"/>
                <w:color w:val="auto"/>
              </w:rPr>
            </w:pPr>
          </w:p>
        </w:tc>
        <w:tc>
          <w:tcPr>
            <w:tcW w:w="120" w:type="dxa"/>
            <w:vAlign w:val="bottom"/>
            <w:tcBorders>
              <w:bottom w:val="single" w:sz="8" w:color="auto"/>
            </w:tcBorders>
            <w:shd w:val="clear" w:color="auto" w:fill="BFE4FF"/>
          </w:tcPr>
          <w:p>
            <w:pPr>
              <w:spacing w:after="0"/>
              <w:rPr>
                <w:sz w:val="19"/>
                <w:szCs w:val="19"/>
                <w:color w:val="auto"/>
              </w:rPr>
            </w:pP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9,372</w:t>
            </w:r>
          </w:p>
        </w:tc>
        <w:tc>
          <w:tcPr>
            <w:tcW w:w="0" w:type="dxa"/>
            <w:vAlign w:val="bottom"/>
          </w:tcPr>
          <w:p>
            <w:pPr>
              <w:spacing w:after="0"/>
              <w:rPr>
                <w:sz w:val="1"/>
                <w:szCs w:val="1"/>
                <w:color w:val="auto"/>
              </w:rPr>
            </w:pPr>
          </w:p>
        </w:tc>
      </w:tr>
      <w:tr>
        <w:trPr>
          <w:trHeight w:val="207"/>
        </w:trPr>
        <w:tc>
          <w:tcPr>
            <w:tcW w:w="860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217,307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196,282</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Property, plant and equipment, net</w:t>
            </w:r>
          </w:p>
        </w:tc>
        <w:tc>
          <w:tcPr>
            <w:tcW w:w="34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208,286</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209,105</w:t>
            </w:r>
          </w:p>
        </w:tc>
        <w:tc>
          <w:tcPr>
            <w:tcW w:w="0" w:type="dxa"/>
            <w:vAlign w:val="bottom"/>
          </w:tcPr>
          <w:p>
            <w:pPr>
              <w:spacing w:after="0"/>
              <w:rPr>
                <w:sz w:val="1"/>
                <w:szCs w:val="1"/>
                <w:color w:val="auto"/>
              </w:rPr>
            </w:pPr>
          </w:p>
        </w:tc>
      </w:tr>
      <w:tr>
        <w:trPr>
          <w:trHeight w:val="213"/>
        </w:trPr>
        <w:tc>
          <w:tcPr>
            <w:tcW w:w="8600" w:type="dxa"/>
            <w:vAlign w:val="bottom"/>
          </w:tcPr>
          <w:p>
            <w:pPr>
              <w:ind w:left="140"/>
              <w:spacing w:after="0"/>
              <w:rPr>
                <w:sz w:val="20"/>
                <w:szCs w:val="20"/>
                <w:color w:val="auto"/>
              </w:rPr>
            </w:pPr>
            <w:r>
              <w:rPr>
                <w:rFonts w:ascii="Arial" w:cs="Arial" w:eastAsia="Arial" w:hAnsi="Arial"/>
                <w:sz w:val="16"/>
                <w:szCs w:val="16"/>
                <w:color w:val="auto"/>
              </w:rPr>
              <w:t>Operating lease right-of-use assets</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46,771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46,443</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Intangible assets, net</w:t>
            </w:r>
          </w:p>
        </w:tc>
        <w:tc>
          <w:tcPr>
            <w:tcW w:w="34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85,131</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88,718</w:t>
            </w:r>
          </w:p>
        </w:tc>
        <w:tc>
          <w:tcPr>
            <w:tcW w:w="0" w:type="dxa"/>
            <w:vAlign w:val="bottom"/>
          </w:tcPr>
          <w:p>
            <w:pPr>
              <w:spacing w:after="0"/>
              <w:rPr>
                <w:sz w:val="1"/>
                <w:szCs w:val="1"/>
                <w:color w:val="auto"/>
              </w:rPr>
            </w:pPr>
          </w:p>
        </w:tc>
      </w:tr>
      <w:tr>
        <w:trPr>
          <w:trHeight w:val="213"/>
        </w:trPr>
        <w:tc>
          <w:tcPr>
            <w:tcW w:w="8600" w:type="dxa"/>
            <w:vAlign w:val="bottom"/>
          </w:tcPr>
          <w:p>
            <w:pPr>
              <w:ind w:left="140"/>
              <w:spacing w:after="0"/>
              <w:rPr>
                <w:sz w:val="20"/>
                <w:szCs w:val="20"/>
                <w:color w:val="auto"/>
              </w:rPr>
            </w:pPr>
            <w:r>
              <w:rPr>
                <w:rFonts w:ascii="Arial" w:cs="Arial" w:eastAsia="Arial" w:hAnsi="Arial"/>
                <w:sz w:val="16"/>
                <w:szCs w:val="16"/>
                <w:color w:val="auto"/>
              </w:rPr>
              <w:t>Investment in joint venture</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32,177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34,045</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Deferred tax assets</w:t>
            </w:r>
          </w:p>
        </w:tc>
        <w:tc>
          <w:tcPr>
            <w:tcW w:w="34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313</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13"/>
        </w:trPr>
        <w:tc>
          <w:tcPr>
            <w:tcW w:w="8600" w:type="dxa"/>
            <w:vAlign w:val="bottom"/>
            <w:tcBorders>
              <w:bottom w:val="single" w:sz="8" w:color="BFE4FF"/>
            </w:tcBorders>
          </w:tcPr>
          <w:p>
            <w:pPr>
              <w:ind w:left="140"/>
              <w:spacing w:after="0"/>
              <w:rPr>
                <w:sz w:val="20"/>
                <w:szCs w:val="20"/>
                <w:color w:val="auto"/>
              </w:rPr>
            </w:pPr>
            <w:r>
              <w:rPr>
                <w:rFonts w:ascii="Arial" w:cs="Arial" w:eastAsia="Arial" w:hAnsi="Arial"/>
                <w:sz w:val="16"/>
                <w:szCs w:val="16"/>
                <w:color w:val="auto"/>
              </w:rPr>
              <w:t>Other non-current assets</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5,863</w:t>
            </w:r>
          </w:p>
        </w:tc>
        <w:tc>
          <w:tcPr>
            <w:tcW w:w="120" w:type="dxa"/>
            <w:vAlign w:val="bottom"/>
            <w:tcBorders>
              <w:bottom w:val="single" w:sz="8" w:color="BFE4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4,194</w:t>
            </w:r>
          </w:p>
        </w:tc>
        <w:tc>
          <w:tcPr>
            <w:tcW w:w="0" w:type="dxa"/>
            <w:vAlign w:val="bottom"/>
          </w:tcPr>
          <w:p>
            <w:pPr>
              <w:spacing w:after="0"/>
              <w:rPr>
                <w:sz w:val="1"/>
                <w:szCs w:val="1"/>
                <w:color w:val="auto"/>
              </w:rPr>
            </w:pPr>
          </w:p>
        </w:tc>
      </w:tr>
      <w:tr>
        <w:trPr>
          <w:trHeight w:val="235"/>
        </w:trPr>
        <w:tc>
          <w:tcPr>
            <w:tcW w:w="86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shd w:val="clear" w:color="auto" w:fill="BFE4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595,848</w:t>
            </w:r>
          </w:p>
        </w:tc>
        <w:tc>
          <w:tcPr>
            <w:tcW w:w="120" w:type="dxa"/>
            <w:vAlign w:val="bottom"/>
            <w:tcBorders>
              <w:bottom w:val="single" w:sz="8" w:color="BFE4FF"/>
            </w:tcBorders>
            <w:shd w:val="clear" w:color="auto" w:fill="BFE4FF"/>
          </w:tcPr>
          <w:p>
            <w:pPr>
              <w:spacing w:after="0"/>
              <w:rPr>
                <w:sz w:val="19"/>
                <w:szCs w:val="19"/>
                <w:color w:val="auto"/>
              </w:rPr>
            </w:pPr>
          </w:p>
        </w:tc>
        <w:tc>
          <w:tcPr>
            <w:tcW w:w="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579,101</w:t>
            </w:r>
          </w:p>
        </w:tc>
        <w:tc>
          <w:tcPr>
            <w:tcW w:w="0" w:type="dxa"/>
            <w:vAlign w:val="bottom"/>
          </w:tcPr>
          <w:p>
            <w:pPr>
              <w:spacing w:after="0"/>
              <w:rPr>
                <w:sz w:val="1"/>
                <w:szCs w:val="1"/>
                <w:color w:val="auto"/>
              </w:rPr>
            </w:pPr>
          </w:p>
        </w:tc>
      </w:tr>
      <w:tr>
        <w:trPr>
          <w:trHeight w:val="20"/>
        </w:trPr>
        <w:tc>
          <w:tcPr>
            <w:tcW w:w="8600" w:type="dxa"/>
            <w:vAlign w:val="bottom"/>
            <w:tcBorders>
              <w:top w:val="single" w:sz="8" w:color="BFE4FF"/>
              <w:bottom w:val="single" w:sz="8" w:color="BFE4FF"/>
            </w:tcBorders>
            <w:vMerge w:val="restart"/>
          </w:tcPr>
          <w:p>
            <w:pPr>
              <w:ind w:left="20"/>
              <w:spacing w:after="0"/>
              <w:rPr>
                <w:sz w:val="20"/>
                <w:szCs w:val="20"/>
                <w:color w:val="auto"/>
              </w:rPr>
            </w:pPr>
            <w:r>
              <w:rPr>
                <w:rFonts w:ascii="Arial" w:cs="Arial" w:eastAsia="Arial" w:hAnsi="Arial"/>
                <w:sz w:val="16"/>
                <w:szCs w:val="16"/>
                <w:b w:val="1"/>
                <w:bCs w:val="1"/>
                <w:color w:val="auto"/>
              </w:rPr>
              <w:t>Liabilities, Preferred Stock, and Stockholders’ Equity</w:t>
            </w:r>
          </w:p>
        </w:tc>
        <w:tc>
          <w:tcPr>
            <w:tcW w:w="340" w:type="dxa"/>
            <w:vAlign w:val="bottom"/>
            <w:tcBorders>
              <w:top w:val="single" w:sz="8" w:color="BFE4FF"/>
              <w:bottom w:val="single" w:sz="8" w:color="auto"/>
            </w:tcBorders>
          </w:tcPr>
          <w:p>
            <w:pPr>
              <w:spacing w:after="0" w:line="20" w:lineRule="exact"/>
              <w:rPr>
                <w:sz w:val="1"/>
                <w:szCs w:val="1"/>
                <w:color w:val="auto"/>
              </w:rPr>
            </w:pPr>
          </w:p>
        </w:tc>
        <w:tc>
          <w:tcPr>
            <w:tcW w:w="90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bottom w:val="single" w:sz="8" w:color="auto"/>
            </w:tcBorders>
          </w:tcPr>
          <w:p>
            <w:pPr>
              <w:spacing w:after="0" w:line="20" w:lineRule="exact"/>
              <w:rPr>
                <w:sz w:val="1"/>
                <w:szCs w:val="1"/>
                <w:color w:val="auto"/>
              </w:rPr>
            </w:pPr>
          </w:p>
        </w:tc>
        <w:tc>
          <w:tcPr>
            <w:tcW w:w="114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6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Current liabilities:</w:t>
            </w:r>
          </w:p>
        </w:tc>
        <w:tc>
          <w:tcPr>
            <w:tcW w:w="340" w:type="dxa"/>
            <w:vAlign w:val="bottom"/>
            <w:shd w:val="clear" w:color="auto" w:fill="BFE4FF"/>
          </w:tcPr>
          <w:p>
            <w:pPr>
              <w:spacing w:after="0"/>
              <w:rPr>
                <w:sz w:val="19"/>
                <w:szCs w:val="19"/>
                <w:color w:val="auto"/>
              </w:rPr>
            </w:pPr>
          </w:p>
        </w:tc>
        <w:tc>
          <w:tcPr>
            <w:tcW w:w="9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48,906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36,710</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Accrued salaries, wages and benefits</w:t>
            </w:r>
          </w:p>
        </w:tc>
        <w:tc>
          <w:tcPr>
            <w:tcW w:w="34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20,695</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17,739</w:t>
            </w: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Income tax payable</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2,072</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Current maturities of long-term debt</w:t>
            </w:r>
          </w:p>
        </w:tc>
        <w:tc>
          <w:tcPr>
            <w:tcW w:w="34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3,138</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3,074</w:t>
            </w: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Current portion of operating lease liabilities</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5,704</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Other current liabilities</w:t>
            </w:r>
          </w:p>
        </w:tc>
        <w:tc>
          <w:tcPr>
            <w:tcW w:w="340" w:type="dxa"/>
            <w:vAlign w:val="bottom"/>
            <w:tcBorders>
              <w:bottom w:val="single" w:sz="8" w:color="auto"/>
            </w:tcBorders>
            <w:shd w:val="clear" w:color="auto" w:fill="BFE4FF"/>
          </w:tcPr>
          <w:p>
            <w:pPr>
              <w:spacing w:after="0"/>
              <w:rPr>
                <w:sz w:val="19"/>
                <w:szCs w:val="19"/>
                <w:color w:val="auto"/>
              </w:rPr>
            </w:pP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13,457</w:t>
            </w:r>
          </w:p>
        </w:tc>
        <w:tc>
          <w:tcPr>
            <w:tcW w:w="120" w:type="dxa"/>
            <w:vAlign w:val="bottom"/>
            <w:shd w:val="clear" w:color="auto" w:fill="BFE4FF"/>
          </w:tcPr>
          <w:p>
            <w:pPr>
              <w:spacing w:after="0"/>
              <w:rPr>
                <w:sz w:val="19"/>
                <w:szCs w:val="19"/>
                <w:color w:val="auto"/>
              </w:rPr>
            </w:pPr>
          </w:p>
        </w:tc>
        <w:tc>
          <w:tcPr>
            <w:tcW w:w="120" w:type="dxa"/>
            <w:vAlign w:val="bottom"/>
            <w:tcBorders>
              <w:bottom w:val="single" w:sz="8" w:color="auto"/>
            </w:tcBorders>
            <w:shd w:val="clear" w:color="auto" w:fill="BFE4FF"/>
          </w:tcPr>
          <w:p>
            <w:pPr>
              <w:spacing w:after="0"/>
              <w:rPr>
                <w:sz w:val="19"/>
                <w:szCs w:val="19"/>
                <w:color w:val="auto"/>
              </w:rPr>
            </w:pP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8,718</w:t>
            </w:r>
          </w:p>
        </w:tc>
        <w:tc>
          <w:tcPr>
            <w:tcW w:w="0" w:type="dxa"/>
            <w:vAlign w:val="bottom"/>
          </w:tcPr>
          <w:p>
            <w:pPr>
              <w:spacing w:after="0"/>
              <w:rPr>
                <w:sz w:val="1"/>
                <w:szCs w:val="1"/>
                <w:color w:val="auto"/>
              </w:rPr>
            </w:pPr>
          </w:p>
        </w:tc>
      </w:tr>
      <w:tr>
        <w:trPr>
          <w:trHeight w:val="206"/>
        </w:trPr>
        <w:tc>
          <w:tcPr>
            <w:tcW w:w="860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91,834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74,017</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Deferred tax liabilities</w:t>
            </w:r>
          </w:p>
        </w:tc>
        <w:tc>
          <w:tcPr>
            <w:tcW w:w="34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7,920</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7,456</w:t>
            </w:r>
          </w:p>
        </w:tc>
        <w:tc>
          <w:tcPr>
            <w:tcW w:w="0" w:type="dxa"/>
            <w:vAlign w:val="bottom"/>
          </w:tcPr>
          <w:p>
            <w:pPr>
              <w:spacing w:after="0"/>
              <w:rPr>
                <w:sz w:val="1"/>
                <w:szCs w:val="1"/>
                <w:color w:val="auto"/>
              </w:rPr>
            </w:pPr>
          </w:p>
        </w:tc>
      </w:tr>
      <w:tr>
        <w:trPr>
          <w:trHeight w:val="213"/>
        </w:trPr>
        <w:tc>
          <w:tcPr>
            <w:tcW w:w="8600" w:type="dxa"/>
            <w:vAlign w:val="bottom"/>
          </w:tcPr>
          <w:p>
            <w:pPr>
              <w:ind w:left="140"/>
              <w:spacing w:after="0"/>
              <w:rPr>
                <w:sz w:val="20"/>
                <w:szCs w:val="20"/>
                <w:color w:val="auto"/>
              </w:rPr>
            </w:pPr>
            <w:r>
              <w:rPr>
                <w:rFonts w:ascii="Arial" w:cs="Arial" w:eastAsia="Arial" w:hAnsi="Arial"/>
                <w:sz w:val="16"/>
                <w:szCs w:val="16"/>
                <w:color w:val="auto"/>
              </w:rPr>
              <w:t>Long-term debt, net of current portion</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150,400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151,052</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Operating lease liabilities, net of current portion</w:t>
            </w:r>
          </w:p>
        </w:tc>
        <w:tc>
          <w:tcPr>
            <w:tcW w:w="34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51,597</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51,295</w:t>
            </w:r>
          </w:p>
        </w:tc>
        <w:tc>
          <w:tcPr>
            <w:tcW w:w="0" w:type="dxa"/>
            <w:vAlign w:val="bottom"/>
          </w:tcPr>
          <w:p>
            <w:pPr>
              <w:spacing w:after="0"/>
              <w:rPr>
                <w:sz w:val="1"/>
                <w:szCs w:val="1"/>
                <w:color w:val="auto"/>
              </w:rPr>
            </w:pPr>
          </w:p>
        </w:tc>
      </w:tr>
      <w:tr>
        <w:trPr>
          <w:trHeight w:val="213"/>
        </w:trPr>
        <w:tc>
          <w:tcPr>
            <w:tcW w:w="8600" w:type="dxa"/>
            <w:vAlign w:val="bottom"/>
            <w:tcBorders>
              <w:bottom w:val="single" w:sz="8" w:color="BFE4FF"/>
            </w:tcBorders>
          </w:tcPr>
          <w:p>
            <w:pPr>
              <w:ind w:left="140"/>
              <w:spacing w:after="0"/>
              <w:rPr>
                <w:sz w:val="20"/>
                <w:szCs w:val="20"/>
                <w:color w:val="auto"/>
              </w:rPr>
            </w:pPr>
            <w:r>
              <w:rPr>
                <w:rFonts w:ascii="Arial" w:cs="Arial" w:eastAsia="Arial" w:hAnsi="Arial"/>
                <w:sz w:val="16"/>
                <w:szCs w:val="16"/>
                <w:color w:val="auto"/>
              </w:rPr>
              <w:t>Other non-current liabilities</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14,724</w:t>
            </w:r>
          </w:p>
        </w:tc>
        <w:tc>
          <w:tcPr>
            <w:tcW w:w="120" w:type="dxa"/>
            <w:vAlign w:val="bottom"/>
            <w:tcBorders>
              <w:bottom w:val="single" w:sz="8" w:color="BFE4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17,289</w:t>
            </w:r>
          </w:p>
        </w:tc>
        <w:tc>
          <w:tcPr>
            <w:tcW w:w="0" w:type="dxa"/>
            <w:vAlign w:val="bottom"/>
          </w:tcPr>
          <w:p>
            <w:pPr>
              <w:spacing w:after="0"/>
              <w:rPr>
                <w:sz w:val="1"/>
                <w:szCs w:val="1"/>
                <w:color w:val="auto"/>
              </w:rPr>
            </w:pPr>
          </w:p>
        </w:tc>
      </w:tr>
      <w:tr>
        <w:trPr>
          <w:trHeight w:val="213"/>
        </w:trPr>
        <w:tc>
          <w:tcPr>
            <w:tcW w:w="8600" w:type="dxa"/>
            <w:vAlign w:val="bottom"/>
            <w:shd w:val="clear" w:color="auto" w:fill="BFE4FF"/>
          </w:tcPr>
          <w:p>
            <w:pPr>
              <w:ind w:left="680"/>
              <w:spacing w:after="0"/>
              <w:rPr>
                <w:sz w:val="20"/>
                <w:szCs w:val="20"/>
                <w:color w:val="auto"/>
              </w:rPr>
            </w:pPr>
            <w:r>
              <w:rPr>
                <w:rFonts w:ascii="Arial" w:cs="Arial" w:eastAsia="Arial" w:hAnsi="Arial"/>
                <w:sz w:val="16"/>
                <w:szCs w:val="16"/>
                <w:color w:val="auto"/>
              </w:rPr>
              <w:t>Total liabilities</w:t>
            </w:r>
          </w:p>
        </w:tc>
        <w:tc>
          <w:tcPr>
            <w:tcW w:w="340" w:type="dxa"/>
            <w:vAlign w:val="bottom"/>
            <w:tcBorders>
              <w:bottom w:val="single" w:sz="8" w:color="auto"/>
            </w:tcBorders>
            <w:shd w:val="clear" w:color="auto" w:fill="BFE4FF"/>
          </w:tcPr>
          <w:p>
            <w:pPr>
              <w:spacing w:after="0"/>
              <w:rPr>
                <w:sz w:val="18"/>
                <w:szCs w:val="18"/>
                <w:color w:val="auto"/>
              </w:rPr>
            </w:pP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316,475</w:t>
            </w:r>
          </w:p>
        </w:tc>
        <w:tc>
          <w:tcPr>
            <w:tcW w:w="120" w:type="dxa"/>
            <w:vAlign w:val="bottom"/>
            <w:shd w:val="clear" w:color="auto" w:fill="BFE4FF"/>
          </w:tcPr>
          <w:p>
            <w:pPr>
              <w:spacing w:after="0"/>
              <w:rPr>
                <w:sz w:val="18"/>
                <w:szCs w:val="18"/>
                <w:color w:val="auto"/>
              </w:rPr>
            </w:pPr>
          </w:p>
        </w:tc>
        <w:tc>
          <w:tcPr>
            <w:tcW w:w="120" w:type="dxa"/>
            <w:vAlign w:val="bottom"/>
            <w:tcBorders>
              <w:bottom w:val="single" w:sz="8" w:color="auto"/>
            </w:tcBorders>
            <w:shd w:val="clear" w:color="auto" w:fill="BFE4FF"/>
          </w:tcPr>
          <w:p>
            <w:pPr>
              <w:spacing w:after="0"/>
              <w:rPr>
                <w:sz w:val="18"/>
                <w:szCs w:val="18"/>
                <w:color w:val="auto"/>
              </w:rPr>
            </w:pP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301,109</w:t>
            </w:r>
          </w:p>
        </w:tc>
        <w:tc>
          <w:tcPr>
            <w:tcW w:w="0" w:type="dxa"/>
            <w:vAlign w:val="bottom"/>
          </w:tcPr>
          <w:p>
            <w:pPr>
              <w:spacing w:after="0"/>
              <w:rPr>
                <w:sz w:val="1"/>
                <w:szCs w:val="1"/>
                <w:color w:val="auto"/>
              </w:rPr>
            </w:pPr>
          </w:p>
        </w:tc>
      </w:tr>
      <w:tr>
        <w:trPr>
          <w:trHeight w:val="193"/>
        </w:trPr>
        <w:tc>
          <w:tcPr>
            <w:tcW w:w="8600" w:type="dxa"/>
            <w:vAlign w:val="bottom"/>
          </w:tcPr>
          <w:p>
            <w:pPr>
              <w:ind w:left="140"/>
              <w:spacing w:after="0"/>
              <w:rPr>
                <w:sz w:val="20"/>
                <w:szCs w:val="20"/>
                <w:color w:val="auto"/>
              </w:rPr>
            </w:pPr>
            <w:r>
              <w:rPr>
                <w:rFonts w:ascii="Arial" w:cs="Arial" w:eastAsia="Arial" w:hAnsi="Arial"/>
                <w:sz w:val="16"/>
                <w:szCs w:val="16"/>
                <w:color w:val="auto"/>
              </w:rPr>
              <w:t>Commitments and contingencies</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600" w:type="dxa"/>
            <w:vAlign w:val="bottom"/>
            <w:shd w:val="clear" w:color="auto" w:fill="BFE4FF"/>
          </w:tcPr>
          <w:p>
            <w:pPr>
              <w:ind w:left="140"/>
              <w:spacing w:after="0" w:line="169" w:lineRule="exact"/>
              <w:rPr>
                <w:sz w:val="20"/>
                <w:szCs w:val="20"/>
                <w:color w:val="auto"/>
              </w:rPr>
            </w:pPr>
            <w:r>
              <w:rPr>
                <w:rFonts w:ascii="Arial" w:cs="Arial" w:eastAsia="Arial" w:hAnsi="Arial"/>
                <w:sz w:val="16"/>
                <w:szCs w:val="16"/>
                <w:color w:val="auto"/>
                <w:w w:val="93"/>
              </w:rPr>
              <w:t>Series D perpetual preferred stock - $0.01 par value per share, 65 shares authorized, issued and outstanding at March 31, 2022</w:t>
            </w:r>
          </w:p>
        </w:tc>
        <w:tc>
          <w:tcPr>
            <w:tcW w:w="340" w:type="dxa"/>
            <w:vAlign w:val="bottom"/>
            <w:shd w:val="clear" w:color="auto" w:fill="BFE4FF"/>
          </w:tcPr>
          <w:p>
            <w:pPr>
              <w:spacing w:after="0"/>
              <w:rPr>
                <w:sz w:val="14"/>
                <w:szCs w:val="14"/>
                <w:color w:val="auto"/>
              </w:rPr>
            </w:pPr>
          </w:p>
        </w:tc>
        <w:tc>
          <w:tcPr>
            <w:tcW w:w="90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56,345</w:t>
            </w:r>
          </w:p>
        </w:tc>
        <w:tc>
          <w:tcPr>
            <w:tcW w:w="120" w:type="dxa"/>
            <w:vAlign w:val="bottom"/>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114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53,807</w:t>
            </w:r>
          </w:p>
        </w:tc>
        <w:tc>
          <w:tcPr>
            <w:tcW w:w="0" w:type="dxa"/>
            <w:vAlign w:val="bottom"/>
          </w:tcPr>
          <w:p>
            <w:pPr>
              <w:spacing w:after="0"/>
              <w:rPr>
                <w:sz w:val="1"/>
                <w:szCs w:val="1"/>
                <w:color w:val="auto"/>
              </w:rPr>
            </w:pPr>
          </w:p>
        </w:tc>
      </w:tr>
      <w:tr>
        <w:trPr>
          <w:trHeight w:val="212"/>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and December 31, 2021, respectively</w:t>
            </w:r>
          </w:p>
        </w:tc>
        <w:tc>
          <w:tcPr>
            <w:tcW w:w="340" w:type="dxa"/>
            <w:vAlign w:val="bottom"/>
            <w:shd w:val="clear" w:color="auto" w:fill="BFE4FF"/>
          </w:tcPr>
          <w:p>
            <w:pPr>
              <w:spacing w:after="0"/>
              <w:rPr>
                <w:sz w:val="18"/>
                <w:szCs w:val="18"/>
                <w:color w:val="auto"/>
              </w:rPr>
            </w:pPr>
          </w:p>
        </w:tc>
        <w:tc>
          <w:tcPr>
            <w:tcW w:w="900" w:type="dxa"/>
            <w:vAlign w:val="bottom"/>
            <w:vMerge w:val="continue"/>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140" w:type="dxa"/>
            <w:vAlign w:val="bottom"/>
            <w:vMerge w:val="continue"/>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00" w:type="dxa"/>
            <w:vAlign w:val="bottom"/>
          </w:tcPr>
          <w:p>
            <w:pPr>
              <w:ind w:left="140"/>
              <w:spacing w:after="0"/>
              <w:rPr>
                <w:sz w:val="20"/>
                <w:szCs w:val="20"/>
                <w:color w:val="auto"/>
              </w:rPr>
            </w:pPr>
            <w:r>
              <w:rPr>
                <w:rFonts w:ascii="Arial" w:cs="Arial" w:eastAsia="Arial" w:hAnsi="Arial"/>
                <w:sz w:val="16"/>
                <w:szCs w:val="16"/>
                <w:color w:val="auto"/>
              </w:rPr>
              <w:t>Stockholders' equity:</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600" w:type="dxa"/>
            <w:vAlign w:val="bottom"/>
            <w:shd w:val="clear" w:color="auto" w:fill="BFE4FF"/>
          </w:tcPr>
          <w:p>
            <w:pPr>
              <w:ind w:left="360"/>
              <w:spacing w:after="0" w:line="169" w:lineRule="exact"/>
              <w:rPr>
                <w:sz w:val="20"/>
                <w:szCs w:val="20"/>
                <w:color w:val="auto"/>
              </w:rPr>
            </w:pPr>
            <w:r>
              <w:rPr>
                <w:rFonts w:ascii="Arial" w:cs="Arial" w:eastAsia="Arial" w:hAnsi="Arial"/>
                <w:sz w:val="16"/>
                <w:szCs w:val="16"/>
                <w:color w:val="auto"/>
                <w:w w:val="94"/>
              </w:rPr>
              <w:t>Common stock - $0.01 par value per share, 90,000 shares authorized, 43,890 and 43,027 shares issued and outstanding at</w:t>
            </w:r>
          </w:p>
        </w:tc>
        <w:tc>
          <w:tcPr>
            <w:tcW w:w="340" w:type="dxa"/>
            <w:vAlign w:val="bottom"/>
            <w:shd w:val="clear" w:color="auto" w:fill="BFE4FF"/>
          </w:tcPr>
          <w:p>
            <w:pPr>
              <w:spacing w:after="0"/>
              <w:rPr>
                <w:sz w:val="14"/>
                <w:szCs w:val="14"/>
                <w:color w:val="auto"/>
              </w:rPr>
            </w:pPr>
          </w:p>
        </w:tc>
        <w:tc>
          <w:tcPr>
            <w:tcW w:w="90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439</w:t>
            </w:r>
          </w:p>
        </w:tc>
        <w:tc>
          <w:tcPr>
            <w:tcW w:w="120" w:type="dxa"/>
            <w:vAlign w:val="bottom"/>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114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12"/>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March 31, 2022 and December 31, 2021, respectively</w:t>
            </w:r>
          </w:p>
        </w:tc>
        <w:tc>
          <w:tcPr>
            <w:tcW w:w="340" w:type="dxa"/>
            <w:vAlign w:val="bottom"/>
            <w:shd w:val="clear" w:color="auto" w:fill="BFE4FF"/>
          </w:tcPr>
          <w:p>
            <w:pPr>
              <w:spacing w:after="0"/>
              <w:rPr>
                <w:sz w:val="18"/>
                <w:szCs w:val="18"/>
                <w:color w:val="auto"/>
              </w:rPr>
            </w:pPr>
          </w:p>
        </w:tc>
        <w:tc>
          <w:tcPr>
            <w:tcW w:w="900" w:type="dxa"/>
            <w:vAlign w:val="bottom"/>
            <w:vMerge w:val="continue"/>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140" w:type="dxa"/>
            <w:vAlign w:val="bottom"/>
            <w:vMerge w:val="continue"/>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473,072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474,757</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Accumulated deficit</w:t>
            </w:r>
          </w:p>
        </w:tc>
        <w:tc>
          <w:tcPr>
            <w:tcW w:w="34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(222,402)</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(219,100)</w:t>
            </w:r>
          </w:p>
        </w:tc>
        <w:tc>
          <w:tcPr>
            <w:tcW w:w="0" w:type="dxa"/>
            <w:vAlign w:val="bottom"/>
          </w:tcPr>
          <w:p>
            <w:pPr>
              <w:spacing w:after="0"/>
              <w:rPr>
                <w:sz w:val="1"/>
                <w:szCs w:val="1"/>
                <w:color w:val="auto"/>
              </w:rPr>
            </w:pPr>
          </w:p>
        </w:tc>
      </w:tr>
      <w:tr>
        <w:trPr>
          <w:trHeight w:val="213"/>
        </w:trPr>
        <w:tc>
          <w:tcPr>
            <w:tcW w:w="8600" w:type="dxa"/>
            <w:vAlign w:val="bottom"/>
            <w:tcBorders>
              <w:bottom w:val="single" w:sz="8" w:color="BFE4FF"/>
            </w:tcBorders>
          </w:tcPr>
          <w:p>
            <w:pPr>
              <w:ind w:left="36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(28,081)</w:t>
            </w:r>
          </w:p>
        </w:tc>
        <w:tc>
          <w:tcPr>
            <w:tcW w:w="120" w:type="dxa"/>
            <w:vAlign w:val="bottom"/>
            <w:tcBorders>
              <w:bottom w:val="single" w:sz="8" w:color="BFE4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(31,902)</w:t>
            </w:r>
          </w:p>
        </w:tc>
        <w:tc>
          <w:tcPr>
            <w:tcW w:w="0" w:type="dxa"/>
            <w:vAlign w:val="bottom"/>
          </w:tcPr>
          <w:p>
            <w:pPr>
              <w:spacing w:after="0"/>
              <w:rPr>
                <w:sz w:val="1"/>
                <w:szCs w:val="1"/>
                <w:color w:val="auto"/>
              </w:rPr>
            </w:pPr>
          </w:p>
        </w:tc>
      </w:tr>
      <w:tr>
        <w:trPr>
          <w:trHeight w:val="213"/>
        </w:trPr>
        <w:tc>
          <w:tcPr>
            <w:tcW w:w="8600" w:type="dxa"/>
            <w:vAlign w:val="bottom"/>
            <w:shd w:val="clear" w:color="auto" w:fill="BFE4FF"/>
          </w:tcPr>
          <w:p>
            <w:pPr>
              <w:ind w:left="68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auto"/>
            </w:tcBorders>
            <w:shd w:val="clear" w:color="auto" w:fill="BFE4FF"/>
          </w:tcPr>
          <w:p>
            <w:pPr>
              <w:spacing w:after="0"/>
              <w:rPr>
                <w:sz w:val="18"/>
                <w:szCs w:val="18"/>
                <w:color w:val="auto"/>
              </w:rPr>
            </w:pP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223,028</w:t>
            </w:r>
          </w:p>
        </w:tc>
        <w:tc>
          <w:tcPr>
            <w:tcW w:w="120" w:type="dxa"/>
            <w:vAlign w:val="bottom"/>
            <w:shd w:val="clear" w:color="auto" w:fill="BFE4FF"/>
          </w:tcPr>
          <w:p>
            <w:pPr>
              <w:spacing w:after="0"/>
              <w:rPr>
                <w:sz w:val="18"/>
                <w:szCs w:val="18"/>
                <w:color w:val="auto"/>
              </w:rPr>
            </w:pPr>
          </w:p>
        </w:tc>
        <w:tc>
          <w:tcPr>
            <w:tcW w:w="120" w:type="dxa"/>
            <w:vAlign w:val="bottom"/>
            <w:tcBorders>
              <w:bottom w:val="single" w:sz="8" w:color="auto"/>
            </w:tcBorders>
            <w:shd w:val="clear" w:color="auto" w:fill="BFE4FF"/>
          </w:tcPr>
          <w:p>
            <w:pPr>
              <w:spacing w:after="0"/>
              <w:rPr>
                <w:sz w:val="18"/>
                <w:szCs w:val="18"/>
                <w:color w:val="auto"/>
              </w:rPr>
            </w:pP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224,185</w:t>
            </w:r>
          </w:p>
        </w:tc>
        <w:tc>
          <w:tcPr>
            <w:tcW w:w="0" w:type="dxa"/>
            <w:vAlign w:val="bottom"/>
          </w:tcPr>
          <w:p>
            <w:pPr>
              <w:spacing w:after="0"/>
              <w:rPr>
                <w:sz w:val="1"/>
                <w:szCs w:val="1"/>
                <w:color w:val="auto"/>
              </w:rPr>
            </w:pPr>
          </w:p>
        </w:tc>
      </w:tr>
      <w:tr>
        <w:trPr>
          <w:trHeight w:val="207"/>
        </w:trPr>
        <w:tc>
          <w:tcPr>
            <w:tcW w:w="8600" w:type="dxa"/>
            <w:vAlign w:val="bottom"/>
          </w:tcPr>
          <w:p>
            <w:pPr>
              <w:ind w:left="20"/>
              <w:spacing w:after="0"/>
              <w:rPr>
                <w:sz w:val="20"/>
                <w:szCs w:val="20"/>
                <w:color w:val="auto"/>
              </w:rPr>
            </w:pPr>
            <w:r>
              <w:rPr>
                <w:rFonts w:ascii="Arial" w:cs="Arial" w:eastAsia="Arial" w:hAnsi="Arial"/>
                <w:sz w:val="16"/>
                <w:szCs w:val="16"/>
                <w:color w:val="auto"/>
              </w:rPr>
              <w:t>Total liabilities, preferred stock, and stockholders’ equity</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595,848</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579,101</w:t>
            </w:r>
          </w:p>
        </w:tc>
        <w:tc>
          <w:tcPr>
            <w:tcW w:w="0" w:type="dxa"/>
            <w:vAlign w:val="bottom"/>
          </w:tcPr>
          <w:p>
            <w:pPr>
              <w:spacing w:after="0"/>
              <w:rPr>
                <w:sz w:val="1"/>
                <w:szCs w:val="1"/>
                <w:color w:val="auto"/>
              </w:rPr>
            </w:pPr>
          </w:p>
        </w:tc>
      </w:tr>
      <w:tr>
        <w:trPr>
          <w:trHeight w:val="23"/>
        </w:trPr>
        <w:tc>
          <w:tcPr>
            <w:tcW w:w="8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39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8"/>
                <w:szCs w:val="18"/>
                <w:color w:val="auto"/>
              </w:rPr>
            </w:pPr>
          </w:p>
        </w:tc>
      </w:tr>
      <w:tr>
        <w:trPr>
          <w:trHeight w:val="212"/>
        </w:trPr>
        <w:tc>
          <w:tcPr>
            <w:tcW w:w="8380" w:type="dxa"/>
            <w:vAlign w:val="bottom"/>
            <w:tcBorders>
              <w:bottom w:val="single" w:sz="8" w:color="BFE4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BFE4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199"/>
        </w:trPr>
        <w:tc>
          <w:tcPr>
            <w:tcW w:w="8380" w:type="dxa"/>
            <w:vAlign w:val="bottom"/>
            <w:shd w:val="clear" w:color="auto" w:fill="BFE4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BFE4FF"/>
          </w:tcPr>
          <w:p>
            <w:pPr>
              <w:spacing w:after="0"/>
              <w:rPr>
                <w:sz w:val="17"/>
                <w:szCs w:val="17"/>
                <w:color w:val="auto"/>
              </w:rPr>
            </w:pPr>
          </w:p>
        </w:tc>
        <w:tc>
          <w:tcPr>
            <w:tcW w:w="106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400" w:type="dxa"/>
            <w:vAlign w:val="bottom"/>
            <w:shd w:val="clear" w:color="auto" w:fill="BFE4FF"/>
          </w:tcPr>
          <w:p>
            <w:pPr>
              <w:spacing w:after="0"/>
              <w:rPr>
                <w:sz w:val="17"/>
                <w:szCs w:val="17"/>
                <w:color w:val="auto"/>
              </w:rPr>
            </w:pPr>
          </w:p>
        </w:tc>
        <w:tc>
          <w:tcPr>
            <w:tcW w:w="960" w:type="dxa"/>
            <w:vAlign w:val="bottom"/>
            <w:shd w:val="clear" w:color="auto" w:fill="BFE4FF"/>
          </w:tcPr>
          <w:p>
            <w:pPr>
              <w:spacing w:after="0"/>
              <w:rPr>
                <w:sz w:val="17"/>
                <w:szCs w:val="17"/>
                <w:color w:val="auto"/>
              </w:rPr>
            </w:pP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(3,302)</w:t>
            </w:r>
          </w:p>
        </w:tc>
        <w:tc>
          <w:tcPr>
            <w:tcW w:w="14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(4,913)</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400" w:type="dxa"/>
            <w:vAlign w:val="bottom"/>
            <w:shd w:val="clear" w:color="auto" w:fill="BFE4FF"/>
          </w:tcPr>
          <w:p>
            <w:pPr>
              <w:spacing w:after="0"/>
              <w:rPr>
                <w:sz w:val="19"/>
                <w:szCs w:val="19"/>
                <w:color w:val="auto"/>
              </w:rPr>
            </w:pPr>
          </w:p>
        </w:tc>
        <w:tc>
          <w:tcPr>
            <w:tcW w:w="960" w:type="dxa"/>
            <w:vAlign w:val="bottom"/>
            <w:shd w:val="clear" w:color="auto" w:fill="BFE4FF"/>
          </w:tcPr>
          <w:p>
            <w:pPr>
              <w:spacing w:after="0"/>
              <w:rPr>
                <w:sz w:val="19"/>
                <w:szCs w:val="19"/>
                <w:color w:val="auto"/>
              </w:rPr>
            </w:pPr>
          </w:p>
        </w:tc>
      </w:tr>
      <w:tr>
        <w:trPr>
          <w:trHeight w:val="213"/>
        </w:trPr>
        <w:tc>
          <w:tcPr>
            <w:tcW w:w="838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11,429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11,568</w:t>
            </w:r>
          </w:p>
        </w:tc>
      </w:tr>
      <w:tr>
        <w:trPr>
          <w:trHeight w:val="219"/>
        </w:trPr>
        <w:tc>
          <w:tcPr>
            <w:tcW w:w="8380" w:type="dxa"/>
            <w:vAlign w:val="bottom"/>
            <w:shd w:val="clear" w:color="auto" w:fill="BFE4FF"/>
          </w:tcPr>
          <w:p>
            <w:pPr>
              <w:ind w:left="480"/>
              <w:spacing w:after="0"/>
              <w:rPr>
                <w:sz w:val="20"/>
                <w:szCs w:val="20"/>
                <w:color w:val="auto"/>
              </w:rPr>
            </w:pPr>
            <w:r>
              <w:rPr>
                <w:rFonts w:ascii="Arial" w:cs="Arial" w:eastAsia="Arial" w:hAnsi="Arial"/>
                <w:sz w:val="16"/>
                <w:szCs w:val="16"/>
                <w:color w:val="auto"/>
              </w:rPr>
              <w:t>Amortization of debt issuance costs and discount</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332</w:t>
            </w:r>
          </w:p>
        </w:tc>
        <w:tc>
          <w:tcPr>
            <w:tcW w:w="140" w:type="dxa"/>
            <w:vAlign w:val="bottom"/>
            <w:shd w:val="clear" w:color="auto" w:fill="BFE4FF"/>
          </w:tcPr>
          <w:p>
            <w:pPr>
              <w:spacing w:after="0"/>
              <w:rPr>
                <w:sz w:val="19"/>
                <w:szCs w:val="19"/>
                <w:color w:val="auto"/>
              </w:rPr>
            </w:pPr>
          </w:p>
        </w:tc>
        <w:tc>
          <w:tcPr>
            <w:tcW w:w="40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405</w:t>
            </w:r>
          </w:p>
        </w:tc>
      </w:tr>
      <w:tr>
        <w:trPr>
          <w:trHeight w:val="213"/>
        </w:trPr>
        <w:tc>
          <w:tcPr>
            <w:tcW w:w="8380" w:type="dxa"/>
            <w:vAlign w:val="bottom"/>
          </w:tcPr>
          <w:p>
            <w:pPr>
              <w:ind w:left="480"/>
              <w:spacing w:after="0"/>
              <w:rPr>
                <w:sz w:val="20"/>
                <w:szCs w:val="20"/>
                <w:color w:val="auto"/>
              </w:rPr>
            </w:pPr>
            <w:r>
              <w:rPr>
                <w:rFonts w:ascii="Arial" w:cs="Arial" w:eastAsia="Arial" w:hAnsi="Arial"/>
                <w:sz w:val="16"/>
                <w:szCs w:val="16"/>
                <w:color w:val="auto"/>
              </w:rPr>
              <w:t>Impairments of property, plant and equipment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380" w:type="dxa"/>
            <w:vAlign w:val="bottom"/>
            <w:shd w:val="clear" w:color="auto" w:fill="BFE4FF"/>
          </w:tcPr>
          <w:p>
            <w:pPr>
              <w:ind w:left="480"/>
              <w:spacing w:after="0"/>
              <w:rPr>
                <w:sz w:val="20"/>
                <w:szCs w:val="20"/>
                <w:color w:val="auto"/>
              </w:rPr>
            </w:pPr>
            <w:r>
              <w:rPr>
                <w:rFonts w:ascii="Arial" w:cs="Arial" w:eastAsia="Arial" w:hAnsi="Arial"/>
                <w:sz w:val="16"/>
                <w:szCs w:val="16"/>
                <w:color w:val="auto"/>
              </w:rPr>
              <w:t>Loss on extinguishment of debt and write-off of debt issuance costs</w:t>
            </w:r>
          </w:p>
        </w:tc>
        <w:tc>
          <w:tcPr>
            <w:tcW w:w="300" w:type="dxa"/>
            <w:vAlign w:val="bottom"/>
            <w:shd w:val="clear" w:color="auto" w:fill="BFE4FF"/>
          </w:tcPr>
          <w:p>
            <w:pPr>
              <w:spacing w:after="0"/>
              <w:rPr>
                <w:sz w:val="19"/>
                <w:szCs w:val="19"/>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2,390</w:t>
            </w:r>
          </w:p>
        </w:tc>
      </w:tr>
      <w:tr>
        <w:trPr>
          <w:trHeight w:val="213"/>
        </w:trPr>
        <w:tc>
          <w:tcPr>
            <w:tcW w:w="8380" w:type="dxa"/>
            <w:vAlign w:val="bottom"/>
          </w:tcPr>
          <w:p>
            <w:pPr>
              <w:ind w:left="480"/>
              <w:spacing w:after="0"/>
              <w:rPr>
                <w:sz w:val="20"/>
                <w:szCs w:val="20"/>
                <w:color w:val="auto"/>
              </w:rPr>
            </w:pPr>
            <w:r>
              <w:rPr>
                <w:rFonts w:ascii="Arial" w:cs="Arial" w:eastAsia="Arial" w:hAnsi="Arial"/>
                <w:sz w:val="16"/>
                <w:szCs w:val="16"/>
                <w:color w:val="auto"/>
              </w:rPr>
              <w:t>Total derivative loss (gain), net of cash settlements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(2,543)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3,301</w:t>
            </w:r>
          </w:p>
        </w:tc>
      </w:tr>
      <w:tr>
        <w:trPr>
          <w:trHeight w:val="219"/>
        </w:trPr>
        <w:tc>
          <w:tcPr>
            <w:tcW w:w="8380" w:type="dxa"/>
            <w:vAlign w:val="bottom"/>
            <w:shd w:val="clear" w:color="auto" w:fill="BFE4FF"/>
          </w:tcPr>
          <w:p>
            <w:pPr>
              <w:ind w:left="480"/>
              <w:spacing w:after="0"/>
              <w:rPr>
                <w:sz w:val="20"/>
                <w:szCs w:val="20"/>
                <w:color w:val="auto"/>
              </w:rPr>
            </w:pPr>
            <w:r>
              <w:rPr>
                <w:rFonts w:ascii="Arial" w:cs="Arial" w:eastAsia="Arial" w:hAnsi="Arial"/>
                <w:sz w:val="16"/>
                <w:szCs w:val="16"/>
                <w:color w:val="auto"/>
              </w:rPr>
              <w:t>Share of net income from joint venture, net of cash dividends received</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1,934</w:t>
            </w:r>
          </w:p>
        </w:tc>
        <w:tc>
          <w:tcPr>
            <w:tcW w:w="140" w:type="dxa"/>
            <w:vAlign w:val="bottom"/>
            <w:shd w:val="clear" w:color="auto" w:fill="BFE4FF"/>
          </w:tcPr>
          <w:p>
            <w:pPr>
              <w:spacing w:after="0"/>
              <w:rPr>
                <w:sz w:val="19"/>
                <w:szCs w:val="19"/>
                <w:color w:val="auto"/>
              </w:rPr>
            </w:pPr>
          </w:p>
        </w:tc>
        <w:tc>
          <w:tcPr>
            <w:tcW w:w="40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(1,395)</w:t>
            </w:r>
          </w:p>
        </w:tc>
      </w:tr>
      <w:tr>
        <w:trPr>
          <w:trHeight w:val="213"/>
        </w:trPr>
        <w:tc>
          <w:tcPr>
            <w:tcW w:w="8380" w:type="dxa"/>
            <w:vAlign w:val="bottom"/>
          </w:tcPr>
          <w:p>
            <w:pPr>
              <w:ind w:left="480"/>
              <w:spacing w:after="0"/>
              <w:rPr>
                <w:sz w:val="20"/>
                <w:szCs w:val="20"/>
                <w:color w:val="auto"/>
              </w:rPr>
            </w:pPr>
            <w:r>
              <w:rPr>
                <w:rFonts w:ascii="Arial" w:cs="Arial" w:eastAsia="Arial" w:hAnsi="Arial"/>
                <w:sz w:val="16"/>
                <w:szCs w:val="16"/>
                <w:color w:val="auto"/>
              </w:rPr>
              <w:t>Compensation expense from issuance of share-based awards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886</w:t>
            </w:r>
          </w:p>
        </w:tc>
      </w:tr>
      <w:tr>
        <w:trPr>
          <w:trHeight w:val="219"/>
        </w:trPr>
        <w:tc>
          <w:tcPr>
            <w:tcW w:w="8380" w:type="dxa"/>
            <w:vAlign w:val="bottom"/>
            <w:shd w:val="clear" w:color="auto" w:fill="BFE4FF"/>
          </w:tcPr>
          <w:p>
            <w:pPr>
              <w:ind w:left="48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(42)</w:t>
            </w:r>
          </w:p>
        </w:tc>
        <w:tc>
          <w:tcPr>
            <w:tcW w:w="140" w:type="dxa"/>
            <w:vAlign w:val="bottom"/>
            <w:shd w:val="clear" w:color="auto" w:fill="BFE4FF"/>
          </w:tcPr>
          <w:p>
            <w:pPr>
              <w:spacing w:after="0"/>
              <w:rPr>
                <w:sz w:val="19"/>
                <w:szCs w:val="19"/>
                <w:color w:val="auto"/>
              </w:rPr>
            </w:pPr>
          </w:p>
        </w:tc>
        <w:tc>
          <w:tcPr>
            <w:tcW w:w="40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(1,605)</w:t>
            </w:r>
          </w:p>
        </w:tc>
      </w:tr>
      <w:tr>
        <w:trPr>
          <w:trHeight w:val="213"/>
        </w:trPr>
        <w:tc>
          <w:tcPr>
            <w:tcW w:w="8380" w:type="dxa"/>
            <w:vAlign w:val="bottom"/>
          </w:tcPr>
          <w:p>
            <w:pPr>
              <w:ind w:left="4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(1,081)</w:t>
            </w:r>
          </w:p>
        </w:tc>
      </w:tr>
      <w:tr>
        <w:trPr>
          <w:trHeight w:val="219"/>
        </w:trPr>
        <w:tc>
          <w:tcPr>
            <w:tcW w:w="8380" w:type="dxa"/>
            <w:vAlign w:val="bottom"/>
            <w:shd w:val="clear" w:color="auto" w:fill="BFE4FF"/>
          </w:tcPr>
          <w:p>
            <w:pPr>
              <w:ind w:left="48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400" w:type="dxa"/>
            <w:vAlign w:val="bottom"/>
            <w:shd w:val="clear" w:color="auto" w:fill="BFE4FF"/>
          </w:tcPr>
          <w:p>
            <w:pPr>
              <w:spacing w:after="0"/>
              <w:rPr>
                <w:sz w:val="19"/>
                <w:szCs w:val="19"/>
                <w:color w:val="auto"/>
              </w:rPr>
            </w:pPr>
          </w:p>
        </w:tc>
        <w:tc>
          <w:tcPr>
            <w:tcW w:w="960" w:type="dxa"/>
            <w:vAlign w:val="bottom"/>
            <w:shd w:val="clear" w:color="auto" w:fill="BFE4FF"/>
          </w:tcPr>
          <w:p>
            <w:pPr>
              <w:spacing w:after="0"/>
              <w:rPr>
                <w:sz w:val="19"/>
                <w:szCs w:val="19"/>
                <w:color w:val="auto"/>
              </w:rPr>
            </w:pPr>
          </w:p>
        </w:tc>
      </w:tr>
      <w:tr>
        <w:trPr>
          <w:trHeight w:val="213"/>
        </w:trPr>
        <w:tc>
          <w:tcPr>
            <w:tcW w:w="8380" w:type="dxa"/>
            <w:vAlign w:val="bottom"/>
          </w:tcPr>
          <w:p>
            <w:pPr>
              <w:ind w:left="88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(17,633)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(6,684)</w:t>
            </w:r>
          </w:p>
        </w:tc>
      </w:tr>
      <w:tr>
        <w:trPr>
          <w:trHeight w:val="219"/>
        </w:trPr>
        <w:tc>
          <w:tcPr>
            <w:tcW w:w="8380" w:type="dxa"/>
            <w:vAlign w:val="bottom"/>
            <w:shd w:val="clear" w:color="auto" w:fill="BFE4FF"/>
          </w:tcPr>
          <w:p>
            <w:pPr>
              <w:ind w:left="88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(5,536)</w:t>
            </w:r>
          </w:p>
        </w:tc>
        <w:tc>
          <w:tcPr>
            <w:tcW w:w="140" w:type="dxa"/>
            <w:vAlign w:val="bottom"/>
            <w:shd w:val="clear" w:color="auto" w:fill="BFE4FF"/>
          </w:tcPr>
          <w:p>
            <w:pPr>
              <w:spacing w:after="0"/>
              <w:rPr>
                <w:sz w:val="19"/>
                <w:szCs w:val="19"/>
                <w:color w:val="auto"/>
              </w:rPr>
            </w:pPr>
          </w:p>
        </w:tc>
        <w:tc>
          <w:tcPr>
            <w:tcW w:w="40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(5,589)</w:t>
            </w:r>
          </w:p>
        </w:tc>
      </w:tr>
      <w:tr>
        <w:trPr>
          <w:trHeight w:val="213"/>
        </w:trPr>
        <w:tc>
          <w:tcPr>
            <w:tcW w:w="8380" w:type="dxa"/>
            <w:vAlign w:val="bottom"/>
          </w:tcPr>
          <w:p>
            <w:pPr>
              <w:ind w:left="88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11,416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7,094</w:t>
            </w:r>
          </w:p>
        </w:tc>
      </w:tr>
      <w:tr>
        <w:trPr>
          <w:trHeight w:val="219"/>
        </w:trPr>
        <w:tc>
          <w:tcPr>
            <w:tcW w:w="8380" w:type="dxa"/>
            <w:vAlign w:val="bottom"/>
            <w:shd w:val="clear" w:color="auto" w:fill="BFE4FF"/>
          </w:tcPr>
          <w:p>
            <w:pPr>
              <w:ind w:left="880"/>
              <w:spacing w:after="0"/>
              <w:rPr>
                <w:sz w:val="20"/>
                <w:szCs w:val="20"/>
                <w:color w:val="auto"/>
              </w:rPr>
            </w:pPr>
            <w:r>
              <w:rPr>
                <w:rFonts w:ascii="Arial" w:cs="Arial" w:eastAsia="Arial" w:hAnsi="Arial"/>
                <w:sz w:val="16"/>
                <w:szCs w:val="16"/>
                <w:color w:val="auto"/>
              </w:rPr>
              <w:t>Income taxes receivable and payable, net</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(631)</w:t>
            </w:r>
          </w:p>
        </w:tc>
        <w:tc>
          <w:tcPr>
            <w:tcW w:w="140" w:type="dxa"/>
            <w:vAlign w:val="bottom"/>
            <w:shd w:val="clear" w:color="auto" w:fill="BFE4FF"/>
          </w:tcPr>
          <w:p>
            <w:pPr>
              <w:spacing w:after="0"/>
              <w:rPr>
                <w:sz w:val="19"/>
                <w:szCs w:val="19"/>
                <w:color w:val="auto"/>
              </w:rPr>
            </w:pPr>
          </w:p>
        </w:tc>
        <w:tc>
          <w:tcPr>
            <w:tcW w:w="40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(344)</w:t>
            </w:r>
          </w:p>
        </w:tc>
      </w:tr>
      <w:tr>
        <w:trPr>
          <w:trHeight w:val="213"/>
        </w:trPr>
        <w:tc>
          <w:tcPr>
            <w:tcW w:w="8380" w:type="dxa"/>
            <w:vAlign w:val="bottom"/>
            <w:tcBorders>
              <w:bottom w:val="single" w:sz="8" w:color="BFE4FF"/>
            </w:tcBorders>
          </w:tcPr>
          <w:p>
            <w:pPr>
              <w:ind w:left="8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w:t>
            </w:r>
          </w:p>
        </w:tc>
        <w:tc>
          <w:tcPr>
            <w:tcW w:w="140" w:type="dxa"/>
            <w:vAlign w:val="bottom"/>
            <w:tcBorders>
              <w:bottom w:val="single" w:sz="8" w:color="BFE4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3,851</w:t>
            </w:r>
          </w:p>
        </w:tc>
      </w:tr>
      <w:tr>
        <w:trPr>
          <w:trHeight w:val="213"/>
        </w:trPr>
        <w:tc>
          <w:tcPr>
            <w:tcW w:w="8380" w:type="dxa"/>
            <w:vAlign w:val="bottom"/>
            <w:shd w:val="clear" w:color="auto" w:fill="BFE4FF"/>
          </w:tcPr>
          <w:p>
            <w:pPr>
              <w:ind w:left="112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Borders>
              <w:bottom w:val="single" w:sz="8" w:color="auto"/>
            </w:tcBorders>
            <w:shd w:val="clear" w:color="auto" w:fill="BFE4FF"/>
          </w:tcPr>
          <w:p>
            <w:pPr>
              <w:spacing w:after="0"/>
              <w:rPr>
                <w:sz w:val="18"/>
                <w:szCs w:val="18"/>
                <w:color w:val="auto"/>
              </w:rPr>
            </w:pPr>
          </w:p>
        </w:tc>
        <w:tc>
          <w:tcPr>
            <w:tcW w:w="10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(5,223)</w:t>
            </w:r>
          </w:p>
        </w:tc>
        <w:tc>
          <w:tcPr>
            <w:tcW w:w="140" w:type="dxa"/>
            <w:vAlign w:val="bottom"/>
            <w:shd w:val="clear" w:color="auto" w:fill="BFE4FF"/>
          </w:tcPr>
          <w:p>
            <w:pPr>
              <w:spacing w:after="0"/>
              <w:rPr>
                <w:sz w:val="18"/>
                <w:szCs w:val="18"/>
                <w:color w:val="auto"/>
              </w:rPr>
            </w:pPr>
          </w:p>
        </w:tc>
        <w:tc>
          <w:tcPr>
            <w:tcW w:w="400" w:type="dxa"/>
            <w:vAlign w:val="bottom"/>
            <w:tcBorders>
              <w:bottom w:val="single" w:sz="8" w:color="auto"/>
            </w:tcBorders>
            <w:shd w:val="clear" w:color="auto" w:fill="BFE4FF"/>
          </w:tcPr>
          <w:p>
            <w:pPr>
              <w:spacing w:after="0"/>
              <w:rPr>
                <w:sz w:val="18"/>
                <w:szCs w:val="18"/>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7,884</w:t>
            </w:r>
          </w:p>
        </w:tc>
      </w:tr>
      <w:tr>
        <w:trPr>
          <w:trHeight w:val="193"/>
        </w:trPr>
        <w:tc>
          <w:tcPr>
            <w:tcW w:w="83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Acquisition of property, plant and equipment</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(4,262)</w:t>
            </w:r>
          </w:p>
        </w:tc>
        <w:tc>
          <w:tcPr>
            <w:tcW w:w="140" w:type="dxa"/>
            <w:vAlign w:val="bottom"/>
            <w:shd w:val="clear" w:color="auto" w:fill="BFE4FF"/>
          </w:tcPr>
          <w:p>
            <w:pPr>
              <w:spacing w:after="0"/>
              <w:rPr>
                <w:sz w:val="19"/>
                <w:szCs w:val="19"/>
                <w:color w:val="auto"/>
              </w:rPr>
            </w:pPr>
          </w:p>
        </w:tc>
        <w:tc>
          <w:tcPr>
            <w:tcW w:w="40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(5,468)</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Proceeds from sale of property, plant, and equipment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Cash settlements of interest rate swap</w:t>
            </w:r>
          </w:p>
        </w:tc>
        <w:tc>
          <w:tcPr>
            <w:tcW w:w="300" w:type="dxa"/>
            <w:vAlign w:val="bottom"/>
            <w:shd w:val="clear" w:color="auto" w:fill="BFE4FF"/>
          </w:tcPr>
          <w:p>
            <w:pPr>
              <w:spacing w:after="0"/>
              <w:rPr>
                <w:sz w:val="19"/>
                <w:szCs w:val="19"/>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(15,420)</w:t>
            </w:r>
          </w:p>
        </w:tc>
      </w:tr>
      <w:tr>
        <w:trPr>
          <w:trHeight w:val="206"/>
        </w:trPr>
        <w:tc>
          <w:tcPr>
            <w:tcW w:w="8380" w:type="dxa"/>
            <w:vAlign w:val="bottom"/>
            <w:tcBorders>
              <w:bottom w:val="single" w:sz="8" w:color="BFE4FF"/>
            </w:tcBorders>
          </w:tcPr>
          <w:p>
            <w:pPr>
              <w:ind w:left="11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(4,226)</w:t>
            </w:r>
          </w:p>
        </w:tc>
        <w:tc>
          <w:tcPr>
            <w:tcW w:w="140" w:type="dxa"/>
            <w:vAlign w:val="bottom"/>
            <w:tcBorders>
              <w:bottom w:val="single" w:sz="8" w:color="BFE4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(20,877)</w:t>
            </w:r>
          </w:p>
        </w:tc>
      </w:tr>
      <w:tr>
        <w:trPr>
          <w:trHeight w:val="199"/>
        </w:trPr>
        <w:tc>
          <w:tcPr>
            <w:tcW w:w="8380" w:type="dxa"/>
            <w:vAlign w:val="bottom"/>
            <w:shd w:val="clear" w:color="auto" w:fill="BFE4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BFE4FF"/>
          </w:tcPr>
          <w:p>
            <w:pPr>
              <w:spacing w:after="0"/>
              <w:rPr>
                <w:sz w:val="17"/>
                <w:szCs w:val="17"/>
                <w:color w:val="auto"/>
              </w:rPr>
            </w:pPr>
          </w:p>
        </w:tc>
        <w:tc>
          <w:tcPr>
            <w:tcW w:w="106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400" w:type="dxa"/>
            <w:vAlign w:val="bottom"/>
            <w:shd w:val="clear" w:color="auto" w:fill="BFE4FF"/>
          </w:tcPr>
          <w:p>
            <w:pPr>
              <w:spacing w:after="0"/>
              <w:rPr>
                <w:sz w:val="17"/>
                <w:szCs w:val="17"/>
                <w:color w:val="auto"/>
              </w:rPr>
            </w:pPr>
          </w:p>
        </w:tc>
        <w:tc>
          <w:tcPr>
            <w:tcW w:w="960" w:type="dxa"/>
            <w:vAlign w:val="bottom"/>
            <w:shd w:val="clear" w:color="auto" w:fill="BFE4FF"/>
          </w:tcPr>
          <w:p>
            <w:pPr>
              <w:spacing w:after="0"/>
              <w:rPr>
                <w:sz w:val="17"/>
                <w:szCs w:val="17"/>
                <w:color w:val="auto"/>
              </w:rPr>
            </w:pP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Cash paid for debt issuance costs</w:t>
            </w: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(6,856)</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Proceeds from issuance of preferred stock</w:t>
            </w:r>
          </w:p>
        </w:tc>
        <w:tc>
          <w:tcPr>
            <w:tcW w:w="300" w:type="dxa"/>
            <w:vAlign w:val="bottom"/>
            <w:shd w:val="clear" w:color="auto" w:fill="BFE4FF"/>
          </w:tcPr>
          <w:p>
            <w:pPr>
              <w:spacing w:after="0"/>
              <w:rPr>
                <w:sz w:val="19"/>
                <w:szCs w:val="19"/>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61,918</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Redemption of preferred stock</w:t>
            </w: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(122,434)</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Proceeds from long-term debt</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8,000</w:t>
            </w:r>
          </w:p>
        </w:tc>
        <w:tc>
          <w:tcPr>
            <w:tcW w:w="140" w:type="dxa"/>
            <w:vAlign w:val="bottom"/>
            <w:shd w:val="clear" w:color="auto" w:fill="BFE4FF"/>
          </w:tcPr>
          <w:p>
            <w:pPr>
              <w:spacing w:after="0"/>
              <w:rPr>
                <w:sz w:val="19"/>
                <w:szCs w:val="19"/>
                <w:color w:val="auto"/>
              </w:rPr>
            </w:pPr>
          </w:p>
        </w:tc>
        <w:tc>
          <w:tcPr>
            <w:tcW w:w="40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150,000</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Repayments of long-term debt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(8,729)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(70,721)</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Repayments of short-term debt, net</w:t>
            </w:r>
          </w:p>
        </w:tc>
        <w:tc>
          <w:tcPr>
            <w:tcW w:w="300" w:type="dxa"/>
            <w:vAlign w:val="bottom"/>
            <w:shd w:val="clear" w:color="auto" w:fill="BFE4FF"/>
          </w:tcPr>
          <w:p>
            <w:pPr>
              <w:spacing w:after="0"/>
              <w:rPr>
                <w:sz w:val="19"/>
                <w:szCs w:val="19"/>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(1,090)</w:t>
            </w:r>
          </w:p>
        </w:tc>
      </w:tr>
      <w:tr>
        <w:trPr>
          <w:trHeight w:val="213"/>
        </w:trPr>
        <w:tc>
          <w:tcPr>
            <w:tcW w:w="8380" w:type="dxa"/>
            <w:vAlign w:val="bottom"/>
            <w:tcBorders>
              <w:bottom w:val="single" w:sz="8" w:color="BFE4FF"/>
            </w:tcBorders>
          </w:tcPr>
          <w:p>
            <w:pPr>
              <w:ind w:left="1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w:t>
            </w:r>
          </w:p>
        </w:tc>
        <w:tc>
          <w:tcPr>
            <w:tcW w:w="140" w:type="dxa"/>
            <w:vAlign w:val="bottom"/>
            <w:tcBorders>
              <w:bottom w:val="single" w:sz="8" w:color="BFE4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(1,189)</w:t>
            </w:r>
          </w:p>
        </w:tc>
      </w:tr>
      <w:tr>
        <w:trPr>
          <w:trHeight w:val="212"/>
        </w:trPr>
        <w:tc>
          <w:tcPr>
            <w:tcW w:w="8380" w:type="dxa"/>
            <w:vAlign w:val="bottom"/>
            <w:shd w:val="clear" w:color="auto" w:fill="BFE4FF"/>
          </w:tcPr>
          <w:p>
            <w:pPr>
              <w:ind w:left="112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auto"/>
            </w:tcBorders>
            <w:shd w:val="clear" w:color="auto" w:fill="BFE4FF"/>
          </w:tcPr>
          <w:p>
            <w:pPr>
              <w:spacing w:after="0"/>
              <w:rPr>
                <w:sz w:val="18"/>
                <w:szCs w:val="18"/>
                <w:color w:val="auto"/>
              </w:rPr>
            </w:pPr>
          </w:p>
        </w:tc>
        <w:tc>
          <w:tcPr>
            <w:tcW w:w="10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(1,516)</w:t>
            </w:r>
          </w:p>
        </w:tc>
        <w:tc>
          <w:tcPr>
            <w:tcW w:w="140" w:type="dxa"/>
            <w:vAlign w:val="bottom"/>
            <w:shd w:val="clear" w:color="auto" w:fill="BFE4FF"/>
          </w:tcPr>
          <w:p>
            <w:pPr>
              <w:spacing w:after="0"/>
              <w:rPr>
                <w:sz w:val="18"/>
                <w:szCs w:val="18"/>
                <w:color w:val="auto"/>
              </w:rPr>
            </w:pPr>
          </w:p>
        </w:tc>
        <w:tc>
          <w:tcPr>
            <w:tcW w:w="400" w:type="dxa"/>
            <w:vAlign w:val="bottom"/>
            <w:tcBorders>
              <w:bottom w:val="single" w:sz="8" w:color="auto"/>
            </w:tcBorders>
            <w:shd w:val="clear" w:color="auto" w:fill="BFE4FF"/>
          </w:tcPr>
          <w:p>
            <w:pPr>
              <w:spacing w:after="0"/>
              <w:rPr>
                <w:sz w:val="18"/>
                <w:szCs w:val="18"/>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9,628</w:t>
            </w:r>
          </w:p>
        </w:tc>
      </w:tr>
      <w:tr>
        <w:trPr>
          <w:trHeight w:val="207"/>
        </w:trPr>
        <w:tc>
          <w:tcPr>
            <w:tcW w:w="8380" w:type="dxa"/>
            <w:vAlign w:val="bottom"/>
          </w:tcPr>
          <w:p>
            <w:pPr>
              <w:ind w:left="140"/>
              <w:spacing w:after="0"/>
              <w:rPr>
                <w:sz w:val="20"/>
                <w:szCs w:val="20"/>
                <w:color w:val="auto"/>
              </w:rPr>
            </w:pPr>
            <w:r>
              <w:rPr>
                <w:rFonts w:ascii="Arial" w:cs="Arial" w:eastAsia="Arial" w:hAnsi="Arial"/>
                <w:sz w:val="16"/>
                <w:szCs w:val="16"/>
                <w:color w:val="auto"/>
              </w:rPr>
              <w:t>Effect of exchange rate changes on cash flows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2,936</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(1,740)</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Net change in cash and cash equivalents</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(8,029)</w:t>
            </w:r>
          </w:p>
        </w:tc>
        <w:tc>
          <w:tcPr>
            <w:tcW w:w="140" w:type="dxa"/>
            <w:vAlign w:val="bottom"/>
            <w:shd w:val="clear" w:color="auto" w:fill="BFE4FF"/>
          </w:tcPr>
          <w:p>
            <w:pPr>
              <w:spacing w:after="0"/>
              <w:rPr>
                <w:sz w:val="19"/>
                <w:szCs w:val="19"/>
                <w:color w:val="auto"/>
              </w:rPr>
            </w:pPr>
          </w:p>
        </w:tc>
        <w:tc>
          <w:tcPr>
            <w:tcW w:w="40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(5,105)</w:t>
            </w:r>
          </w:p>
        </w:tc>
      </w:tr>
      <w:tr>
        <w:trPr>
          <w:trHeight w:val="213"/>
        </w:trPr>
        <w:tc>
          <w:tcPr>
            <w:tcW w:w="8380" w:type="dxa"/>
            <w:vAlign w:val="bottom"/>
            <w:tcBorders>
              <w:bottom w:val="single" w:sz="8" w:color="BFE4FF"/>
            </w:tcBorders>
          </w:tcPr>
          <w:p>
            <w:pPr>
              <w:ind w:left="140"/>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28,656</w:t>
            </w:r>
          </w:p>
        </w:tc>
        <w:tc>
          <w:tcPr>
            <w:tcW w:w="140" w:type="dxa"/>
            <w:vAlign w:val="bottom"/>
            <w:tcBorders>
              <w:bottom w:val="single" w:sz="8" w:color="BFE4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48,138</w:t>
            </w:r>
          </w:p>
        </w:tc>
      </w:tr>
      <w:tr>
        <w:trPr>
          <w:trHeight w:val="234"/>
        </w:trPr>
        <w:tc>
          <w:tcPr>
            <w:tcW w:w="838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20,627</w:t>
            </w:r>
          </w:p>
        </w:tc>
        <w:tc>
          <w:tcPr>
            <w:tcW w:w="140" w:type="dxa"/>
            <w:vAlign w:val="bottom"/>
            <w:tcBorders>
              <w:bottom w:val="single" w:sz="8" w:color="BFE4FF"/>
            </w:tcBorders>
            <w:shd w:val="clear" w:color="auto" w:fill="BFE4FF"/>
          </w:tcPr>
          <w:p>
            <w:pPr>
              <w:spacing w:after="0"/>
              <w:rPr>
                <w:sz w:val="19"/>
                <w:szCs w:val="19"/>
                <w:color w:val="auto"/>
              </w:rPr>
            </w:pPr>
          </w:p>
        </w:tc>
        <w:tc>
          <w:tcPr>
            <w:tcW w:w="400" w:type="dxa"/>
            <w:vAlign w:val="bottom"/>
            <w:tcBorders>
              <w:bottom w:val="single" w:sz="8" w:color="auto"/>
            </w:tcBorders>
            <w:shd w:val="clear" w:color="auto" w:fill="BFE4FF"/>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43,033</w:t>
            </w:r>
          </w:p>
        </w:tc>
      </w:tr>
      <w:tr>
        <w:trPr>
          <w:trHeight w:val="20"/>
        </w:trPr>
        <w:tc>
          <w:tcPr>
            <w:tcW w:w="8380" w:type="dxa"/>
            <w:vAlign w:val="bottom"/>
            <w:tcBorders>
              <w:top w:val="single" w:sz="8" w:color="BFE4FF"/>
            </w:tcBorders>
          </w:tcPr>
          <w:p>
            <w:pPr>
              <w:spacing w:after="0" w:line="20" w:lineRule="exact"/>
              <w:rPr>
                <w:sz w:val="1"/>
                <w:szCs w:val="1"/>
                <w:color w:val="auto"/>
              </w:rPr>
            </w:pPr>
          </w:p>
        </w:tc>
        <w:tc>
          <w:tcPr>
            <w:tcW w:w="300" w:type="dxa"/>
            <w:vAlign w:val="bottom"/>
            <w:tcBorders>
              <w:top w:val="single" w:sz="8" w:color="BFE4FF"/>
              <w:bottom w:val="single" w:sz="8" w:color="auto"/>
            </w:tcBorders>
          </w:tcPr>
          <w:p>
            <w:pPr>
              <w:spacing w:after="0" w:line="20" w:lineRule="exact"/>
              <w:rPr>
                <w:sz w:val="1"/>
                <w:szCs w:val="1"/>
                <w:color w:val="auto"/>
              </w:rPr>
            </w:pPr>
          </w:p>
        </w:tc>
        <w:tc>
          <w:tcPr>
            <w:tcW w:w="1060" w:type="dxa"/>
            <w:vAlign w:val="bottom"/>
            <w:tcBorders>
              <w:top w:val="single" w:sz="8" w:color="BFE4FF"/>
              <w:bottom w:val="single" w:sz="8" w:color="auto"/>
            </w:tcBorders>
          </w:tcPr>
          <w:p>
            <w:pPr>
              <w:spacing w:after="0" w:line="20" w:lineRule="exact"/>
              <w:rPr>
                <w:sz w:val="1"/>
                <w:szCs w:val="1"/>
                <w:color w:val="auto"/>
              </w:rPr>
            </w:pPr>
          </w:p>
        </w:tc>
        <w:tc>
          <w:tcPr>
            <w:tcW w:w="140" w:type="dxa"/>
            <w:vAlign w:val="bottom"/>
            <w:tcBorders>
              <w:top w:val="single" w:sz="8" w:color="BFE4FF"/>
            </w:tcBorders>
          </w:tcPr>
          <w:p>
            <w:pPr>
              <w:spacing w:after="0" w:line="20" w:lineRule="exact"/>
              <w:rPr>
                <w:sz w:val="1"/>
                <w:szCs w:val="1"/>
                <w:color w:val="auto"/>
              </w:rPr>
            </w:pPr>
          </w:p>
        </w:tc>
        <w:tc>
          <w:tcPr>
            <w:tcW w:w="400" w:type="dxa"/>
            <w:vAlign w:val="bottom"/>
            <w:tcBorders>
              <w:top w:val="single" w:sz="8" w:color="BFE4FF"/>
              <w:bottom w:val="single" w:sz="8" w:color="auto"/>
            </w:tcBorders>
          </w:tcPr>
          <w:p>
            <w:pPr>
              <w:spacing w:after="0" w:line="20" w:lineRule="exact"/>
              <w:rPr>
                <w:sz w:val="1"/>
                <w:szCs w:val="1"/>
                <w:color w:val="auto"/>
              </w:rPr>
            </w:pPr>
          </w:p>
        </w:tc>
        <w:tc>
          <w:tcPr>
            <w:tcW w:w="960" w:type="dxa"/>
            <w:vAlign w:val="bottom"/>
            <w:tcBorders>
              <w:top w:val="single" w:sz="8" w:color="BFE4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39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Reconciliation of GAAP Income (Loss) from Operations to Non-GAAP Adjusted Income (Loss) from Operations</w:t>
      </w:r>
    </w:p>
    <w:p>
      <w:pPr>
        <w:spacing w:after="0" w:line="200" w:lineRule="exact"/>
        <w:rPr>
          <w:sz w:val="20"/>
          <w:szCs w:val="20"/>
          <w:color w:val="auto"/>
        </w:rPr>
      </w:pPr>
    </w:p>
    <w:p>
      <w:pPr>
        <w:spacing w:after="0" w:line="340" w:lineRule="exact"/>
        <w:rPr>
          <w:sz w:val="20"/>
          <w:szCs w:val="20"/>
          <w:color w:val="auto"/>
        </w:rPr>
      </w:pPr>
    </w:p>
    <w:tbl>
      <w:tblPr>
        <w:tblLayout w:type="fixed"/>
        <w:tblInd w:w="260" w:type="dxa"/>
        <w:tblCellMar>
          <w:top w:w="0" w:type="dxa"/>
          <w:left w:w="0" w:type="dxa"/>
          <w:bottom w:w="0" w:type="dxa"/>
          <w:right w:w="0" w:type="dxa"/>
        </w:tblCellMar>
      </w:tblPr>
      <w:tr>
        <w:trPr>
          <w:trHeight w:val="223"/>
        </w:trPr>
        <w:tc>
          <w:tcPr>
            <w:tcW w:w="27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$000s</w:t>
            </w:r>
          </w:p>
        </w:tc>
        <w:tc>
          <w:tcPr>
            <w:tcW w:w="1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6"/>
                <w:szCs w:val="16"/>
                <w:b w:val="1"/>
                <w:bCs w:val="1"/>
                <w:color w:val="auto"/>
                <w:w w:val="95"/>
              </w:rPr>
              <w:t>Three Months Ended March 31,</w:t>
            </w:r>
          </w:p>
        </w:tc>
        <w:tc>
          <w:tcPr>
            <w:tcW w:w="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BFE4FF"/>
            </w:tcBorders>
          </w:tcPr>
          <w:p>
            <w:pPr>
              <w:ind w:left="20"/>
              <w:spacing w:after="0"/>
              <w:rPr>
                <w:sz w:val="20"/>
                <w:szCs w:val="20"/>
                <w:color w:val="auto"/>
              </w:rPr>
            </w:pPr>
            <w:r>
              <w:rPr>
                <w:rFonts w:ascii="Arial" w:cs="Arial" w:eastAsia="Arial" w:hAnsi="Arial"/>
                <w:sz w:val="16"/>
                <w:szCs w:val="16"/>
                <w:b w:val="1"/>
                <w:bCs w:val="1"/>
                <w:color w:val="auto"/>
              </w:rPr>
              <w:t>NN, Inc. Consolidated</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BFE4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20"/>
                <w:szCs w:val="20"/>
                <w:color w:val="auto"/>
              </w:rPr>
            </w:pPr>
          </w:p>
        </w:tc>
        <w:tc>
          <w:tcPr>
            <w:tcW w:w="274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$000s</w:t>
            </w:r>
          </w:p>
        </w:tc>
        <w:tc>
          <w:tcPr>
            <w:tcW w:w="140" w:type="dxa"/>
            <w:vAlign w:val="bottom"/>
          </w:tcPr>
          <w:p>
            <w:pPr>
              <w:spacing w:after="0"/>
              <w:rPr>
                <w:sz w:val="20"/>
                <w:szCs w:val="20"/>
                <w:color w:val="auto"/>
              </w:rPr>
            </w:pPr>
          </w:p>
        </w:tc>
        <w:tc>
          <w:tcPr>
            <w:tcW w:w="2440" w:type="dxa"/>
            <w:vAlign w:val="bottom"/>
            <w:gridSpan w:val="4"/>
            <w:vMerge w:val="restart"/>
          </w:tcPr>
          <w:p>
            <w:pPr>
              <w:jc w:val="right"/>
              <w:ind w:right="99"/>
              <w:spacing w:after="0"/>
              <w:rPr>
                <w:sz w:val="20"/>
                <w:szCs w:val="20"/>
                <w:color w:val="auto"/>
              </w:rPr>
            </w:pPr>
            <w:r>
              <w:rPr>
                <w:rFonts w:ascii="Arial" w:cs="Arial" w:eastAsia="Arial" w:hAnsi="Arial"/>
                <w:sz w:val="16"/>
                <w:szCs w:val="16"/>
                <w:b w:val="1"/>
                <w:bCs w:val="1"/>
                <w:color w:val="auto"/>
                <w:w w:val="94"/>
              </w:rPr>
              <w:t>Three Months Ended March 31,</w:t>
            </w:r>
          </w:p>
        </w:tc>
        <w:tc>
          <w:tcPr>
            <w:tcW w:w="0" w:type="dxa"/>
            <w:vAlign w:val="bottom"/>
          </w:tcPr>
          <w:p>
            <w:pPr>
              <w:spacing w:after="0"/>
              <w:rPr>
                <w:sz w:val="1"/>
                <w:szCs w:val="1"/>
                <w:color w:val="auto"/>
              </w:rPr>
            </w:pPr>
          </w:p>
        </w:tc>
      </w:tr>
      <w:tr>
        <w:trPr>
          <w:trHeight w:val="102"/>
        </w:trPr>
        <w:tc>
          <w:tcPr>
            <w:tcW w:w="2740" w:type="dxa"/>
            <w:vAlign w:val="bottom"/>
            <w:tcBorders>
              <w:bottom w:val="single" w:sz="8" w:color="BFE4FF"/>
            </w:tcBorders>
            <w:vMerge w:val="restart"/>
            <w:shd w:val="clear" w:color="auto" w:fill="BFE4FF"/>
          </w:tcPr>
          <w:p>
            <w:pPr>
              <w:ind w:left="20"/>
              <w:spacing w:after="0"/>
              <w:rPr>
                <w:sz w:val="20"/>
                <w:szCs w:val="20"/>
                <w:color w:val="auto"/>
              </w:rPr>
            </w:pPr>
            <w:r>
              <w:rPr>
                <w:rFonts w:ascii="Arial" w:cs="Arial" w:eastAsia="Arial" w:hAnsi="Arial"/>
                <w:sz w:val="16"/>
                <w:szCs w:val="16"/>
                <w:color w:val="auto"/>
              </w:rPr>
              <w:t>GAAP income (loss) from operations</w:t>
            </w:r>
          </w:p>
        </w:tc>
        <w:tc>
          <w:tcPr>
            <w:tcW w:w="140" w:type="dxa"/>
            <w:vAlign w:val="bottom"/>
            <w:tcBorders>
              <w:bottom w:val="single" w:sz="8" w:color="BFE4FF"/>
            </w:tcBorders>
            <w:vMerge w:val="restart"/>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BFE4FF"/>
            </w:tcBorders>
            <w:vMerge w:val="restart"/>
            <w:shd w:val="clear" w:color="auto" w:fill="BFE4FF"/>
          </w:tcPr>
          <w:p>
            <w:pPr>
              <w:jc w:val="right"/>
              <w:ind w:right="79"/>
              <w:spacing w:after="0"/>
              <w:rPr>
                <w:sz w:val="20"/>
                <w:szCs w:val="20"/>
                <w:color w:val="auto"/>
              </w:rPr>
            </w:pPr>
            <w:r>
              <w:rPr>
                <w:rFonts w:ascii="Arial" w:cs="Arial" w:eastAsia="Arial" w:hAnsi="Arial"/>
                <w:sz w:val="16"/>
                <w:szCs w:val="16"/>
                <w:color w:val="auto"/>
              </w:rPr>
              <w:t>(3,420)</w:t>
            </w:r>
          </w:p>
        </w:tc>
        <w:tc>
          <w:tcPr>
            <w:tcW w:w="120" w:type="dxa"/>
            <w:vAlign w:val="bottom"/>
            <w:tcBorders>
              <w:bottom w:val="single" w:sz="8" w:color="BFE4FF"/>
            </w:tcBorders>
            <w:shd w:val="clear" w:color="auto" w:fill="BFE4FF"/>
          </w:tcPr>
          <w:p>
            <w:pPr>
              <w:spacing w:after="0"/>
              <w:rPr>
                <w:sz w:val="8"/>
                <w:szCs w:val="8"/>
                <w:color w:val="auto"/>
              </w:rPr>
            </w:pPr>
          </w:p>
        </w:tc>
        <w:tc>
          <w:tcPr>
            <w:tcW w:w="280" w:type="dxa"/>
            <w:vAlign w:val="bottom"/>
            <w:tcBorders>
              <w:bottom w:val="single" w:sz="8" w:color="BFE4FF"/>
            </w:tcBorders>
            <w:vMerge w:val="restart"/>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BFE4FF"/>
            </w:tcBorders>
            <w:vMerge w:val="restart"/>
            <w:shd w:val="clear" w:color="auto" w:fill="BFE4FF"/>
          </w:tcPr>
          <w:p>
            <w:pPr>
              <w:jc w:val="right"/>
              <w:ind w:right="119"/>
              <w:spacing w:after="0"/>
              <w:rPr>
                <w:sz w:val="20"/>
                <w:szCs w:val="20"/>
                <w:color w:val="auto"/>
              </w:rPr>
            </w:pPr>
            <w:r>
              <w:rPr>
                <w:rFonts w:ascii="Arial" w:cs="Arial" w:eastAsia="Arial" w:hAnsi="Arial"/>
                <w:sz w:val="16"/>
                <w:szCs w:val="16"/>
                <w:color w:val="auto"/>
              </w:rPr>
              <w:t>978</w:t>
            </w:r>
          </w:p>
        </w:tc>
        <w:tc>
          <w:tcPr>
            <w:tcW w:w="60" w:type="dxa"/>
            <w:vAlign w:val="bottom"/>
          </w:tcPr>
          <w:p>
            <w:pPr>
              <w:spacing w:after="0"/>
              <w:rPr>
                <w:sz w:val="8"/>
                <w:szCs w:val="8"/>
                <w:color w:val="auto"/>
              </w:rPr>
            </w:pPr>
          </w:p>
        </w:tc>
        <w:tc>
          <w:tcPr>
            <w:tcW w:w="2740" w:type="dxa"/>
            <w:vAlign w:val="bottom"/>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740" w:type="dxa"/>
            <w:vAlign w:val="bottom"/>
            <w:vMerge w:val="continue"/>
            <w:shd w:val="clear" w:color="auto" w:fill="BFE4FF"/>
          </w:tcPr>
          <w:p>
            <w:pPr>
              <w:spacing w:after="0"/>
              <w:rPr>
                <w:sz w:val="9"/>
                <w:szCs w:val="9"/>
                <w:color w:val="auto"/>
              </w:rPr>
            </w:pPr>
          </w:p>
        </w:tc>
        <w:tc>
          <w:tcPr>
            <w:tcW w:w="140" w:type="dxa"/>
            <w:vAlign w:val="bottom"/>
            <w:vMerge w:val="continue"/>
            <w:shd w:val="clear" w:color="auto" w:fill="BFE4FF"/>
          </w:tcPr>
          <w:p>
            <w:pPr>
              <w:spacing w:after="0"/>
              <w:rPr>
                <w:sz w:val="9"/>
                <w:szCs w:val="9"/>
                <w:color w:val="auto"/>
              </w:rPr>
            </w:pPr>
          </w:p>
        </w:tc>
        <w:tc>
          <w:tcPr>
            <w:tcW w:w="1100" w:type="dxa"/>
            <w:vAlign w:val="bottom"/>
            <w:vMerge w:val="continue"/>
            <w:shd w:val="clear" w:color="auto" w:fill="BFE4FF"/>
          </w:tcPr>
          <w:p>
            <w:pPr>
              <w:spacing w:after="0"/>
              <w:rPr>
                <w:sz w:val="9"/>
                <w:szCs w:val="9"/>
                <w:color w:val="auto"/>
              </w:rPr>
            </w:pPr>
          </w:p>
        </w:tc>
        <w:tc>
          <w:tcPr>
            <w:tcW w:w="120" w:type="dxa"/>
            <w:vAlign w:val="bottom"/>
            <w:shd w:val="clear" w:color="auto" w:fill="BFE4FF"/>
          </w:tcPr>
          <w:p>
            <w:pPr>
              <w:spacing w:after="0"/>
              <w:rPr>
                <w:sz w:val="9"/>
                <w:szCs w:val="9"/>
                <w:color w:val="auto"/>
              </w:rPr>
            </w:pPr>
          </w:p>
        </w:tc>
        <w:tc>
          <w:tcPr>
            <w:tcW w:w="280" w:type="dxa"/>
            <w:vAlign w:val="bottom"/>
            <w:vMerge w:val="continue"/>
            <w:shd w:val="clear" w:color="auto" w:fill="BFE4FF"/>
          </w:tcPr>
          <w:p>
            <w:pPr>
              <w:spacing w:after="0"/>
              <w:rPr>
                <w:sz w:val="9"/>
                <w:szCs w:val="9"/>
                <w:color w:val="auto"/>
              </w:rPr>
            </w:pPr>
          </w:p>
        </w:tc>
        <w:tc>
          <w:tcPr>
            <w:tcW w:w="960" w:type="dxa"/>
            <w:vAlign w:val="bottom"/>
            <w:vMerge w:val="continue"/>
            <w:shd w:val="clear" w:color="auto" w:fill="BFE4FF"/>
          </w:tcPr>
          <w:p>
            <w:pPr>
              <w:spacing w:after="0"/>
              <w:rPr>
                <w:sz w:val="9"/>
                <w:szCs w:val="9"/>
                <w:color w:val="auto"/>
              </w:rPr>
            </w:pPr>
          </w:p>
        </w:tc>
        <w:tc>
          <w:tcPr>
            <w:tcW w:w="60" w:type="dxa"/>
            <w:vAlign w:val="bottom"/>
          </w:tcPr>
          <w:p>
            <w:pPr>
              <w:spacing w:after="0"/>
              <w:rPr>
                <w:sz w:val="9"/>
                <w:szCs w:val="9"/>
                <w:color w:val="auto"/>
              </w:rPr>
            </w:pPr>
          </w:p>
        </w:tc>
        <w:tc>
          <w:tcPr>
            <w:tcW w:w="2740" w:type="dxa"/>
            <w:vAlign w:val="bottom"/>
            <w:vMerge w:val="restart"/>
          </w:tcPr>
          <w:p>
            <w:pPr>
              <w:spacing w:after="0"/>
              <w:rPr>
                <w:sz w:val="20"/>
                <w:szCs w:val="20"/>
                <w:color w:val="auto"/>
              </w:rPr>
            </w:pPr>
            <w:r>
              <w:rPr>
                <w:rFonts w:ascii="Arial" w:cs="Arial" w:eastAsia="Arial" w:hAnsi="Arial"/>
                <w:sz w:val="16"/>
                <w:szCs w:val="16"/>
                <w:b w:val="1"/>
                <w:bCs w:val="1"/>
                <w:color w:val="auto"/>
              </w:rPr>
              <w:t>Mobile Solutions</w:t>
            </w:r>
          </w:p>
        </w:tc>
        <w:tc>
          <w:tcPr>
            <w:tcW w:w="140" w:type="dxa"/>
            <w:vAlign w:val="bottom"/>
          </w:tcPr>
          <w:p>
            <w:pPr>
              <w:spacing w:after="0"/>
              <w:rPr>
                <w:sz w:val="9"/>
                <w:szCs w:val="9"/>
                <w:color w:val="auto"/>
              </w:rPr>
            </w:pPr>
          </w:p>
        </w:tc>
        <w:tc>
          <w:tcPr>
            <w:tcW w:w="110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28"/>
        </w:trPr>
        <w:tc>
          <w:tcPr>
            <w:tcW w:w="2740" w:type="dxa"/>
            <w:vAlign w:val="bottom"/>
            <w:vMerge w:val="restart"/>
          </w:tcPr>
          <w:p>
            <w:pPr>
              <w:ind w:left="20"/>
              <w:spacing w:after="0"/>
              <w:rPr>
                <w:sz w:val="20"/>
                <w:szCs w:val="20"/>
                <w:color w:val="auto"/>
              </w:rPr>
            </w:pPr>
            <w:r>
              <w:rPr>
                <w:rFonts w:ascii="Arial" w:cs="Arial" w:eastAsia="Arial" w:hAnsi="Arial"/>
                <w:sz w:val="16"/>
                <w:szCs w:val="16"/>
                <w:color w:val="auto"/>
              </w:rPr>
              <w:t>Acquisition and transition expense*</w:t>
            </w:r>
          </w:p>
        </w:tc>
        <w:tc>
          <w:tcPr>
            <w:tcW w:w="140" w:type="dxa"/>
            <w:vAlign w:val="bottom"/>
          </w:tcPr>
          <w:p>
            <w:pPr>
              <w:spacing w:after="0"/>
              <w:rPr>
                <w:sz w:val="11"/>
                <w:szCs w:val="11"/>
                <w:color w:val="auto"/>
              </w:rPr>
            </w:pPr>
          </w:p>
        </w:tc>
        <w:tc>
          <w:tcPr>
            <w:tcW w:w="1100" w:type="dxa"/>
            <w:vAlign w:val="bottom"/>
            <w:vMerge w:val="restart"/>
          </w:tcPr>
          <w:p>
            <w:pPr>
              <w:jc w:val="right"/>
              <w:ind w:right="119"/>
              <w:spacing w:after="0"/>
              <w:rPr>
                <w:sz w:val="20"/>
                <w:szCs w:val="20"/>
                <w:color w:val="auto"/>
              </w:rPr>
            </w:pPr>
            <w:r>
              <w:rPr>
                <w:rFonts w:ascii="Arial" w:cs="Arial" w:eastAsia="Arial" w:hAnsi="Arial"/>
                <w:sz w:val="16"/>
                <w:szCs w:val="16"/>
                <w:color w:val="auto"/>
              </w:rPr>
              <w:t>2,254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color w:val="auto"/>
              </w:rPr>
              <w:t>1,789</w:t>
            </w:r>
          </w:p>
        </w:tc>
        <w:tc>
          <w:tcPr>
            <w:tcW w:w="60" w:type="dxa"/>
            <w:vAlign w:val="bottom"/>
          </w:tcPr>
          <w:p>
            <w:pPr>
              <w:spacing w:after="0"/>
              <w:rPr>
                <w:sz w:val="11"/>
                <w:szCs w:val="11"/>
                <w:color w:val="auto"/>
              </w:rPr>
            </w:pPr>
          </w:p>
        </w:tc>
        <w:tc>
          <w:tcPr>
            <w:tcW w:w="2740" w:type="dxa"/>
            <w:vAlign w:val="bottom"/>
            <w:tcBorders>
              <w:bottom w:val="single" w:sz="8" w:color="BFE4FF"/>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BFE4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740" w:type="dxa"/>
            <w:vAlign w:val="bottom"/>
            <w:vMerge w:val="restart"/>
            <w:shd w:val="clear" w:color="auto" w:fill="BFE4FF"/>
          </w:tcPr>
          <w:p>
            <w:pPr>
              <w:spacing w:after="0"/>
              <w:rPr>
                <w:sz w:val="20"/>
                <w:szCs w:val="20"/>
                <w:color w:val="auto"/>
              </w:rPr>
            </w:pPr>
            <w:r>
              <w:rPr>
                <w:rFonts w:ascii="Arial" w:cs="Arial" w:eastAsia="Arial" w:hAnsi="Arial"/>
                <w:sz w:val="16"/>
                <w:szCs w:val="16"/>
                <w:color w:val="auto"/>
              </w:rPr>
              <w:t>GAAP income (loss) from operations</w:t>
            </w:r>
          </w:p>
        </w:tc>
        <w:tc>
          <w:tcPr>
            <w:tcW w:w="140" w:type="dxa"/>
            <w:vAlign w:val="bottom"/>
            <w:vMerge w:val="restart"/>
            <w:shd w:val="clear" w:color="auto" w:fill="BFE4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vMerge w:val="restart"/>
            <w:shd w:val="clear" w:color="auto" w:fill="BFE4FF"/>
          </w:tcPr>
          <w:p>
            <w:pPr>
              <w:jc w:val="right"/>
              <w:ind w:right="139"/>
              <w:spacing w:after="0"/>
              <w:rPr>
                <w:sz w:val="20"/>
                <w:szCs w:val="20"/>
                <w:color w:val="auto"/>
              </w:rPr>
            </w:pPr>
            <w:r>
              <w:rPr>
                <w:rFonts w:ascii="Arial" w:cs="Arial" w:eastAsia="Arial" w:hAnsi="Arial"/>
                <w:sz w:val="16"/>
                <w:szCs w:val="16"/>
                <w:color w:val="auto"/>
              </w:rPr>
              <w:t>1,969</w:t>
            </w:r>
          </w:p>
        </w:tc>
        <w:tc>
          <w:tcPr>
            <w:tcW w:w="100" w:type="dxa"/>
            <w:vAlign w:val="bottom"/>
            <w:shd w:val="clear" w:color="auto" w:fill="BFE4FF"/>
          </w:tcPr>
          <w:p>
            <w:pPr>
              <w:spacing w:after="0"/>
              <w:rPr>
                <w:sz w:val="7"/>
                <w:szCs w:val="7"/>
                <w:color w:val="auto"/>
              </w:rPr>
            </w:pPr>
          </w:p>
        </w:tc>
        <w:tc>
          <w:tcPr>
            <w:tcW w:w="280" w:type="dxa"/>
            <w:vAlign w:val="bottom"/>
            <w:vMerge w:val="restart"/>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BFE4FF"/>
          </w:tcPr>
          <w:p>
            <w:pPr>
              <w:jc w:val="right"/>
              <w:ind w:right="119"/>
              <w:spacing w:after="0"/>
              <w:rPr>
                <w:sz w:val="20"/>
                <w:szCs w:val="20"/>
                <w:color w:val="auto"/>
              </w:rPr>
            </w:pPr>
            <w:r>
              <w:rPr>
                <w:rFonts w:ascii="Arial" w:cs="Arial" w:eastAsia="Arial" w:hAnsi="Arial"/>
                <w:sz w:val="16"/>
                <w:szCs w:val="16"/>
                <w:color w:val="auto"/>
              </w:rPr>
              <w:t>6,090</w:t>
            </w:r>
          </w:p>
        </w:tc>
        <w:tc>
          <w:tcPr>
            <w:tcW w:w="0" w:type="dxa"/>
            <w:vAlign w:val="bottom"/>
          </w:tcPr>
          <w:p>
            <w:pPr>
              <w:spacing w:after="0"/>
              <w:rPr>
                <w:sz w:val="1"/>
                <w:szCs w:val="1"/>
                <w:color w:val="auto"/>
              </w:rPr>
            </w:pPr>
          </w:p>
        </w:tc>
      </w:tr>
      <w:tr>
        <w:trPr>
          <w:trHeight w:val="141"/>
        </w:trPr>
        <w:tc>
          <w:tcPr>
            <w:tcW w:w="2740" w:type="dxa"/>
            <w:vAlign w:val="bottom"/>
            <w:vMerge w:val="restart"/>
            <w:shd w:val="clear" w:color="auto" w:fill="BFE4FF"/>
          </w:tcPr>
          <w:p>
            <w:pPr>
              <w:ind w:left="20"/>
              <w:spacing w:after="0"/>
              <w:rPr>
                <w:sz w:val="20"/>
                <w:szCs w:val="20"/>
                <w:color w:val="auto"/>
              </w:rPr>
            </w:pPr>
            <w:r>
              <w:rPr>
                <w:rFonts w:ascii="Arial" w:cs="Arial" w:eastAsia="Arial" w:hAnsi="Arial"/>
                <w:sz w:val="16"/>
                <w:szCs w:val="16"/>
                <w:color w:val="auto"/>
              </w:rPr>
              <w:t>Amortization of intangibles</w:t>
            </w:r>
          </w:p>
        </w:tc>
        <w:tc>
          <w:tcPr>
            <w:tcW w:w="140" w:type="dxa"/>
            <w:vAlign w:val="bottom"/>
            <w:shd w:val="clear" w:color="auto" w:fill="BFE4FF"/>
          </w:tcPr>
          <w:p>
            <w:pPr>
              <w:spacing w:after="0"/>
              <w:rPr>
                <w:sz w:val="12"/>
                <w:szCs w:val="12"/>
                <w:color w:val="auto"/>
              </w:rPr>
            </w:pPr>
          </w:p>
        </w:tc>
        <w:tc>
          <w:tcPr>
            <w:tcW w:w="1100" w:type="dxa"/>
            <w:vAlign w:val="bottom"/>
            <w:vMerge w:val="restart"/>
            <w:shd w:val="clear" w:color="auto" w:fill="BFE4FF"/>
          </w:tcPr>
          <w:p>
            <w:pPr>
              <w:jc w:val="right"/>
              <w:ind w:right="119"/>
              <w:spacing w:after="0"/>
              <w:rPr>
                <w:sz w:val="20"/>
                <w:szCs w:val="20"/>
                <w:color w:val="auto"/>
              </w:rPr>
            </w:pPr>
            <w:r>
              <w:rPr>
                <w:rFonts w:ascii="Arial" w:cs="Arial" w:eastAsia="Arial" w:hAnsi="Arial"/>
                <w:sz w:val="16"/>
                <w:szCs w:val="16"/>
                <w:color w:val="auto"/>
              </w:rPr>
              <w:t>3,587</w:t>
            </w:r>
          </w:p>
        </w:tc>
        <w:tc>
          <w:tcPr>
            <w:tcW w:w="120" w:type="dxa"/>
            <w:vAlign w:val="bottom"/>
            <w:shd w:val="clear" w:color="auto" w:fill="BFE4FF"/>
          </w:tcPr>
          <w:p>
            <w:pPr>
              <w:spacing w:after="0"/>
              <w:rPr>
                <w:sz w:val="12"/>
                <w:szCs w:val="12"/>
                <w:color w:val="auto"/>
              </w:rPr>
            </w:pPr>
          </w:p>
        </w:tc>
        <w:tc>
          <w:tcPr>
            <w:tcW w:w="280" w:type="dxa"/>
            <w:vAlign w:val="bottom"/>
            <w:shd w:val="clear" w:color="auto" w:fill="BFE4FF"/>
          </w:tcPr>
          <w:p>
            <w:pPr>
              <w:spacing w:after="0"/>
              <w:rPr>
                <w:sz w:val="12"/>
                <w:szCs w:val="12"/>
                <w:color w:val="auto"/>
              </w:rPr>
            </w:pPr>
          </w:p>
        </w:tc>
        <w:tc>
          <w:tcPr>
            <w:tcW w:w="960" w:type="dxa"/>
            <w:vAlign w:val="bottom"/>
            <w:vMerge w:val="restart"/>
            <w:shd w:val="clear" w:color="auto" w:fill="BFE4FF"/>
          </w:tcPr>
          <w:p>
            <w:pPr>
              <w:jc w:val="right"/>
              <w:ind w:right="119"/>
              <w:spacing w:after="0"/>
              <w:rPr>
                <w:sz w:val="20"/>
                <w:szCs w:val="20"/>
                <w:color w:val="auto"/>
              </w:rPr>
            </w:pPr>
            <w:r>
              <w:rPr>
                <w:rFonts w:ascii="Arial" w:cs="Arial" w:eastAsia="Arial" w:hAnsi="Arial"/>
                <w:sz w:val="16"/>
                <w:szCs w:val="16"/>
                <w:color w:val="auto"/>
              </w:rPr>
              <w:t>3,586</w:t>
            </w:r>
          </w:p>
        </w:tc>
        <w:tc>
          <w:tcPr>
            <w:tcW w:w="60" w:type="dxa"/>
            <w:vAlign w:val="bottom"/>
          </w:tcPr>
          <w:p>
            <w:pPr>
              <w:spacing w:after="0"/>
              <w:rPr>
                <w:sz w:val="12"/>
                <w:szCs w:val="12"/>
                <w:color w:val="auto"/>
              </w:rPr>
            </w:pPr>
          </w:p>
        </w:tc>
        <w:tc>
          <w:tcPr>
            <w:tcW w:w="2740" w:type="dxa"/>
            <w:vAlign w:val="bottom"/>
            <w:vMerge w:val="continue"/>
            <w:shd w:val="clear" w:color="auto" w:fill="BFE4FF"/>
          </w:tcPr>
          <w:p>
            <w:pPr>
              <w:spacing w:after="0"/>
              <w:rPr>
                <w:sz w:val="12"/>
                <w:szCs w:val="12"/>
                <w:color w:val="auto"/>
              </w:rPr>
            </w:pPr>
          </w:p>
        </w:tc>
        <w:tc>
          <w:tcPr>
            <w:tcW w:w="140" w:type="dxa"/>
            <w:vAlign w:val="bottom"/>
            <w:vMerge w:val="continue"/>
            <w:shd w:val="clear" w:color="auto" w:fill="BFE4FF"/>
          </w:tcPr>
          <w:p>
            <w:pPr>
              <w:spacing w:after="0"/>
              <w:rPr>
                <w:sz w:val="12"/>
                <w:szCs w:val="12"/>
                <w:color w:val="auto"/>
              </w:rPr>
            </w:pPr>
          </w:p>
        </w:tc>
        <w:tc>
          <w:tcPr>
            <w:tcW w:w="1100" w:type="dxa"/>
            <w:vAlign w:val="bottom"/>
            <w:vMerge w:val="continue"/>
            <w:shd w:val="clear" w:color="auto" w:fill="BFE4FF"/>
          </w:tcPr>
          <w:p>
            <w:pPr>
              <w:spacing w:after="0"/>
              <w:rPr>
                <w:sz w:val="12"/>
                <w:szCs w:val="12"/>
                <w:color w:val="auto"/>
              </w:rPr>
            </w:pPr>
          </w:p>
        </w:tc>
        <w:tc>
          <w:tcPr>
            <w:tcW w:w="100" w:type="dxa"/>
            <w:vAlign w:val="bottom"/>
            <w:shd w:val="clear" w:color="auto" w:fill="BFE4FF"/>
          </w:tcPr>
          <w:p>
            <w:pPr>
              <w:spacing w:after="0"/>
              <w:rPr>
                <w:sz w:val="12"/>
                <w:szCs w:val="12"/>
                <w:color w:val="auto"/>
              </w:rPr>
            </w:pPr>
          </w:p>
        </w:tc>
        <w:tc>
          <w:tcPr>
            <w:tcW w:w="280" w:type="dxa"/>
            <w:vAlign w:val="bottom"/>
            <w:vMerge w:val="continue"/>
            <w:shd w:val="clear" w:color="auto" w:fill="BFE4FF"/>
          </w:tcPr>
          <w:p>
            <w:pPr>
              <w:spacing w:after="0"/>
              <w:rPr>
                <w:sz w:val="12"/>
                <w:szCs w:val="12"/>
                <w:color w:val="auto"/>
              </w:rPr>
            </w:pPr>
          </w:p>
        </w:tc>
        <w:tc>
          <w:tcPr>
            <w:tcW w:w="960" w:type="dxa"/>
            <w:vAlign w:val="bottom"/>
            <w:vMerge w:val="continue"/>
            <w:shd w:val="clear" w:color="auto" w:fill="BFE4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740" w:type="dxa"/>
            <w:vAlign w:val="bottom"/>
            <w:vMerge w:val="continue"/>
            <w:shd w:val="clear" w:color="auto" w:fill="BFE4FF"/>
          </w:tcPr>
          <w:p>
            <w:pPr>
              <w:spacing w:after="0"/>
              <w:rPr>
                <w:sz w:val="9"/>
                <w:szCs w:val="9"/>
                <w:color w:val="auto"/>
              </w:rPr>
            </w:pPr>
          </w:p>
        </w:tc>
        <w:tc>
          <w:tcPr>
            <w:tcW w:w="140" w:type="dxa"/>
            <w:vAlign w:val="bottom"/>
            <w:shd w:val="clear" w:color="auto" w:fill="BFE4FF"/>
          </w:tcPr>
          <w:p>
            <w:pPr>
              <w:spacing w:after="0"/>
              <w:rPr>
                <w:sz w:val="9"/>
                <w:szCs w:val="9"/>
                <w:color w:val="auto"/>
              </w:rPr>
            </w:pPr>
          </w:p>
        </w:tc>
        <w:tc>
          <w:tcPr>
            <w:tcW w:w="1100" w:type="dxa"/>
            <w:vAlign w:val="bottom"/>
            <w:vMerge w:val="continue"/>
            <w:shd w:val="clear" w:color="auto" w:fill="BFE4FF"/>
          </w:tcPr>
          <w:p>
            <w:pPr>
              <w:spacing w:after="0"/>
              <w:rPr>
                <w:sz w:val="9"/>
                <w:szCs w:val="9"/>
                <w:color w:val="auto"/>
              </w:rPr>
            </w:pPr>
          </w:p>
        </w:tc>
        <w:tc>
          <w:tcPr>
            <w:tcW w:w="120" w:type="dxa"/>
            <w:vAlign w:val="bottom"/>
            <w:shd w:val="clear" w:color="auto" w:fill="BFE4FF"/>
          </w:tcPr>
          <w:p>
            <w:pPr>
              <w:spacing w:after="0"/>
              <w:rPr>
                <w:sz w:val="9"/>
                <w:szCs w:val="9"/>
                <w:color w:val="auto"/>
              </w:rPr>
            </w:pPr>
          </w:p>
        </w:tc>
        <w:tc>
          <w:tcPr>
            <w:tcW w:w="280" w:type="dxa"/>
            <w:vAlign w:val="bottom"/>
            <w:shd w:val="clear" w:color="auto" w:fill="BFE4FF"/>
          </w:tcPr>
          <w:p>
            <w:pPr>
              <w:spacing w:after="0"/>
              <w:rPr>
                <w:sz w:val="9"/>
                <w:szCs w:val="9"/>
                <w:color w:val="auto"/>
              </w:rPr>
            </w:pPr>
          </w:p>
        </w:tc>
        <w:tc>
          <w:tcPr>
            <w:tcW w:w="960" w:type="dxa"/>
            <w:vAlign w:val="bottom"/>
            <w:vMerge w:val="continue"/>
            <w:shd w:val="clear" w:color="auto" w:fill="BFE4FF"/>
          </w:tcPr>
          <w:p>
            <w:pPr>
              <w:spacing w:after="0"/>
              <w:rPr>
                <w:sz w:val="9"/>
                <w:szCs w:val="9"/>
                <w:color w:val="auto"/>
              </w:rPr>
            </w:pPr>
          </w:p>
        </w:tc>
        <w:tc>
          <w:tcPr>
            <w:tcW w:w="60" w:type="dxa"/>
            <w:vAlign w:val="bottom"/>
          </w:tcPr>
          <w:p>
            <w:pPr>
              <w:spacing w:after="0"/>
              <w:rPr>
                <w:sz w:val="9"/>
                <w:szCs w:val="9"/>
                <w:color w:val="auto"/>
              </w:rPr>
            </w:pPr>
          </w:p>
        </w:tc>
        <w:tc>
          <w:tcPr>
            <w:tcW w:w="2740" w:type="dxa"/>
            <w:vAlign w:val="bottom"/>
            <w:vMerge w:val="restart"/>
          </w:tcPr>
          <w:p>
            <w:pPr>
              <w:spacing w:after="0"/>
              <w:rPr>
                <w:sz w:val="20"/>
                <w:szCs w:val="20"/>
                <w:color w:val="auto"/>
              </w:rPr>
            </w:pPr>
            <w:r>
              <w:rPr>
                <w:rFonts w:ascii="Arial" w:cs="Arial" w:eastAsia="Arial" w:hAnsi="Arial"/>
                <w:sz w:val="16"/>
                <w:szCs w:val="16"/>
                <w:color w:val="auto"/>
              </w:rPr>
              <w:t>Acquisition and transition expense</w:t>
            </w:r>
          </w:p>
        </w:tc>
        <w:tc>
          <w:tcPr>
            <w:tcW w:w="140" w:type="dxa"/>
            <w:vAlign w:val="bottom"/>
          </w:tcPr>
          <w:p>
            <w:pPr>
              <w:spacing w:after="0"/>
              <w:rPr>
                <w:sz w:val="9"/>
                <w:szCs w:val="9"/>
                <w:color w:val="auto"/>
              </w:rPr>
            </w:pPr>
          </w:p>
        </w:tc>
        <w:tc>
          <w:tcPr>
            <w:tcW w:w="120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9"/>
                <w:szCs w:val="9"/>
                <w:color w:val="auto"/>
              </w:rPr>
            </w:pP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132"/>
        </w:trPr>
        <w:tc>
          <w:tcPr>
            <w:tcW w:w="2740" w:type="dxa"/>
            <w:vAlign w:val="bottom"/>
            <w:vMerge w:val="restart"/>
          </w:tcPr>
          <w:p>
            <w:pPr>
              <w:ind w:left="20"/>
              <w:spacing w:after="0"/>
              <w:rPr>
                <w:sz w:val="20"/>
                <w:szCs w:val="20"/>
                <w:color w:val="auto"/>
              </w:rPr>
            </w:pPr>
            <w:r>
              <w:rPr>
                <w:rFonts w:ascii="Arial" w:cs="Arial" w:eastAsia="Arial" w:hAnsi="Arial"/>
                <w:sz w:val="16"/>
                <w:szCs w:val="16"/>
                <w:color w:val="auto"/>
              </w:rPr>
              <w:t>Fixed asset impairments</w:t>
            </w:r>
          </w:p>
        </w:tc>
        <w:tc>
          <w:tcPr>
            <w:tcW w:w="140" w:type="dxa"/>
            <w:vAlign w:val="bottom"/>
          </w:tcPr>
          <w:p>
            <w:pPr>
              <w:spacing w:after="0"/>
              <w:rPr>
                <w:sz w:val="11"/>
                <w:szCs w:val="11"/>
                <w:color w:val="auto"/>
              </w:rPr>
            </w:pPr>
          </w:p>
        </w:tc>
        <w:tc>
          <w:tcPr>
            <w:tcW w:w="1100" w:type="dxa"/>
            <w:vAlign w:val="bottom"/>
            <w:vMerge w:val="restart"/>
          </w:tcPr>
          <w:p>
            <w:pPr>
              <w:jc w:val="right"/>
              <w:ind w:right="119"/>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1"/>
                <w:szCs w:val="11"/>
                <w:color w:val="auto"/>
              </w:rPr>
            </w:pPr>
          </w:p>
        </w:tc>
        <w:tc>
          <w:tcPr>
            <w:tcW w:w="27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740" w:type="dxa"/>
            <w:vAlign w:val="bottom"/>
            <w:tcBorders>
              <w:bottom w:val="single" w:sz="8" w:color="BFE4FF"/>
            </w:tcBorders>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BFE4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2740" w:type="dxa"/>
            <w:vAlign w:val="bottom"/>
            <w:tcBorders>
              <w:bottom w:val="single" w:sz="8" w:color="BFE4FF"/>
            </w:tcBorders>
            <w:vMerge w:val="restart"/>
            <w:shd w:val="clear" w:color="auto" w:fill="BFE4FF"/>
          </w:tcPr>
          <w:p>
            <w:pPr>
              <w:spacing w:after="0"/>
              <w:rPr>
                <w:sz w:val="20"/>
                <w:szCs w:val="20"/>
                <w:color w:val="auto"/>
              </w:rPr>
            </w:pPr>
            <w:r>
              <w:rPr>
                <w:rFonts w:ascii="Arial" w:cs="Arial" w:eastAsia="Arial" w:hAnsi="Arial"/>
                <w:sz w:val="16"/>
                <w:szCs w:val="16"/>
                <w:color w:val="auto"/>
              </w:rPr>
              <w:t>Amortization of intangibles</w:t>
            </w:r>
          </w:p>
        </w:tc>
        <w:tc>
          <w:tcPr>
            <w:tcW w:w="140" w:type="dxa"/>
            <w:vAlign w:val="bottom"/>
            <w:tcBorders>
              <w:bottom w:val="single" w:sz="8" w:color="BFE4FF"/>
            </w:tcBorders>
            <w:shd w:val="clear" w:color="auto" w:fill="BFE4FF"/>
          </w:tcPr>
          <w:p>
            <w:pPr>
              <w:spacing w:after="0"/>
              <w:rPr>
                <w:sz w:val="9"/>
                <w:szCs w:val="9"/>
                <w:color w:val="auto"/>
              </w:rPr>
            </w:pPr>
          </w:p>
        </w:tc>
        <w:tc>
          <w:tcPr>
            <w:tcW w:w="1100" w:type="dxa"/>
            <w:vAlign w:val="bottom"/>
            <w:tcBorders>
              <w:bottom w:val="single" w:sz="8" w:color="BFE4FF"/>
            </w:tcBorders>
            <w:vMerge w:val="restart"/>
            <w:shd w:val="clear" w:color="auto" w:fill="BFE4FF"/>
          </w:tcPr>
          <w:p>
            <w:pPr>
              <w:jc w:val="right"/>
              <w:ind w:right="139"/>
              <w:spacing w:after="0"/>
              <w:rPr>
                <w:sz w:val="20"/>
                <w:szCs w:val="20"/>
                <w:color w:val="auto"/>
              </w:rPr>
            </w:pPr>
            <w:r>
              <w:rPr>
                <w:rFonts w:ascii="Arial" w:cs="Arial" w:eastAsia="Arial" w:hAnsi="Arial"/>
                <w:sz w:val="16"/>
                <w:szCs w:val="16"/>
                <w:color w:val="auto"/>
              </w:rPr>
              <w:t>838</w:t>
            </w:r>
          </w:p>
        </w:tc>
        <w:tc>
          <w:tcPr>
            <w:tcW w:w="100" w:type="dxa"/>
            <w:vAlign w:val="bottom"/>
            <w:tcBorders>
              <w:bottom w:val="single" w:sz="8" w:color="BFE4FF"/>
            </w:tcBorders>
            <w:shd w:val="clear" w:color="auto" w:fill="BFE4FF"/>
          </w:tcPr>
          <w:p>
            <w:pPr>
              <w:spacing w:after="0"/>
              <w:rPr>
                <w:sz w:val="9"/>
                <w:szCs w:val="9"/>
                <w:color w:val="auto"/>
              </w:rPr>
            </w:pPr>
          </w:p>
        </w:tc>
        <w:tc>
          <w:tcPr>
            <w:tcW w:w="280" w:type="dxa"/>
            <w:vAlign w:val="bottom"/>
            <w:tcBorders>
              <w:bottom w:val="single" w:sz="8" w:color="BFE4FF"/>
            </w:tcBorders>
            <w:shd w:val="clear" w:color="auto" w:fill="BFE4FF"/>
          </w:tcPr>
          <w:p>
            <w:pPr>
              <w:spacing w:after="0"/>
              <w:rPr>
                <w:sz w:val="9"/>
                <w:szCs w:val="9"/>
                <w:color w:val="auto"/>
              </w:rPr>
            </w:pPr>
          </w:p>
        </w:tc>
        <w:tc>
          <w:tcPr>
            <w:tcW w:w="960" w:type="dxa"/>
            <w:vAlign w:val="bottom"/>
            <w:tcBorders>
              <w:bottom w:val="single" w:sz="8" w:color="BFE4FF"/>
            </w:tcBorders>
            <w:vMerge w:val="restart"/>
            <w:shd w:val="clear" w:color="auto" w:fill="BFE4FF"/>
          </w:tcPr>
          <w:p>
            <w:pPr>
              <w:jc w:val="right"/>
              <w:ind w:right="119"/>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121"/>
        </w:trPr>
        <w:tc>
          <w:tcPr>
            <w:tcW w:w="2740" w:type="dxa"/>
            <w:vAlign w:val="bottom"/>
            <w:vMerge w:val="restart"/>
            <w:shd w:val="clear" w:color="auto" w:fill="BFE4FF"/>
          </w:tcPr>
          <w:p>
            <w:pPr>
              <w:ind w:left="20"/>
              <w:spacing w:after="0"/>
              <w:rPr>
                <w:sz w:val="20"/>
                <w:szCs w:val="20"/>
                <w:color w:val="auto"/>
              </w:rPr>
            </w:pPr>
            <w:r>
              <w:rPr>
                <w:rFonts w:ascii="Arial" w:cs="Arial" w:eastAsia="Arial" w:hAnsi="Arial"/>
                <w:sz w:val="16"/>
                <w:szCs w:val="16"/>
                <w:color w:val="auto"/>
                <w:w w:val="96"/>
              </w:rPr>
              <w:t>Non-GAAP adjusted income (loss) from</w:t>
            </w:r>
          </w:p>
        </w:tc>
        <w:tc>
          <w:tcPr>
            <w:tcW w:w="140" w:type="dxa"/>
            <w:vAlign w:val="bottom"/>
            <w:shd w:val="clear" w:color="auto" w:fill="BFE4FF"/>
          </w:tcPr>
          <w:p>
            <w:pPr>
              <w:spacing w:after="0"/>
              <w:rPr>
                <w:sz w:val="10"/>
                <w:szCs w:val="10"/>
                <w:color w:val="auto"/>
              </w:rPr>
            </w:pPr>
          </w:p>
        </w:tc>
        <w:tc>
          <w:tcPr>
            <w:tcW w:w="1100" w:type="dxa"/>
            <w:vAlign w:val="bottom"/>
            <w:shd w:val="clear" w:color="auto" w:fill="BFE4FF"/>
          </w:tcPr>
          <w:p>
            <w:pPr>
              <w:spacing w:after="0"/>
              <w:rPr>
                <w:sz w:val="10"/>
                <w:szCs w:val="10"/>
                <w:color w:val="auto"/>
              </w:rPr>
            </w:pPr>
          </w:p>
        </w:tc>
        <w:tc>
          <w:tcPr>
            <w:tcW w:w="120" w:type="dxa"/>
            <w:vAlign w:val="bottom"/>
            <w:shd w:val="clear" w:color="auto" w:fill="BFE4FF"/>
          </w:tcPr>
          <w:p>
            <w:pPr>
              <w:spacing w:after="0"/>
              <w:rPr>
                <w:sz w:val="10"/>
                <w:szCs w:val="10"/>
                <w:color w:val="auto"/>
              </w:rPr>
            </w:pPr>
          </w:p>
        </w:tc>
        <w:tc>
          <w:tcPr>
            <w:tcW w:w="280" w:type="dxa"/>
            <w:vAlign w:val="bottom"/>
            <w:shd w:val="clear" w:color="auto" w:fill="BFE4FF"/>
          </w:tcPr>
          <w:p>
            <w:pPr>
              <w:spacing w:after="0"/>
              <w:rPr>
                <w:sz w:val="10"/>
                <w:szCs w:val="10"/>
                <w:color w:val="auto"/>
              </w:rPr>
            </w:pPr>
          </w:p>
        </w:tc>
        <w:tc>
          <w:tcPr>
            <w:tcW w:w="960" w:type="dxa"/>
            <w:vAlign w:val="bottom"/>
            <w:shd w:val="clear" w:color="auto" w:fill="BFE4FF"/>
          </w:tcPr>
          <w:p>
            <w:pPr>
              <w:spacing w:after="0"/>
              <w:rPr>
                <w:sz w:val="10"/>
                <w:szCs w:val="10"/>
                <w:color w:val="auto"/>
              </w:rPr>
            </w:pPr>
          </w:p>
        </w:tc>
        <w:tc>
          <w:tcPr>
            <w:tcW w:w="60" w:type="dxa"/>
            <w:vAlign w:val="bottom"/>
          </w:tcPr>
          <w:p>
            <w:pPr>
              <w:spacing w:after="0"/>
              <w:rPr>
                <w:sz w:val="10"/>
                <w:szCs w:val="10"/>
                <w:color w:val="auto"/>
              </w:rPr>
            </w:pPr>
          </w:p>
        </w:tc>
        <w:tc>
          <w:tcPr>
            <w:tcW w:w="2740" w:type="dxa"/>
            <w:vAlign w:val="bottom"/>
            <w:vMerge w:val="continue"/>
            <w:shd w:val="clear" w:color="auto" w:fill="BFE4FF"/>
          </w:tcPr>
          <w:p>
            <w:pPr>
              <w:spacing w:after="0"/>
              <w:rPr>
                <w:sz w:val="10"/>
                <w:szCs w:val="10"/>
                <w:color w:val="auto"/>
              </w:rPr>
            </w:pPr>
          </w:p>
        </w:tc>
        <w:tc>
          <w:tcPr>
            <w:tcW w:w="140" w:type="dxa"/>
            <w:vAlign w:val="bottom"/>
            <w:shd w:val="clear" w:color="auto" w:fill="BFE4FF"/>
          </w:tcPr>
          <w:p>
            <w:pPr>
              <w:spacing w:after="0"/>
              <w:rPr>
                <w:sz w:val="10"/>
                <w:szCs w:val="10"/>
                <w:color w:val="auto"/>
              </w:rPr>
            </w:pPr>
          </w:p>
        </w:tc>
        <w:tc>
          <w:tcPr>
            <w:tcW w:w="1100" w:type="dxa"/>
            <w:vAlign w:val="bottom"/>
            <w:vMerge w:val="continue"/>
            <w:shd w:val="clear" w:color="auto" w:fill="BFE4FF"/>
          </w:tcPr>
          <w:p>
            <w:pPr>
              <w:spacing w:after="0"/>
              <w:rPr>
                <w:sz w:val="10"/>
                <w:szCs w:val="10"/>
                <w:color w:val="auto"/>
              </w:rPr>
            </w:pPr>
          </w:p>
        </w:tc>
        <w:tc>
          <w:tcPr>
            <w:tcW w:w="100" w:type="dxa"/>
            <w:vAlign w:val="bottom"/>
            <w:shd w:val="clear" w:color="auto" w:fill="BFE4FF"/>
          </w:tcPr>
          <w:p>
            <w:pPr>
              <w:spacing w:after="0"/>
              <w:rPr>
                <w:sz w:val="10"/>
                <w:szCs w:val="10"/>
                <w:color w:val="auto"/>
              </w:rPr>
            </w:pPr>
          </w:p>
        </w:tc>
        <w:tc>
          <w:tcPr>
            <w:tcW w:w="280" w:type="dxa"/>
            <w:vAlign w:val="bottom"/>
            <w:shd w:val="clear" w:color="auto" w:fill="BFE4FF"/>
          </w:tcPr>
          <w:p>
            <w:pPr>
              <w:spacing w:after="0"/>
              <w:rPr>
                <w:sz w:val="10"/>
                <w:szCs w:val="10"/>
                <w:color w:val="auto"/>
              </w:rPr>
            </w:pPr>
          </w:p>
        </w:tc>
        <w:tc>
          <w:tcPr>
            <w:tcW w:w="960" w:type="dxa"/>
            <w:vAlign w:val="bottom"/>
            <w:vMerge w:val="continue"/>
            <w:shd w:val="clear" w:color="auto" w:fill="BFE4FF"/>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740" w:type="dxa"/>
            <w:vAlign w:val="bottom"/>
            <w:vMerge w:val="continue"/>
            <w:shd w:val="clear" w:color="auto" w:fill="BFE4FF"/>
          </w:tcPr>
          <w:p>
            <w:pPr>
              <w:spacing w:after="0"/>
              <w:rPr>
                <w:sz w:val="6"/>
                <w:szCs w:val="6"/>
                <w:color w:val="auto"/>
              </w:rPr>
            </w:pPr>
          </w:p>
        </w:tc>
        <w:tc>
          <w:tcPr>
            <w:tcW w:w="14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BFE4FF"/>
          </w:tcPr>
          <w:p>
            <w:pPr>
              <w:jc w:val="right"/>
              <w:ind w:right="119"/>
              <w:spacing w:after="0"/>
              <w:rPr>
                <w:sz w:val="20"/>
                <w:szCs w:val="20"/>
                <w:color w:val="auto"/>
              </w:rPr>
            </w:pPr>
            <w:r>
              <w:rPr>
                <w:rFonts w:ascii="Arial" w:cs="Arial" w:eastAsia="Arial" w:hAnsi="Arial"/>
                <w:sz w:val="16"/>
                <w:szCs w:val="16"/>
                <w:color w:val="auto"/>
              </w:rPr>
              <w:t>2,654</w:t>
            </w:r>
          </w:p>
        </w:tc>
        <w:tc>
          <w:tcPr>
            <w:tcW w:w="120" w:type="dxa"/>
            <w:vAlign w:val="bottom"/>
            <w:shd w:val="clear" w:color="auto" w:fill="BFE4FF"/>
          </w:tcPr>
          <w:p>
            <w:pPr>
              <w:spacing w:after="0"/>
              <w:rPr>
                <w:sz w:val="6"/>
                <w:szCs w:val="6"/>
                <w:color w:val="auto"/>
              </w:rPr>
            </w:pPr>
          </w:p>
        </w:tc>
        <w:tc>
          <w:tcPr>
            <w:tcW w:w="280" w:type="dxa"/>
            <w:vAlign w:val="bottom"/>
            <w:vMerge w:val="restart"/>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BFE4FF"/>
          </w:tcPr>
          <w:p>
            <w:pPr>
              <w:jc w:val="right"/>
              <w:ind w:right="119"/>
              <w:spacing w:after="0"/>
              <w:rPr>
                <w:sz w:val="20"/>
                <w:szCs w:val="20"/>
                <w:color w:val="auto"/>
              </w:rPr>
            </w:pPr>
            <w:r>
              <w:rPr>
                <w:rFonts w:ascii="Arial" w:cs="Arial" w:eastAsia="Arial" w:hAnsi="Arial"/>
                <w:sz w:val="16"/>
                <w:szCs w:val="16"/>
                <w:color w:val="auto"/>
              </w:rPr>
              <w:t>6,354</w:t>
            </w:r>
          </w:p>
        </w:tc>
        <w:tc>
          <w:tcPr>
            <w:tcW w:w="60" w:type="dxa"/>
            <w:vAlign w:val="bottom"/>
          </w:tcPr>
          <w:p>
            <w:pPr>
              <w:spacing w:after="0"/>
              <w:rPr>
                <w:sz w:val="6"/>
                <w:szCs w:val="6"/>
                <w:color w:val="auto"/>
              </w:rPr>
            </w:pPr>
          </w:p>
        </w:tc>
        <w:tc>
          <w:tcPr>
            <w:tcW w:w="2740" w:type="dxa"/>
            <w:vAlign w:val="bottom"/>
            <w:vMerge w:val="restart"/>
          </w:tcPr>
          <w:p>
            <w:pPr>
              <w:spacing w:after="0"/>
              <w:rPr>
                <w:sz w:val="20"/>
                <w:szCs w:val="20"/>
                <w:color w:val="auto"/>
              </w:rPr>
            </w:pPr>
            <w:r>
              <w:rPr>
                <w:rFonts w:ascii="Arial" w:cs="Arial" w:eastAsia="Arial" w:hAnsi="Arial"/>
                <w:sz w:val="16"/>
                <w:szCs w:val="16"/>
                <w:color w:val="auto"/>
              </w:rPr>
              <w:t>Fixed asset impairments</w:t>
            </w:r>
          </w:p>
        </w:tc>
        <w:tc>
          <w:tcPr>
            <w:tcW w:w="140" w:type="dxa"/>
            <w:vAlign w:val="bottom"/>
          </w:tcPr>
          <w:p>
            <w:pPr>
              <w:spacing w:after="0"/>
              <w:rPr>
                <w:sz w:val="6"/>
                <w:szCs w:val="6"/>
                <w:color w:val="auto"/>
              </w:rPr>
            </w:pPr>
          </w:p>
        </w:tc>
        <w:tc>
          <w:tcPr>
            <w:tcW w:w="1100" w:type="dxa"/>
            <w:vAlign w:val="bottom"/>
            <w:vMerge w:val="restart"/>
          </w:tcPr>
          <w:p>
            <w:pPr>
              <w:jc w:val="right"/>
              <w:ind w:right="139"/>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2"/>
        </w:trPr>
        <w:tc>
          <w:tcPr>
            <w:tcW w:w="2740" w:type="dxa"/>
            <w:vAlign w:val="bottom"/>
            <w:tcBorders>
              <w:bottom w:val="single" w:sz="8" w:color="BFE4FF"/>
            </w:tcBorders>
            <w:shd w:val="clear" w:color="auto" w:fill="BFE4FF"/>
          </w:tcPr>
          <w:p>
            <w:pPr>
              <w:ind w:left="20"/>
              <w:spacing w:after="0" w:line="172" w:lineRule="exact"/>
              <w:rPr>
                <w:sz w:val="20"/>
                <w:szCs w:val="20"/>
                <w:color w:val="auto"/>
              </w:rPr>
            </w:pPr>
            <w:r>
              <w:rPr>
                <w:rFonts w:ascii="Arial" w:cs="Arial" w:eastAsia="Arial" w:hAnsi="Arial"/>
                <w:sz w:val="16"/>
                <w:szCs w:val="16"/>
                <w:color w:val="auto"/>
              </w:rPr>
              <w:t>operations (a)</w:t>
            </w:r>
          </w:p>
        </w:tc>
        <w:tc>
          <w:tcPr>
            <w:tcW w:w="140" w:type="dxa"/>
            <w:vAlign w:val="bottom"/>
            <w:tcBorders>
              <w:bottom w:val="single" w:sz="8" w:color="BFE4FF"/>
            </w:tcBorders>
            <w:vMerge w:val="continue"/>
            <w:shd w:val="clear" w:color="auto" w:fill="BFE4FF"/>
          </w:tcPr>
          <w:p>
            <w:pPr>
              <w:spacing w:after="0"/>
              <w:rPr>
                <w:sz w:val="23"/>
                <w:szCs w:val="23"/>
                <w:color w:val="auto"/>
              </w:rPr>
            </w:pPr>
          </w:p>
        </w:tc>
        <w:tc>
          <w:tcPr>
            <w:tcW w:w="1100" w:type="dxa"/>
            <w:vAlign w:val="bottom"/>
            <w:tcBorders>
              <w:bottom w:val="single" w:sz="8" w:color="BFE4FF"/>
            </w:tcBorders>
            <w:vMerge w:val="continue"/>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280" w:type="dxa"/>
            <w:vAlign w:val="bottom"/>
            <w:tcBorders>
              <w:bottom w:val="single" w:sz="8" w:color="BFE4FF"/>
            </w:tcBorders>
            <w:vMerge w:val="continue"/>
            <w:shd w:val="clear" w:color="auto" w:fill="BFE4FF"/>
          </w:tcPr>
          <w:p>
            <w:pPr>
              <w:spacing w:after="0"/>
              <w:rPr>
                <w:sz w:val="23"/>
                <w:szCs w:val="23"/>
                <w:color w:val="auto"/>
              </w:rPr>
            </w:pPr>
          </w:p>
        </w:tc>
        <w:tc>
          <w:tcPr>
            <w:tcW w:w="960" w:type="dxa"/>
            <w:vAlign w:val="bottom"/>
            <w:tcBorders>
              <w:bottom w:val="single" w:sz="8" w:color="BFE4FF"/>
            </w:tcBorders>
            <w:vMerge w:val="continue"/>
            <w:shd w:val="clear" w:color="auto" w:fill="BFE4FF"/>
          </w:tcPr>
          <w:p>
            <w:pPr>
              <w:spacing w:after="0"/>
              <w:rPr>
                <w:sz w:val="23"/>
                <w:szCs w:val="23"/>
                <w:color w:val="auto"/>
              </w:rPr>
            </w:pPr>
          </w:p>
        </w:tc>
        <w:tc>
          <w:tcPr>
            <w:tcW w:w="60" w:type="dxa"/>
            <w:vAlign w:val="bottom"/>
          </w:tcPr>
          <w:p>
            <w:pPr>
              <w:spacing w:after="0"/>
              <w:rPr>
                <w:sz w:val="23"/>
                <w:szCs w:val="23"/>
                <w:color w:val="auto"/>
              </w:rPr>
            </w:pPr>
          </w:p>
        </w:tc>
        <w:tc>
          <w:tcPr>
            <w:tcW w:w="2740" w:type="dxa"/>
            <w:vAlign w:val="bottom"/>
            <w:tcBorders>
              <w:bottom w:val="single" w:sz="8" w:color="BFE4FF"/>
            </w:tcBorders>
            <w:vMerge w:val="continue"/>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BFE4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86"/>
        </w:trPr>
        <w:tc>
          <w:tcPr>
            <w:tcW w:w="2740" w:type="dxa"/>
            <w:vAlign w:val="bottom"/>
            <w:tcBorders>
              <w:top w:val="single" w:sz="8" w:color="BFE4FF"/>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120" w:type="dxa"/>
            <w:vAlign w:val="bottom"/>
            <w:tcBorders>
              <w:top w:val="single" w:sz="8" w:color="BFE4FF"/>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740" w:type="dxa"/>
            <w:vAlign w:val="bottom"/>
            <w:tcBorders>
              <w:top w:val="single" w:sz="8" w:color="BFE4FF"/>
            </w:tcBorders>
            <w:shd w:val="clear" w:color="auto" w:fill="BFE4FF"/>
          </w:tcPr>
          <w:p>
            <w:pPr>
              <w:spacing w:after="0" w:line="86" w:lineRule="exact"/>
              <w:rPr>
                <w:sz w:val="20"/>
                <w:szCs w:val="20"/>
                <w:color w:val="auto"/>
              </w:rPr>
            </w:pPr>
            <w:r>
              <w:rPr>
                <w:rFonts w:ascii="Arial" w:cs="Arial" w:eastAsia="Arial" w:hAnsi="Arial"/>
                <w:sz w:val="9"/>
                <w:szCs w:val="9"/>
                <w:color w:val="auto"/>
              </w:rPr>
              <w:t>Non-GAAP adjusted income (loss) from</w:t>
            </w:r>
          </w:p>
        </w:tc>
        <w:tc>
          <w:tcPr>
            <w:tcW w:w="140" w:type="dxa"/>
            <w:vAlign w:val="bottom"/>
            <w:tcBorders>
              <w:top w:val="single" w:sz="8" w:color="BFE4FF"/>
            </w:tcBorders>
            <w:shd w:val="clear" w:color="auto" w:fill="BFE4FF"/>
          </w:tcPr>
          <w:p>
            <w:pPr>
              <w:spacing w:after="0"/>
              <w:rPr>
                <w:sz w:val="7"/>
                <w:szCs w:val="7"/>
                <w:color w:val="auto"/>
              </w:rPr>
            </w:pPr>
          </w:p>
        </w:tc>
        <w:tc>
          <w:tcPr>
            <w:tcW w:w="1100" w:type="dxa"/>
            <w:vAlign w:val="bottom"/>
            <w:tcBorders>
              <w:top w:val="single" w:sz="8" w:color="BFE4FF"/>
            </w:tcBorders>
            <w:shd w:val="clear" w:color="auto" w:fill="BFE4FF"/>
          </w:tcPr>
          <w:p>
            <w:pPr>
              <w:spacing w:after="0"/>
              <w:rPr>
                <w:sz w:val="7"/>
                <w:szCs w:val="7"/>
                <w:color w:val="auto"/>
              </w:rPr>
            </w:pPr>
          </w:p>
        </w:tc>
        <w:tc>
          <w:tcPr>
            <w:tcW w:w="100" w:type="dxa"/>
            <w:vAlign w:val="bottom"/>
            <w:tcBorders>
              <w:top w:val="single" w:sz="8" w:color="BFE4FF"/>
            </w:tcBorders>
            <w:shd w:val="clear" w:color="auto" w:fill="BFE4FF"/>
          </w:tcPr>
          <w:p>
            <w:pPr>
              <w:spacing w:after="0"/>
              <w:rPr>
                <w:sz w:val="7"/>
                <w:szCs w:val="7"/>
                <w:color w:val="auto"/>
              </w:rPr>
            </w:pPr>
          </w:p>
        </w:tc>
        <w:tc>
          <w:tcPr>
            <w:tcW w:w="280" w:type="dxa"/>
            <w:vAlign w:val="bottom"/>
            <w:tcBorders>
              <w:top w:val="single" w:sz="8" w:color="BFE4FF"/>
            </w:tcBorders>
            <w:shd w:val="clear" w:color="auto" w:fill="BFE4FF"/>
          </w:tcPr>
          <w:p>
            <w:pPr>
              <w:spacing w:after="0"/>
              <w:rPr>
                <w:sz w:val="7"/>
                <w:szCs w:val="7"/>
                <w:color w:val="auto"/>
              </w:rPr>
            </w:pPr>
          </w:p>
        </w:tc>
        <w:tc>
          <w:tcPr>
            <w:tcW w:w="960" w:type="dxa"/>
            <w:vAlign w:val="bottom"/>
            <w:tcBorders>
              <w:top w:val="single" w:sz="8" w:color="BFE4FF"/>
            </w:tcBorders>
            <w:shd w:val="clear" w:color="auto" w:fill="BFE4FF"/>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2740" w:type="dxa"/>
            <w:vAlign w:val="bottom"/>
            <w:vMerge w:val="restart"/>
            <w:shd w:val="clear" w:color="auto" w:fill="BFE4FF"/>
          </w:tcPr>
          <w:p>
            <w:pPr>
              <w:spacing w:after="0"/>
              <w:rPr>
                <w:sz w:val="20"/>
                <w:szCs w:val="20"/>
                <w:color w:val="auto"/>
              </w:rPr>
            </w:pPr>
            <w:r>
              <w:rPr>
                <w:rFonts w:ascii="Arial" w:cs="Arial" w:eastAsia="Arial" w:hAnsi="Arial"/>
                <w:sz w:val="16"/>
                <w:szCs w:val="16"/>
                <w:color w:val="auto"/>
              </w:rPr>
              <w:t>operations (a)</w:t>
            </w:r>
          </w:p>
        </w:tc>
        <w:tc>
          <w:tcPr>
            <w:tcW w:w="140" w:type="dxa"/>
            <w:vAlign w:val="bottom"/>
            <w:shd w:val="clear" w:color="auto" w:fill="BFE4FF"/>
          </w:tcPr>
          <w:p>
            <w:pPr>
              <w:spacing w:after="0"/>
              <w:rPr>
                <w:sz w:val="5"/>
                <w:szCs w:val="5"/>
                <w:color w:val="auto"/>
              </w:rPr>
            </w:pPr>
          </w:p>
        </w:tc>
        <w:tc>
          <w:tcPr>
            <w:tcW w:w="1100" w:type="dxa"/>
            <w:vAlign w:val="bottom"/>
            <w:vMerge w:val="restart"/>
            <w:shd w:val="clear" w:color="auto" w:fill="BFE4FF"/>
          </w:tcPr>
          <w:p>
            <w:pPr>
              <w:jc w:val="right"/>
              <w:ind w:right="139"/>
              <w:spacing w:after="0"/>
              <w:rPr>
                <w:sz w:val="20"/>
                <w:szCs w:val="20"/>
                <w:color w:val="auto"/>
              </w:rPr>
            </w:pPr>
            <w:r>
              <w:rPr>
                <w:rFonts w:ascii="Arial" w:cs="Arial" w:eastAsia="Arial" w:hAnsi="Arial"/>
                <w:sz w:val="16"/>
                <w:szCs w:val="16"/>
                <w:color w:val="auto"/>
              </w:rPr>
              <w:t>3,040</w:t>
            </w:r>
          </w:p>
        </w:tc>
        <w:tc>
          <w:tcPr>
            <w:tcW w:w="100" w:type="dxa"/>
            <w:vAlign w:val="bottom"/>
            <w:vMerge w:val="restart"/>
            <w:shd w:val="clear" w:color="auto" w:fill="BFE4FF"/>
          </w:tcPr>
          <w:p>
            <w:pPr>
              <w:spacing w:after="0"/>
              <w:rPr>
                <w:sz w:val="5"/>
                <w:szCs w:val="5"/>
                <w:color w:val="auto"/>
              </w:rPr>
            </w:pPr>
          </w:p>
        </w:tc>
        <w:tc>
          <w:tcPr>
            <w:tcW w:w="280" w:type="dxa"/>
            <w:vAlign w:val="bottom"/>
            <w:shd w:val="clear" w:color="auto" w:fill="BFE4FF"/>
          </w:tcPr>
          <w:p>
            <w:pPr>
              <w:spacing w:after="0"/>
              <w:rPr>
                <w:sz w:val="5"/>
                <w:szCs w:val="5"/>
                <w:color w:val="auto"/>
              </w:rPr>
            </w:pPr>
          </w:p>
        </w:tc>
        <w:tc>
          <w:tcPr>
            <w:tcW w:w="960" w:type="dxa"/>
            <w:vAlign w:val="bottom"/>
            <w:vMerge w:val="restart"/>
            <w:shd w:val="clear" w:color="auto" w:fill="BFE4FF"/>
          </w:tcPr>
          <w:p>
            <w:pPr>
              <w:jc w:val="right"/>
              <w:ind w:right="119"/>
              <w:spacing w:after="0"/>
              <w:rPr>
                <w:sz w:val="20"/>
                <w:szCs w:val="20"/>
                <w:color w:val="auto"/>
              </w:rPr>
            </w:pPr>
            <w:r>
              <w:rPr>
                <w:rFonts w:ascii="Arial" w:cs="Arial" w:eastAsia="Arial" w:hAnsi="Arial"/>
                <w:sz w:val="16"/>
                <w:szCs w:val="16"/>
                <w:color w:val="auto"/>
              </w:rPr>
              <w:t>7,090</w:t>
            </w:r>
          </w:p>
        </w:tc>
        <w:tc>
          <w:tcPr>
            <w:tcW w:w="0" w:type="dxa"/>
            <w:vAlign w:val="bottom"/>
          </w:tcPr>
          <w:p>
            <w:pPr>
              <w:spacing w:after="0"/>
              <w:rPr>
                <w:sz w:val="1"/>
                <w:szCs w:val="1"/>
                <w:color w:val="auto"/>
              </w:rPr>
            </w:pPr>
          </w:p>
        </w:tc>
      </w:tr>
      <w:tr>
        <w:trPr>
          <w:trHeight w:val="159"/>
        </w:trPr>
        <w:tc>
          <w:tcPr>
            <w:tcW w:w="2740" w:type="dxa"/>
            <w:vAlign w:val="bottom"/>
            <w:tcBorders>
              <w:bottom w:val="single" w:sz="8" w:color="BFE4FF"/>
            </w:tcBorders>
            <w:shd w:val="clear" w:color="auto" w:fill="BFE4FF"/>
          </w:tcPr>
          <w:p>
            <w:pPr>
              <w:ind w:left="20"/>
              <w:spacing w:after="0" w:line="155" w:lineRule="exact"/>
              <w:rPr>
                <w:sz w:val="20"/>
                <w:szCs w:val="20"/>
                <w:color w:val="auto"/>
              </w:rPr>
            </w:pPr>
            <w:r>
              <w:rPr>
                <w:rFonts w:ascii="Arial" w:cs="Arial" w:eastAsia="Arial" w:hAnsi="Arial"/>
                <w:sz w:val="16"/>
                <w:szCs w:val="16"/>
                <w:color w:val="auto"/>
              </w:rPr>
              <w:t>Non-GAAP adjusted operating margin</w:t>
            </w:r>
          </w:p>
        </w:tc>
        <w:tc>
          <w:tcPr>
            <w:tcW w:w="140" w:type="dxa"/>
            <w:vAlign w:val="bottom"/>
            <w:tcBorders>
              <w:bottom w:val="single" w:sz="8" w:color="BFE4FF"/>
            </w:tcBorders>
            <w:shd w:val="clear" w:color="auto" w:fill="BFE4FF"/>
          </w:tcPr>
          <w:p>
            <w:pPr>
              <w:spacing w:after="0"/>
              <w:rPr>
                <w:sz w:val="13"/>
                <w:szCs w:val="13"/>
                <w:color w:val="auto"/>
              </w:rPr>
            </w:pPr>
          </w:p>
        </w:tc>
        <w:tc>
          <w:tcPr>
            <w:tcW w:w="1100" w:type="dxa"/>
            <w:vAlign w:val="bottom"/>
            <w:tcBorders>
              <w:bottom w:val="single" w:sz="8" w:color="BFE4FF"/>
            </w:tcBorders>
            <w:shd w:val="clear" w:color="auto" w:fill="BFE4FF"/>
          </w:tcPr>
          <w:p>
            <w:pPr>
              <w:spacing w:after="0"/>
              <w:rPr>
                <w:sz w:val="13"/>
                <w:szCs w:val="13"/>
                <w:color w:val="auto"/>
              </w:rPr>
            </w:pPr>
          </w:p>
        </w:tc>
        <w:tc>
          <w:tcPr>
            <w:tcW w:w="120" w:type="dxa"/>
            <w:vAlign w:val="bottom"/>
            <w:tcBorders>
              <w:bottom w:val="single" w:sz="8" w:color="BFE4FF"/>
            </w:tcBorders>
            <w:shd w:val="clear" w:color="auto" w:fill="BFE4FF"/>
          </w:tcPr>
          <w:p>
            <w:pPr>
              <w:spacing w:after="0"/>
              <w:rPr>
                <w:sz w:val="13"/>
                <w:szCs w:val="13"/>
                <w:color w:val="auto"/>
              </w:rPr>
            </w:pPr>
          </w:p>
        </w:tc>
        <w:tc>
          <w:tcPr>
            <w:tcW w:w="280" w:type="dxa"/>
            <w:vAlign w:val="bottom"/>
            <w:tcBorders>
              <w:bottom w:val="single" w:sz="8" w:color="BFE4FF"/>
            </w:tcBorders>
            <w:shd w:val="clear" w:color="auto" w:fill="BFE4FF"/>
          </w:tcPr>
          <w:p>
            <w:pPr>
              <w:spacing w:after="0"/>
              <w:rPr>
                <w:sz w:val="13"/>
                <w:szCs w:val="13"/>
                <w:color w:val="auto"/>
              </w:rPr>
            </w:pPr>
          </w:p>
        </w:tc>
        <w:tc>
          <w:tcPr>
            <w:tcW w:w="960" w:type="dxa"/>
            <w:vAlign w:val="bottom"/>
            <w:tcBorders>
              <w:bottom w:val="single" w:sz="8" w:color="BFE4FF"/>
            </w:tcBorders>
            <w:shd w:val="clear" w:color="auto" w:fill="BFE4FF"/>
          </w:tcPr>
          <w:p>
            <w:pPr>
              <w:spacing w:after="0"/>
              <w:rPr>
                <w:sz w:val="13"/>
                <w:szCs w:val="13"/>
                <w:color w:val="auto"/>
              </w:rPr>
            </w:pPr>
          </w:p>
        </w:tc>
        <w:tc>
          <w:tcPr>
            <w:tcW w:w="60" w:type="dxa"/>
            <w:vAlign w:val="bottom"/>
            <w:vMerge w:val="continue"/>
          </w:tcPr>
          <w:p>
            <w:pPr>
              <w:spacing w:after="0"/>
              <w:rPr>
                <w:sz w:val="13"/>
                <w:szCs w:val="13"/>
                <w:color w:val="auto"/>
              </w:rPr>
            </w:pPr>
          </w:p>
        </w:tc>
        <w:tc>
          <w:tcPr>
            <w:tcW w:w="2740" w:type="dxa"/>
            <w:vAlign w:val="bottom"/>
            <w:vMerge w:val="continue"/>
            <w:shd w:val="clear" w:color="auto" w:fill="BFE4FF"/>
          </w:tcPr>
          <w:p>
            <w:pPr>
              <w:spacing w:after="0"/>
              <w:rPr>
                <w:sz w:val="13"/>
                <w:szCs w:val="13"/>
                <w:color w:val="auto"/>
              </w:rPr>
            </w:pPr>
          </w:p>
        </w:tc>
        <w:tc>
          <w:tcPr>
            <w:tcW w:w="140" w:type="dxa"/>
            <w:vAlign w:val="bottom"/>
            <w:tcBorders>
              <w:bottom w:val="single" w:sz="8" w:color="auto"/>
            </w:tcBorders>
            <w:shd w:val="clear" w:color="auto" w:fill="BFE4FF"/>
          </w:tcPr>
          <w:p>
            <w:pPr>
              <w:spacing w:after="0"/>
              <w:rPr>
                <w:sz w:val="13"/>
                <w:szCs w:val="13"/>
                <w:color w:val="auto"/>
              </w:rPr>
            </w:pPr>
          </w:p>
        </w:tc>
        <w:tc>
          <w:tcPr>
            <w:tcW w:w="1100" w:type="dxa"/>
            <w:vAlign w:val="bottom"/>
            <w:tcBorders>
              <w:bottom w:val="single" w:sz="8" w:color="auto"/>
            </w:tcBorders>
            <w:vMerge w:val="continue"/>
            <w:shd w:val="clear" w:color="auto" w:fill="BFE4FF"/>
          </w:tcPr>
          <w:p>
            <w:pPr>
              <w:spacing w:after="0"/>
              <w:rPr>
                <w:sz w:val="13"/>
                <w:szCs w:val="13"/>
                <w:color w:val="auto"/>
              </w:rPr>
            </w:pPr>
          </w:p>
        </w:tc>
        <w:tc>
          <w:tcPr>
            <w:tcW w:w="100" w:type="dxa"/>
            <w:vAlign w:val="bottom"/>
            <w:vMerge w:val="continue"/>
            <w:shd w:val="clear" w:color="auto" w:fill="BFE4FF"/>
          </w:tcPr>
          <w:p>
            <w:pPr>
              <w:spacing w:after="0"/>
              <w:rPr>
                <w:sz w:val="13"/>
                <w:szCs w:val="13"/>
                <w:color w:val="auto"/>
              </w:rPr>
            </w:pPr>
          </w:p>
        </w:tc>
        <w:tc>
          <w:tcPr>
            <w:tcW w:w="280" w:type="dxa"/>
            <w:vAlign w:val="bottom"/>
            <w:tcBorders>
              <w:bottom w:val="single" w:sz="8" w:color="auto"/>
            </w:tcBorders>
            <w:shd w:val="clear" w:color="auto" w:fill="BFE4FF"/>
          </w:tcPr>
          <w:p>
            <w:pPr>
              <w:spacing w:after="0"/>
              <w:rPr>
                <w:sz w:val="13"/>
                <w:szCs w:val="13"/>
                <w:color w:val="auto"/>
              </w:rPr>
            </w:pPr>
          </w:p>
        </w:tc>
        <w:tc>
          <w:tcPr>
            <w:tcW w:w="960" w:type="dxa"/>
            <w:vAlign w:val="bottom"/>
            <w:tcBorders>
              <w:bottom w:val="single" w:sz="8" w:color="auto"/>
            </w:tcBorders>
            <w:vMerge w:val="continue"/>
            <w:shd w:val="clear" w:color="auto" w:fill="BFE4FF"/>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27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BFE4FF"/>
            </w:tcBorders>
            <w:shd w:val="clear" w:color="auto" w:fill="BFE4FF"/>
          </w:tcPr>
          <w:p>
            <w:pPr>
              <w:spacing w:after="0"/>
              <w:rPr>
                <w:sz w:val="20"/>
                <w:szCs w:val="20"/>
                <w:color w:val="auto"/>
              </w:rPr>
            </w:pPr>
          </w:p>
        </w:tc>
        <w:tc>
          <w:tcPr>
            <w:tcW w:w="11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2.1 %</w:t>
            </w:r>
          </w:p>
        </w:tc>
        <w:tc>
          <w:tcPr>
            <w:tcW w:w="120" w:type="dxa"/>
            <w:vAlign w:val="bottom"/>
            <w:tcBorders>
              <w:bottom w:val="single" w:sz="8" w:color="BFE4FF"/>
            </w:tcBorders>
            <w:shd w:val="clear" w:color="auto" w:fill="BFE4FF"/>
          </w:tcPr>
          <w:p>
            <w:pPr>
              <w:spacing w:after="0"/>
              <w:rPr>
                <w:sz w:val="20"/>
                <w:szCs w:val="20"/>
                <w:color w:val="auto"/>
              </w:rPr>
            </w:pPr>
          </w:p>
        </w:tc>
        <w:tc>
          <w:tcPr>
            <w:tcW w:w="280" w:type="dxa"/>
            <w:vAlign w:val="bottom"/>
            <w:tcBorders>
              <w:bottom w:val="single" w:sz="8" w:color="BFE4FF"/>
            </w:tcBorders>
            <w:shd w:val="clear" w:color="auto" w:fill="BFE4FF"/>
          </w:tcPr>
          <w:p>
            <w:pPr>
              <w:spacing w:after="0"/>
              <w:rPr>
                <w:sz w:val="20"/>
                <w:szCs w:val="20"/>
                <w:color w:val="auto"/>
              </w:rPr>
            </w:pPr>
          </w:p>
        </w:tc>
        <w:tc>
          <w:tcPr>
            <w:tcW w:w="9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5.0 %</w:t>
            </w:r>
          </w:p>
        </w:tc>
        <w:tc>
          <w:tcPr>
            <w:tcW w:w="60" w:type="dxa"/>
            <w:vAlign w:val="bottom"/>
          </w:tcPr>
          <w:p>
            <w:pPr>
              <w:spacing w:after="0"/>
              <w:rPr>
                <w:sz w:val="20"/>
                <w:szCs w:val="20"/>
                <w:color w:val="auto"/>
              </w:rPr>
            </w:pPr>
          </w:p>
        </w:tc>
        <w:tc>
          <w:tcPr>
            <w:tcW w:w="2740" w:type="dxa"/>
            <w:vAlign w:val="bottom"/>
            <w:tcBorders>
              <w:bottom w:val="single" w:sz="8" w:color="BFE4FF"/>
            </w:tcBorders>
          </w:tcPr>
          <w:p>
            <w:pPr>
              <w:spacing w:after="0"/>
              <w:rPr>
                <w:sz w:val="20"/>
                <w:szCs w:val="20"/>
                <w:color w:val="auto"/>
              </w:rPr>
            </w:pPr>
          </w:p>
        </w:tc>
        <w:tc>
          <w:tcPr>
            <w:tcW w:w="140" w:type="dxa"/>
            <w:vAlign w:val="bottom"/>
            <w:tcBorders>
              <w:bottom w:val="single" w:sz="8" w:color="BFE4FF"/>
            </w:tcBorders>
          </w:tcPr>
          <w:p>
            <w:pPr>
              <w:spacing w:after="0"/>
              <w:rPr>
                <w:sz w:val="20"/>
                <w:szCs w:val="20"/>
                <w:color w:val="auto"/>
              </w:rPr>
            </w:pPr>
          </w:p>
        </w:tc>
        <w:tc>
          <w:tcPr>
            <w:tcW w:w="1100" w:type="dxa"/>
            <w:vAlign w:val="bottom"/>
            <w:tcBorders>
              <w:bottom w:val="single" w:sz="8" w:color="BFE4FF"/>
            </w:tcBorders>
          </w:tcPr>
          <w:p>
            <w:pPr>
              <w:spacing w:after="0"/>
              <w:rPr>
                <w:sz w:val="20"/>
                <w:szCs w:val="20"/>
                <w:color w:val="auto"/>
              </w:rPr>
            </w:pPr>
          </w:p>
        </w:tc>
        <w:tc>
          <w:tcPr>
            <w:tcW w:w="100" w:type="dxa"/>
            <w:vAlign w:val="bottom"/>
            <w:tcBorders>
              <w:bottom w:val="single" w:sz="8" w:color="BFE4FF"/>
            </w:tcBorders>
          </w:tcPr>
          <w:p>
            <w:pPr>
              <w:spacing w:after="0"/>
              <w:rPr>
                <w:sz w:val="20"/>
                <w:szCs w:val="20"/>
                <w:color w:val="auto"/>
              </w:rPr>
            </w:pPr>
          </w:p>
        </w:tc>
        <w:tc>
          <w:tcPr>
            <w:tcW w:w="280" w:type="dxa"/>
            <w:vAlign w:val="bottom"/>
            <w:tcBorders>
              <w:bottom w:val="single" w:sz="8" w:color="BFE4FF"/>
            </w:tcBorders>
          </w:tcPr>
          <w:p>
            <w:pPr>
              <w:spacing w:after="0"/>
              <w:rPr>
                <w:sz w:val="20"/>
                <w:szCs w:val="20"/>
                <w:color w:val="auto"/>
              </w:rPr>
            </w:pPr>
          </w:p>
        </w:tc>
        <w:tc>
          <w:tcPr>
            <w:tcW w:w="960" w:type="dxa"/>
            <w:vAlign w:val="bottom"/>
            <w:tcBorders>
              <w:bottom w:val="single" w:sz="8" w:color="BFE4FF"/>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740" w:type="dxa"/>
            <w:vAlign w:val="bottom"/>
            <w:vMerge w:val="restart"/>
          </w:tcPr>
          <w:p>
            <w:pPr>
              <w:ind w:left="20"/>
              <w:spacing w:after="0"/>
              <w:rPr>
                <w:sz w:val="20"/>
                <w:szCs w:val="20"/>
                <w:color w:val="auto"/>
              </w:rPr>
            </w:pPr>
            <w:r>
              <w:rPr>
                <w:rFonts w:ascii="Arial" w:cs="Arial" w:eastAsia="Arial" w:hAnsi="Arial"/>
                <w:sz w:val="16"/>
                <w:szCs w:val="16"/>
                <w:color w:val="auto"/>
              </w:rPr>
              <w:t>GAAP net sales</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ind w:right="119"/>
              <w:spacing w:after="0"/>
              <w:rPr>
                <w:sz w:val="20"/>
                <w:szCs w:val="20"/>
                <w:color w:val="auto"/>
              </w:rPr>
            </w:pPr>
            <w:r>
              <w:rPr>
                <w:rFonts w:ascii="Arial" w:cs="Arial" w:eastAsia="Arial" w:hAnsi="Arial"/>
                <w:sz w:val="16"/>
                <w:szCs w:val="16"/>
                <w:color w:val="auto"/>
              </w:rPr>
              <w:t>128,067</w:t>
            </w:r>
          </w:p>
        </w:tc>
        <w:tc>
          <w:tcPr>
            <w:tcW w:w="12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color w:val="auto"/>
              </w:rPr>
              <w:t>126,804</w:t>
            </w:r>
          </w:p>
        </w:tc>
        <w:tc>
          <w:tcPr>
            <w:tcW w:w="60" w:type="dxa"/>
            <w:vAlign w:val="bottom"/>
          </w:tcPr>
          <w:p>
            <w:pPr>
              <w:spacing w:after="0"/>
              <w:rPr>
                <w:sz w:val="14"/>
                <w:szCs w:val="14"/>
                <w:color w:val="auto"/>
              </w:rPr>
            </w:pPr>
          </w:p>
        </w:tc>
        <w:tc>
          <w:tcPr>
            <w:tcW w:w="2740" w:type="dxa"/>
            <w:vAlign w:val="bottom"/>
            <w:shd w:val="clear" w:color="auto" w:fill="BFE4FF"/>
          </w:tcPr>
          <w:p>
            <w:pPr>
              <w:spacing w:after="0" w:line="156" w:lineRule="exact"/>
              <w:rPr>
                <w:sz w:val="20"/>
                <w:szCs w:val="20"/>
                <w:color w:val="auto"/>
              </w:rPr>
            </w:pPr>
            <w:r>
              <w:rPr>
                <w:rFonts w:ascii="Arial" w:cs="Arial" w:eastAsia="Arial" w:hAnsi="Arial"/>
                <w:sz w:val="16"/>
                <w:szCs w:val="16"/>
                <w:color w:val="auto"/>
              </w:rPr>
              <w:t>Share of net income from joint venture</w:t>
            </w:r>
          </w:p>
        </w:tc>
        <w:tc>
          <w:tcPr>
            <w:tcW w:w="140" w:type="dxa"/>
            <w:vAlign w:val="bottom"/>
            <w:tcBorders>
              <w:bottom w:val="single" w:sz="8" w:color="auto"/>
            </w:tcBorders>
            <w:shd w:val="clear" w:color="auto" w:fill="BFE4FF"/>
          </w:tcPr>
          <w:p>
            <w:pPr>
              <w:spacing w:after="0"/>
              <w:rPr>
                <w:sz w:val="14"/>
                <w:szCs w:val="14"/>
                <w:color w:val="auto"/>
              </w:rPr>
            </w:pPr>
          </w:p>
        </w:tc>
        <w:tc>
          <w:tcPr>
            <w:tcW w:w="1100" w:type="dxa"/>
            <w:vAlign w:val="bottom"/>
            <w:tcBorders>
              <w:bottom w:val="single" w:sz="8" w:color="auto"/>
            </w:tcBorders>
            <w:shd w:val="clear" w:color="auto" w:fill="BFE4FF"/>
          </w:tcPr>
          <w:p>
            <w:pPr>
              <w:jc w:val="right"/>
              <w:ind w:right="139"/>
              <w:spacing w:after="0" w:line="156" w:lineRule="exact"/>
              <w:rPr>
                <w:sz w:val="20"/>
                <w:szCs w:val="20"/>
                <w:color w:val="auto"/>
              </w:rPr>
            </w:pPr>
            <w:r>
              <w:rPr>
                <w:rFonts w:ascii="Arial" w:cs="Arial" w:eastAsia="Arial" w:hAnsi="Arial"/>
                <w:sz w:val="16"/>
                <w:szCs w:val="16"/>
                <w:color w:val="auto"/>
              </w:rPr>
              <w:t>2,092</w:t>
            </w:r>
          </w:p>
        </w:tc>
        <w:tc>
          <w:tcPr>
            <w:tcW w:w="100" w:type="dxa"/>
            <w:vAlign w:val="bottom"/>
            <w:shd w:val="clear" w:color="auto" w:fill="BFE4FF"/>
          </w:tcPr>
          <w:p>
            <w:pPr>
              <w:spacing w:after="0"/>
              <w:rPr>
                <w:sz w:val="14"/>
                <w:szCs w:val="14"/>
                <w:color w:val="auto"/>
              </w:rPr>
            </w:pPr>
          </w:p>
        </w:tc>
        <w:tc>
          <w:tcPr>
            <w:tcW w:w="280" w:type="dxa"/>
            <w:vAlign w:val="bottom"/>
            <w:tcBorders>
              <w:bottom w:val="single" w:sz="8" w:color="auto"/>
            </w:tcBorders>
            <w:shd w:val="clear" w:color="auto" w:fill="BFE4FF"/>
          </w:tcPr>
          <w:p>
            <w:pPr>
              <w:spacing w:after="0"/>
              <w:rPr>
                <w:sz w:val="14"/>
                <w:szCs w:val="14"/>
                <w:color w:val="auto"/>
              </w:rPr>
            </w:pPr>
          </w:p>
        </w:tc>
        <w:tc>
          <w:tcPr>
            <w:tcW w:w="960" w:type="dxa"/>
            <w:vAlign w:val="bottom"/>
            <w:tcBorders>
              <w:bottom w:val="single" w:sz="8" w:color="auto"/>
            </w:tcBorders>
            <w:shd w:val="clear" w:color="auto" w:fill="BFE4FF"/>
          </w:tcPr>
          <w:p>
            <w:pPr>
              <w:jc w:val="right"/>
              <w:ind w:right="119"/>
              <w:spacing w:after="0" w:line="156" w:lineRule="exact"/>
              <w:rPr>
                <w:sz w:val="20"/>
                <w:szCs w:val="20"/>
                <w:color w:val="auto"/>
              </w:rPr>
            </w:pPr>
            <w:r>
              <w:rPr>
                <w:rFonts w:ascii="Arial" w:cs="Arial" w:eastAsia="Arial" w:hAnsi="Arial"/>
                <w:sz w:val="16"/>
                <w:szCs w:val="16"/>
                <w:color w:val="auto"/>
              </w:rPr>
              <w:t>1,395</w:t>
            </w:r>
          </w:p>
        </w:tc>
        <w:tc>
          <w:tcPr>
            <w:tcW w:w="0" w:type="dxa"/>
            <w:vAlign w:val="bottom"/>
          </w:tcPr>
          <w:p>
            <w:pPr>
              <w:spacing w:after="0"/>
              <w:rPr>
                <w:sz w:val="1"/>
                <w:szCs w:val="1"/>
                <w:color w:val="auto"/>
              </w:rPr>
            </w:pPr>
          </w:p>
        </w:tc>
      </w:tr>
      <w:tr>
        <w:trPr>
          <w:trHeight w:val="55"/>
        </w:trPr>
        <w:tc>
          <w:tcPr>
            <w:tcW w:w="274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2740" w:type="dxa"/>
            <w:vAlign w:val="bottom"/>
            <w:vMerge w:val="restart"/>
          </w:tcPr>
          <w:p>
            <w:pPr>
              <w:spacing w:after="0" w:line="146" w:lineRule="exact"/>
              <w:rPr>
                <w:sz w:val="20"/>
                <w:szCs w:val="20"/>
                <w:color w:val="auto"/>
              </w:rPr>
            </w:pPr>
            <w:r>
              <w:rPr>
                <w:rFonts w:ascii="Arial" w:cs="Arial" w:eastAsia="Arial" w:hAnsi="Arial"/>
                <w:sz w:val="16"/>
                <w:szCs w:val="16"/>
                <w:color w:val="auto"/>
                <w:w w:val="97"/>
              </w:rPr>
              <w:t>Non-GAAP adjusted income (loss) from</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vMerge w:val="restart"/>
          </w:tcPr>
          <w:p>
            <w:pPr>
              <w:jc w:val="right"/>
              <w:ind w:right="139"/>
              <w:spacing w:after="0"/>
              <w:rPr>
                <w:sz w:val="20"/>
                <w:szCs w:val="20"/>
                <w:color w:val="auto"/>
              </w:rPr>
            </w:pPr>
            <w:r>
              <w:rPr>
                <w:rFonts w:ascii="Arial" w:cs="Arial" w:eastAsia="Arial" w:hAnsi="Arial"/>
                <w:sz w:val="16"/>
                <w:szCs w:val="16"/>
                <w:color w:val="auto"/>
              </w:rPr>
              <w:t>5,132</w:t>
            </w:r>
          </w:p>
        </w:tc>
        <w:tc>
          <w:tcPr>
            <w:tcW w:w="100" w:type="dxa"/>
            <w:vAlign w:val="bottom"/>
          </w:tcPr>
          <w:p>
            <w:pPr>
              <w:spacing w:after="0"/>
              <w:rPr>
                <w:sz w:val="4"/>
                <w:szCs w:val="4"/>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color w:val="auto"/>
              </w:rPr>
              <w:t>8,485</w:t>
            </w:r>
          </w:p>
        </w:tc>
        <w:tc>
          <w:tcPr>
            <w:tcW w:w="0" w:type="dxa"/>
            <w:vAlign w:val="bottom"/>
          </w:tcPr>
          <w:p>
            <w:pPr>
              <w:spacing w:after="0"/>
              <w:rPr>
                <w:sz w:val="1"/>
                <w:szCs w:val="1"/>
                <w:color w:val="auto"/>
              </w:rPr>
            </w:pPr>
          </w:p>
        </w:tc>
      </w:tr>
      <w:tr>
        <w:trPr>
          <w:trHeight w:val="91"/>
        </w:trPr>
        <w:tc>
          <w:tcPr>
            <w:tcW w:w="2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operations with JV</w:t>
            </w:r>
          </w:p>
        </w:tc>
        <w:tc>
          <w:tcPr>
            <w:tcW w:w="1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40" w:type="dxa"/>
            <w:vAlign w:val="bottom"/>
            <w:tcBorders>
              <w:bottom w:val="single" w:sz="8" w:color="BFE4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40" w:type="dxa"/>
            <w:vAlign w:val="bottom"/>
            <w:shd w:val="clear" w:color="auto" w:fill="BFE4FF"/>
          </w:tcPr>
          <w:p>
            <w:pPr>
              <w:spacing w:after="0"/>
              <w:rPr>
                <w:sz w:val="15"/>
                <w:szCs w:val="15"/>
                <w:color w:val="auto"/>
              </w:rPr>
            </w:pPr>
          </w:p>
        </w:tc>
        <w:tc>
          <w:tcPr>
            <w:tcW w:w="140" w:type="dxa"/>
            <w:vAlign w:val="bottom"/>
            <w:shd w:val="clear" w:color="auto" w:fill="BFE4FF"/>
          </w:tcPr>
          <w:p>
            <w:pPr>
              <w:spacing w:after="0"/>
              <w:rPr>
                <w:sz w:val="15"/>
                <w:szCs w:val="15"/>
                <w:color w:val="auto"/>
              </w:rPr>
            </w:pPr>
          </w:p>
        </w:tc>
        <w:tc>
          <w:tcPr>
            <w:tcW w:w="110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280" w:type="dxa"/>
            <w:vAlign w:val="bottom"/>
            <w:shd w:val="clear" w:color="auto" w:fill="BFE4FF"/>
          </w:tcPr>
          <w:p>
            <w:pPr>
              <w:spacing w:after="0"/>
              <w:rPr>
                <w:sz w:val="15"/>
                <w:szCs w:val="15"/>
                <w:color w:val="auto"/>
              </w:rPr>
            </w:pPr>
          </w:p>
        </w:tc>
        <w:tc>
          <w:tcPr>
            <w:tcW w:w="960" w:type="dxa"/>
            <w:vAlign w:val="bottom"/>
            <w:shd w:val="clear" w:color="auto" w:fill="BFE4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7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$000s</w:t>
            </w:r>
          </w:p>
        </w:tc>
        <w:tc>
          <w:tcPr>
            <w:tcW w:w="140" w:type="dxa"/>
            <w:vAlign w:val="bottom"/>
          </w:tcPr>
          <w:p>
            <w:pPr>
              <w:spacing w:after="0"/>
              <w:rPr>
                <w:sz w:val="14"/>
                <w:szCs w:val="14"/>
                <w:color w:val="auto"/>
              </w:rPr>
            </w:pPr>
          </w:p>
        </w:tc>
        <w:tc>
          <w:tcPr>
            <w:tcW w:w="2460" w:type="dxa"/>
            <w:vAlign w:val="bottom"/>
            <w:gridSpan w:val="4"/>
            <w:vMerge w:val="restart"/>
          </w:tcPr>
          <w:p>
            <w:pPr>
              <w:jc w:val="right"/>
              <w:ind w:right="99"/>
              <w:spacing w:after="0"/>
              <w:rPr>
                <w:sz w:val="20"/>
                <w:szCs w:val="20"/>
                <w:color w:val="auto"/>
              </w:rPr>
            </w:pPr>
            <w:r>
              <w:rPr>
                <w:rFonts w:ascii="Arial" w:cs="Arial" w:eastAsia="Arial" w:hAnsi="Arial"/>
                <w:sz w:val="16"/>
                <w:szCs w:val="16"/>
                <w:b w:val="1"/>
                <w:bCs w:val="1"/>
                <w:color w:val="auto"/>
                <w:w w:val="95"/>
              </w:rPr>
              <w:t>Three Months Ended March 31,</w:t>
            </w:r>
          </w:p>
        </w:tc>
        <w:tc>
          <w:tcPr>
            <w:tcW w:w="60" w:type="dxa"/>
            <w:vAlign w:val="bottom"/>
          </w:tcPr>
          <w:p>
            <w:pPr>
              <w:spacing w:after="0"/>
              <w:rPr>
                <w:sz w:val="14"/>
                <w:szCs w:val="14"/>
                <w:color w:val="auto"/>
              </w:rPr>
            </w:pPr>
          </w:p>
        </w:tc>
        <w:tc>
          <w:tcPr>
            <w:tcW w:w="2740" w:type="dxa"/>
            <w:vAlign w:val="bottom"/>
          </w:tcPr>
          <w:p>
            <w:pPr>
              <w:spacing w:after="0" w:line="166" w:lineRule="exact"/>
              <w:rPr>
                <w:sz w:val="20"/>
                <w:szCs w:val="20"/>
                <w:color w:val="auto"/>
              </w:rPr>
            </w:pPr>
            <w:r>
              <w:rPr>
                <w:rFonts w:ascii="Arial" w:cs="Arial" w:eastAsia="Arial" w:hAnsi="Arial"/>
                <w:sz w:val="16"/>
                <w:szCs w:val="16"/>
                <w:color w:val="auto"/>
              </w:rPr>
              <w:t>Non-GAAP adjusted operating margin</w:t>
            </w: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6.7 %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10.9 %</w:t>
            </w:r>
          </w:p>
        </w:tc>
        <w:tc>
          <w:tcPr>
            <w:tcW w:w="0" w:type="dxa"/>
            <w:vAlign w:val="bottom"/>
          </w:tcPr>
          <w:p>
            <w:pPr>
              <w:spacing w:after="0"/>
              <w:rPr>
                <w:sz w:val="1"/>
                <w:szCs w:val="1"/>
                <w:color w:val="auto"/>
              </w:rPr>
            </w:pPr>
          </w:p>
        </w:tc>
      </w:tr>
      <w:tr>
        <w:trPr>
          <w:trHeight w:val="158"/>
        </w:trPr>
        <w:tc>
          <w:tcPr>
            <w:tcW w:w="2740" w:type="dxa"/>
            <w:vAlign w:val="bottom"/>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4"/>
            <w:vMerge w:val="continue"/>
          </w:tcPr>
          <w:p>
            <w:pPr>
              <w:spacing w:after="0"/>
              <w:rPr>
                <w:sz w:val="13"/>
                <w:szCs w:val="13"/>
                <w:color w:val="auto"/>
              </w:rPr>
            </w:pPr>
          </w:p>
        </w:tc>
        <w:tc>
          <w:tcPr>
            <w:tcW w:w="2800" w:type="dxa"/>
            <w:vAlign w:val="bottom"/>
            <w:gridSpan w:val="2"/>
          </w:tcPr>
          <w:p>
            <w:pPr>
              <w:ind w:left="60"/>
              <w:spacing w:after="0" w:line="138" w:lineRule="exact"/>
              <w:rPr>
                <w:sz w:val="20"/>
                <w:szCs w:val="20"/>
                <w:color w:val="auto"/>
              </w:rPr>
            </w:pPr>
            <w:r>
              <w:rPr>
                <w:rFonts w:ascii="Arial" w:cs="Arial" w:eastAsia="Arial" w:hAnsi="Arial"/>
                <w:sz w:val="16"/>
                <w:szCs w:val="16"/>
                <w:color w:val="auto"/>
              </w:rPr>
              <w:t>(1)</w:t>
            </w:r>
          </w:p>
        </w:tc>
        <w:tc>
          <w:tcPr>
            <w:tcW w:w="1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Power Solutions</w:t>
            </w:r>
          </w:p>
        </w:tc>
        <w:tc>
          <w:tcPr>
            <w:tcW w:w="140" w:type="dxa"/>
            <w:vAlign w:val="bottom"/>
          </w:tcPr>
          <w:p>
            <w:pPr>
              <w:spacing w:after="0"/>
              <w:rPr>
                <w:sz w:val="2"/>
                <w:szCs w:val="2"/>
                <w:color w:val="auto"/>
              </w:rPr>
            </w:pPr>
          </w:p>
        </w:tc>
        <w:tc>
          <w:tcPr>
            <w:tcW w:w="110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tcBorders>
              <w:bottom w:val="single" w:sz="8" w:color="BFE4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BFE4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2740" w:type="dxa"/>
            <w:vAlign w:val="bottom"/>
            <w:tcBorders>
              <w:bottom w:val="single" w:sz="8" w:color="BFE4FF"/>
            </w:tcBorders>
            <w:shd w:val="clear" w:color="auto" w:fill="BFE4FF"/>
          </w:tcPr>
          <w:p>
            <w:pPr>
              <w:spacing w:after="0"/>
              <w:rPr>
                <w:sz w:val="20"/>
                <w:szCs w:val="20"/>
                <w:color w:val="auto"/>
              </w:rPr>
            </w:pPr>
            <w:r>
              <w:rPr>
                <w:rFonts w:ascii="Arial" w:cs="Arial" w:eastAsia="Arial" w:hAnsi="Arial"/>
                <w:sz w:val="16"/>
                <w:szCs w:val="16"/>
                <w:color w:val="auto"/>
              </w:rPr>
              <w:t>GAAP net sales</w:t>
            </w: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BFE4FF"/>
            </w:tcBorders>
            <w:shd w:val="clear" w:color="auto" w:fill="BFE4FF"/>
          </w:tcPr>
          <w:p>
            <w:pPr>
              <w:jc w:val="right"/>
              <w:ind w:right="139"/>
              <w:spacing w:after="0"/>
              <w:rPr>
                <w:sz w:val="20"/>
                <w:szCs w:val="20"/>
                <w:color w:val="auto"/>
              </w:rPr>
            </w:pPr>
            <w:r>
              <w:rPr>
                <w:rFonts w:ascii="Arial" w:cs="Arial" w:eastAsia="Arial" w:hAnsi="Arial"/>
                <w:sz w:val="16"/>
                <w:szCs w:val="16"/>
                <w:color w:val="auto"/>
              </w:rPr>
              <w:t>76,070</w:t>
            </w:r>
          </w:p>
        </w:tc>
        <w:tc>
          <w:tcPr>
            <w:tcW w:w="100" w:type="dxa"/>
            <w:vAlign w:val="bottom"/>
            <w:tcBorders>
              <w:bottom w:val="single" w:sz="8" w:color="BFE4FF"/>
            </w:tcBorders>
            <w:shd w:val="clear" w:color="auto" w:fill="BFE4FF"/>
          </w:tcPr>
          <w:p>
            <w:pPr>
              <w:spacing w:after="0"/>
              <w:rPr>
                <w:sz w:val="17"/>
                <w:szCs w:val="17"/>
                <w:color w:val="auto"/>
              </w:rPr>
            </w:pPr>
          </w:p>
        </w:tc>
        <w:tc>
          <w:tcPr>
            <w:tcW w:w="28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77,776</w:t>
            </w:r>
          </w:p>
        </w:tc>
        <w:tc>
          <w:tcPr>
            <w:tcW w:w="0" w:type="dxa"/>
            <w:vAlign w:val="bottom"/>
          </w:tcPr>
          <w:p>
            <w:pPr>
              <w:spacing w:after="0"/>
              <w:rPr>
                <w:sz w:val="1"/>
                <w:szCs w:val="1"/>
                <w:color w:val="auto"/>
              </w:rPr>
            </w:pPr>
          </w:p>
        </w:tc>
      </w:tr>
      <w:tr>
        <w:trPr>
          <w:trHeight w:val="223"/>
        </w:trPr>
        <w:tc>
          <w:tcPr>
            <w:tcW w:w="2740" w:type="dxa"/>
            <w:vAlign w:val="bottom"/>
            <w:shd w:val="clear" w:color="auto" w:fill="BFE4FF"/>
          </w:tcPr>
          <w:p>
            <w:pPr>
              <w:ind w:left="20"/>
              <w:spacing w:after="0"/>
              <w:rPr>
                <w:sz w:val="20"/>
                <w:szCs w:val="20"/>
                <w:color w:val="auto"/>
              </w:rPr>
            </w:pPr>
            <w:r>
              <w:rPr>
                <w:rFonts w:ascii="Arial" w:cs="Arial" w:eastAsia="Arial" w:hAnsi="Arial"/>
                <w:sz w:val="16"/>
                <w:szCs w:val="16"/>
                <w:color w:val="auto"/>
              </w:rPr>
              <w:t>GAAP income (loss) from operations</w:t>
            </w:r>
          </w:p>
        </w:tc>
        <w:tc>
          <w:tcPr>
            <w:tcW w:w="14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364</w:t>
            </w:r>
          </w:p>
        </w:tc>
        <w:tc>
          <w:tcPr>
            <w:tcW w:w="120" w:type="dxa"/>
            <w:vAlign w:val="bottom"/>
            <w:shd w:val="clear" w:color="auto" w:fill="BFE4FF"/>
          </w:tcPr>
          <w:p>
            <w:pPr>
              <w:spacing w:after="0"/>
              <w:rPr>
                <w:sz w:val="19"/>
                <w:szCs w:val="19"/>
                <w:color w:val="auto"/>
              </w:rPr>
            </w:pPr>
          </w:p>
        </w:tc>
        <w:tc>
          <w:tcPr>
            <w:tcW w:w="280" w:type="dxa"/>
            <w:vAlign w:val="bottom"/>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2,432</w:t>
            </w:r>
          </w:p>
        </w:tc>
        <w:tc>
          <w:tcPr>
            <w:tcW w:w="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740" w:type="dxa"/>
            <w:vAlign w:val="bottom"/>
          </w:tcPr>
          <w:p>
            <w:pPr>
              <w:ind w:left="20"/>
              <w:spacing w:after="0"/>
              <w:rPr>
                <w:sz w:val="20"/>
                <w:szCs w:val="20"/>
                <w:color w:val="auto"/>
              </w:rPr>
            </w:pPr>
            <w:r>
              <w:rPr>
                <w:rFonts w:ascii="Arial" w:cs="Arial" w:eastAsia="Arial" w:hAnsi="Arial"/>
                <w:sz w:val="16"/>
                <w:szCs w:val="16"/>
                <w:color w:val="auto"/>
              </w:rPr>
              <w:t>Acquisition and transition expense</w:t>
            </w:r>
          </w:p>
        </w:tc>
        <w:tc>
          <w:tcPr>
            <w:tcW w:w="140" w:type="dxa"/>
            <w:vAlign w:val="bottom"/>
          </w:tcPr>
          <w:p>
            <w:pPr>
              <w:spacing w:after="0"/>
              <w:rPr>
                <w:sz w:val="20"/>
                <w:szCs w:val="20"/>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2,039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298</w:t>
            </w:r>
          </w:p>
        </w:tc>
        <w:tc>
          <w:tcPr>
            <w:tcW w:w="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740" w:type="dxa"/>
            <w:vAlign w:val="bottom"/>
            <w:shd w:val="clear" w:color="auto" w:fill="BFE4FF"/>
          </w:tcPr>
          <w:p>
            <w:pPr>
              <w:ind w:left="20"/>
              <w:spacing w:after="0"/>
              <w:rPr>
                <w:sz w:val="20"/>
                <w:szCs w:val="20"/>
                <w:color w:val="auto"/>
              </w:rPr>
            </w:pPr>
            <w:r>
              <w:rPr>
                <w:rFonts w:ascii="Arial" w:cs="Arial" w:eastAsia="Arial" w:hAnsi="Arial"/>
                <w:sz w:val="16"/>
                <w:szCs w:val="16"/>
                <w:color w:val="auto"/>
              </w:rPr>
              <w:t>Amortization of intangibles</w:t>
            </w:r>
          </w:p>
        </w:tc>
        <w:tc>
          <w:tcPr>
            <w:tcW w:w="140" w:type="dxa"/>
            <w:vAlign w:val="bottom"/>
            <w:tcBorders>
              <w:bottom w:val="single" w:sz="8" w:color="auto"/>
            </w:tcBorders>
            <w:shd w:val="clear" w:color="auto" w:fill="BFE4FF"/>
          </w:tcPr>
          <w:p>
            <w:pPr>
              <w:spacing w:after="0"/>
              <w:rPr>
                <w:sz w:val="21"/>
                <w:szCs w:val="21"/>
                <w:color w:val="auto"/>
              </w:rPr>
            </w:pPr>
          </w:p>
        </w:tc>
        <w:tc>
          <w:tcPr>
            <w:tcW w:w="110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rPr>
              <w:t>2,749</w:t>
            </w:r>
          </w:p>
        </w:tc>
        <w:tc>
          <w:tcPr>
            <w:tcW w:w="120" w:type="dxa"/>
            <w:vAlign w:val="bottom"/>
            <w:shd w:val="clear" w:color="auto" w:fill="BFE4FF"/>
          </w:tcPr>
          <w:p>
            <w:pPr>
              <w:spacing w:after="0"/>
              <w:rPr>
                <w:sz w:val="21"/>
                <w:szCs w:val="21"/>
                <w:color w:val="auto"/>
              </w:rPr>
            </w:pPr>
          </w:p>
        </w:tc>
        <w:tc>
          <w:tcPr>
            <w:tcW w:w="280" w:type="dxa"/>
            <w:vAlign w:val="bottom"/>
            <w:tcBorders>
              <w:bottom w:val="single" w:sz="8" w:color="auto"/>
            </w:tcBorders>
            <w:shd w:val="clear" w:color="auto" w:fill="BFE4FF"/>
          </w:tcPr>
          <w:p>
            <w:pPr>
              <w:spacing w:after="0"/>
              <w:rPr>
                <w:sz w:val="21"/>
                <w:szCs w:val="21"/>
                <w:color w:val="auto"/>
              </w:rPr>
            </w:pPr>
          </w:p>
        </w:tc>
        <w:tc>
          <w:tcPr>
            <w:tcW w:w="96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rPr>
              <w:t>2,748</w:t>
            </w:r>
          </w:p>
        </w:tc>
        <w:tc>
          <w:tcPr>
            <w:tcW w:w="6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740" w:type="dxa"/>
            <w:vAlign w:val="bottom"/>
          </w:tcPr>
          <w:p>
            <w:pPr>
              <w:ind w:left="20"/>
              <w:spacing w:after="0"/>
              <w:rPr>
                <w:sz w:val="20"/>
                <w:szCs w:val="20"/>
                <w:color w:val="auto"/>
              </w:rPr>
            </w:pPr>
            <w:r>
              <w:rPr>
                <w:rFonts w:ascii="Arial" w:cs="Arial" w:eastAsia="Arial" w:hAnsi="Arial"/>
                <w:sz w:val="16"/>
                <w:szCs w:val="16"/>
                <w:color w:val="auto"/>
                <w:w w:val="96"/>
              </w:rPr>
              <w:t>Non-GAAP adjusted income (loss) from</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ind w:right="119"/>
              <w:spacing w:after="0"/>
              <w:rPr>
                <w:sz w:val="20"/>
                <w:szCs w:val="20"/>
                <w:color w:val="auto"/>
              </w:rPr>
            </w:pPr>
            <w:r>
              <w:rPr>
                <w:rFonts w:ascii="Arial" w:cs="Arial" w:eastAsia="Arial" w:hAnsi="Arial"/>
                <w:sz w:val="16"/>
                <w:szCs w:val="16"/>
                <w:color w:val="auto"/>
              </w:rPr>
              <w:t>5,152</w:t>
            </w:r>
          </w:p>
        </w:tc>
        <w:tc>
          <w:tcPr>
            <w:tcW w:w="120" w:type="dxa"/>
            <w:vAlign w:val="bottom"/>
          </w:tcPr>
          <w:p>
            <w:pPr>
              <w:spacing w:after="0"/>
              <w:rPr>
                <w:sz w:val="17"/>
                <w:szCs w:val="17"/>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color w:val="auto"/>
              </w:rPr>
              <w:t>5,478</w:t>
            </w:r>
          </w:p>
        </w:tc>
        <w:tc>
          <w:tcPr>
            <w:tcW w:w="60" w:type="dxa"/>
            <w:vAlign w:val="bottom"/>
          </w:tcPr>
          <w:p>
            <w:pPr>
              <w:spacing w:after="0"/>
              <w:rPr>
                <w:sz w:val="17"/>
                <w:szCs w:val="17"/>
                <w:color w:val="auto"/>
              </w:rPr>
            </w:pPr>
          </w:p>
        </w:tc>
        <w:tc>
          <w:tcPr>
            <w:tcW w:w="2740" w:type="dxa"/>
            <w:vAlign w:val="bottom"/>
          </w:tcPr>
          <w:p>
            <w:pPr>
              <w:spacing w:after="0"/>
              <w:rPr>
                <w:sz w:val="20"/>
                <w:szCs w:val="20"/>
                <w:color w:val="auto"/>
              </w:rPr>
            </w:pPr>
            <w:r>
              <w:rPr>
                <w:rFonts w:ascii="Arial" w:cs="Arial" w:eastAsia="Arial" w:hAnsi="Arial"/>
                <w:sz w:val="16"/>
                <w:szCs w:val="16"/>
                <w:b w:val="1"/>
                <w:bCs w:val="1"/>
                <w:i w:val="1"/>
                <w:iCs w:val="1"/>
                <w:color w:val="auto"/>
              </w:rPr>
              <w:t>$000s</w:t>
            </w:r>
          </w:p>
        </w:tc>
        <w:tc>
          <w:tcPr>
            <w:tcW w:w="140" w:type="dxa"/>
            <w:vAlign w:val="bottom"/>
          </w:tcPr>
          <w:p>
            <w:pPr>
              <w:spacing w:after="0"/>
              <w:rPr>
                <w:sz w:val="17"/>
                <w:szCs w:val="17"/>
                <w:color w:val="auto"/>
              </w:rPr>
            </w:pPr>
          </w:p>
        </w:tc>
        <w:tc>
          <w:tcPr>
            <w:tcW w:w="244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w w:val="94"/>
              </w:rPr>
              <w:t>Three Months Ended March 31,</w:t>
            </w:r>
          </w:p>
        </w:tc>
        <w:tc>
          <w:tcPr>
            <w:tcW w:w="0" w:type="dxa"/>
            <w:vAlign w:val="bottom"/>
          </w:tcPr>
          <w:p>
            <w:pPr>
              <w:spacing w:after="0"/>
              <w:rPr>
                <w:sz w:val="1"/>
                <w:szCs w:val="1"/>
                <w:color w:val="auto"/>
              </w:rPr>
            </w:pPr>
          </w:p>
        </w:tc>
      </w:tr>
      <w:tr>
        <w:trPr>
          <w:trHeight w:val="68"/>
        </w:trPr>
        <w:tc>
          <w:tcPr>
            <w:tcW w:w="2740" w:type="dxa"/>
            <w:vAlign w:val="bottom"/>
            <w:vMerge w:val="restart"/>
          </w:tcPr>
          <w:p>
            <w:pPr>
              <w:ind w:left="20"/>
              <w:spacing w:after="0"/>
              <w:rPr>
                <w:sz w:val="20"/>
                <w:szCs w:val="20"/>
                <w:color w:val="auto"/>
              </w:rPr>
            </w:pPr>
            <w:r>
              <w:rPr>
                <w:rFonts w:ascii="Arial" w:cs="Arial" w:eastAsia="Arial" w:hAnsi="Arial"/>
                <w:sz w:val="16"/>
                <w:szCs w:val="16"/>
                <w:color w:val="auto"/>
              </w:rPr>
              <w:t>operations (a)</w:t>
            </w:r>
          </w:p>
        </w:tc>
        <w:tc>
          <w:tcPr>
            <w:tcW w:w="1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740" w:type="dxa"/>
            <w:vAlign w:val="bottom"/>
            <w:vMerge w:val="continue"/>
          </w:tcPr>
          <w:p>
            <w:pPr>
              <w:spacing w:after="0"/>
              <w:rPr>
                <w:sz w:val="8"/>
                <w:szCs w:val="8"/>
                <w:color w:val="auto"/>
              </w:rPr>
            </w:pPr>
          </w:p>
        </w:tc>
        <w:tc>
          <w:tcPr>
            <w:tcW w:w="14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96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2740" w:type="dxa"/>
            <w:vAlign w:val="bottom"/>
            <w:vMerge w:val="restart"/>
          </w:tcPr>
          <w:p>
            <w:pPr>
              <w:spacing w:after="0"/>
              <w:rPr>
                <w:sz w:val="20"/>
                <w:szCs w:val="20"/>
                <w:color w:val="auto"/>
              </w:rPr>
            </w:pPr>
            <w:r>
              <w:rPr>
                <w:rFonts w:ascii="Arial" w:cs="Arial" w:eastAsia="Arial" w:hAnsi="Arial"/>
                <w:sz w:val="16"/>
                <w:szCs w:val="16"/>
                <w:b w:val="1"/>
                <w:bCs w:val="1"/>
                <w:color w:val="auto"/>
              </w:rPr>
              <w:t>Elimination</w:t>
            </w:r>
          </w:p>
        </w:tc>
        <w:tc>
          <w:tcPr>
            <w:tcW w:w="140" w:type="dxa"/>
            <w:vAlign w:val="bottom"/>
          </w:tcPr>
          <w:p>
            <w:pPr>
              <w:spacing w:after="0"/>
              <w:rPr>
                <w:sz w:val="8"/>
                <w:szCs w:val="8"/>
                <w:color w:val="auto"/>
              </w:rPr>
            </w:pPr>
          </w:p>
        </w:tc>
        <w:tc>
          <w:tcPr>
            <w:tcW w:w="110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
        </w:trPr>
        <w:tc>
          <w:tcPr>
            <w:tcW w:w="2740" w:type="dxa"/>
            <w:vAlign w:val="bottom"/>
            <w:tcBorders>
              <w:bottom w:val="single" w:sz="8" w:color="BFE4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74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740" w:type="dxa"/>
            <w:vAlign w:val="bottom"/>
            <w:tcBorders>
              <w:bottom w:val="single" w:sz="8" w:color="BFE4FF"/>
            </w:tcBorders>
            <w:shd w:val="clear" w:color="auto" w:fill="BFE4FF"/>
          </w:tcPr>
          <w:p>
            <w:pPr>
              <w:spacing w:after="0"/>
              <w:rPr>
                <w:sz w:val="5"/>
                <w:szCs w:val="5"/>
                <w:color w:val="auto"/>
              </w:rPr>
            </w:pPr>
          </w:p>
        </w:tc>
        <w:tc>
          <w:tcPr>
            <w:tcW w:w="140" w:type="dxa"/>
            <w:vAlign w:val="bottom"/>
            <w:tcBorders>
              <w:bottom w:val="single" w:sz="8" w:color="BFE4FF"/>
            </w:tcBorders>
            <w:shd w:val="clear" w:color="auto" w:fill="BFE4FF"/>
          </w:tcPr>
          <w:p>
            <w:pPr>
              <w:spacing w:after="0"/>
              <w:rPr>
                <w:sz w:val="5"/>
                <w:szCs w:val="5"/>
                <w:color w:val="auto"/>
              </w:rPr>
            </w:pPr>
          </w:p>
        </w:tc>
        <w:tc>
          <w:tcPr>
            <w:tcW w:w="1100" w:type="dxa"/>
            <w:vAlign w:val="bottom"/>
            <w:tcBorders>
              <w:bottom w:val="single" w:sz="8" w:color="BFE4FF"/>
            </w:tcBorders>
            <w:shd w:val="clear" w:color="auto" w:fill="BFE4FF"/>
          </w:tcPr>
          <w:p>
            <w:pPr>
              <w:spacing w:after="0"/>
              <w:rPr>
                <w:sz w:val="5"/>
                <w:szCs w:val="5"/>
                <w:color w:val="auto"/>
              </w:rPr>
            </w:pPr>
          </w:p>
        </w:tc>
        <w:tc>
          <w:tcPr>
            <w:tcW w:w="120" w:type="dxa"/>
            <w:vAlign w:val="bottom"/>
            <w:tcBorders>
              <w:bottom w:val="single" w:sz="8" w:color="BFE4FF"/>
            </w:tcBorders>
            <w:shd w:val="clear" w:color="auto" w:fill="BFE4FF"/>
          </w:tcPr>
          <w:p>
            <w:pPr>
              <w:spacing w:after="0"/>
              <w:rPr>
                <w:sz w:val="5"/>
                <w:szCs w:val="5"/>
                <w:color w:val="auto"/>
              </w:rPr>
            </w:pPr>
          </w:p>
        </w:tc>
        <w:tc>
          <w:tcPr>
            <w:tcW w:w="280" w:type="dxa"/>
            <w:vAlign w:val="bottom"/>
            <w:tcBorders>
              <w:bottom w:val="single" w:sz="8" w:color="BFE4FF"/>
            </w:tcBorders>
            <w:shd w:val="clear" w:color="auto" w:fill="BFE4FF"/>
          </w:tcPr>
          <w:p>
            <w:pPr>
              <w:spacing w:after="0"/>
              <w:rPr>
                <w:sz w:val="5"/>
                <w:szCs w:val="5"/>
                <w:color w:val="auto"/>
              </w:rPr>
            </w:pPr>
          </w:p>
        </w:tc>
        <w:tc>
          <w:tcPr>
            <w:tcW w:w="960" w:type="dxa"/>
            <w:vAlign w:val="bottom"/>
            <w:tcBorders>
              <w:bottom w:val="single" w:sz="8" w:color="BFE4FF"/>
            </w:tcBorders>
            <w:shd w:val="clear" w:color="auto" w:fill="BFE4FF"/>
          </w:tcPr>
          <w:p>
            <w:pPr>
              <w:spacing w:after="0"/>
              <w:rPr>
                <w:sz w:val="5"/>
                <w:szCs w:val="5"/>
                <w:color w:val="auto"/>
              </w:rPr>
            </w:pPr>
          </w:p>
        </w:tc>
        <w:tc>
          <w:tcPr>
            <w:tcW w:w="60" w:type="dxa"/>
            <w:vAlign w:val="bottom"/>
            <w:vMerge w:val="continue"/>
          </w:tcPr>
          <w:p>
            <w:pPr>
              <w:spacing w:after="0"/>
              <w:rPr>
                <w:sz w:val="5"/>
                <w:szCs w:val="5"/>
                <w:color w:val="auto"/>
              </w:rPr>
            </w:pPr>
          </w:p>
        </w:tc>
        <w:tc>
          <w:tcPr>
            <w:tcW w:w="2740" w:type="dxa"/>
            <w:vAlign w:val="bottom"/>
            <w:tcBorders>
              <w:bottom w:val="single" w:sz="8" w:color="BFE4FF"/>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BFE4FF"/>
            </w:tcBorders>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740" w:type="dxa"/>
            <w:vAlign w:val="bottom"/>
            <w:shd w:val="clear" w:color="auto" w:fill="BFE4FF"/>
          </w:tcPr>
          <w:p>
            <w:pPr>
              <w:spacing w:after="0"/>
              <w:rPr>
                <w:sz w:val="8"/>
                <w:szCs w:val="8"/>
                <w:color w:val="auto"/>
              </w:rPr>
            </w:pPr>
          </w:p>
        </w:tc>
        <w:tc>
          <w:tcPr>
            <w:tcW w:w="140" w:type="dxa"/>
            <w:vAlign w:val="bottom"/>
            <w:shd w:val="clear" w:color="auto" w:fill="BFE4FF"/>
          </w:tcPr>
          <w:p>
            <w:pPr>
              <w:spacing w:after="0"/>
              <w:rPr>
                <w:sz w:val="8"/>
                <w:szCs w:val="8"/>
                <w:color w:val="auto"/>
              </w:rPr>
            </w:pPr>
          </w:p>
        </w:tc>
        <w:tc>
          <w:tcPr>
            <w:tcW w:w="1100" w:type="dxa"/>
            <w:vAlign w:val="bottom"/>
            <w:shd w:val="clear" w:color="auto" w:fill="BFE4FF"/>
          </w:tcPr>
          <w:p>
            <w:pPr>
              <w:spacing w:after="0"/>
              <w:rPr>
                <w:sz w:val="8"/>
                <w:szCs w:val="8"/>
                <w:color w:val="auto"/>
              </w:rPr>
            </w:pPr>
          </w:p>
        </w:tc>
        <w:tc>
          <w:tcPr>
            <w:tcW w:w="120" w:type="dxa"/>
            <w:vAlign w:val="bottom"/>
            <w:shd w:val="clear" w:color="auto" w:fill="BFE4FF"/>
          </w:tcPr>
          <w:p>
            <w:pPr>
              <w:spacing w:after="0"/>
              <w:rPr>
                <w:sz w:val="8"/>
                <w:szCs w:val="8"/>
                <w:color w:val="auto"/>
              </w:rPr>
            </w:pPr>
          </w:p>
        </w:tc>
        <w:tc>
          <w:tcPr>
            <w:tcW w:w="280" w:type="dxa"/>
            <w:vAlign w:val="bottom"/>
            <w:shd w:val="clear" w:color="auto" w:fill="BFE4FF"/>
          </w:tcPr>
          <w:p>
            <w:pPr>
              <w:spacing w:after="0"/>
              <w:rPr>
                <w:sz w:val="8"/>
                <w:szCs w:val="8"/>
                <w:color w:val="auto"/>
              </w:rPr>
            </w:pPr>
          </w:p>
        </w:tc>
        <w:tc>
          <w:tcPr>
            <w:tcW w:w="960" w:type="dxa"/>
            <w:vAlign w:val="bottom"/>
            <w:shd w:val="clear" w:color="auto" w:fill="BFE4FF"/>
          </w:tcPr>
          <w:p>
            <w:pPr>
              <w:spacing w:after="0"/>
              <w:rPr>
                <w:sz w:val="8"/>
                <w:szCs w:val="8"/>
                <w:color w:val="auto"/>
              </w:rPr>
            </w:pPr>
          </w:p>
        </w:tc>
        <w:tc>
          <w:tcPr>
            <w:tcW w:w="60" w:type="dxa"/>
            <w:vAlign w:val="bottom"/>
            <w:vMerge w:val="restart"/>
          </w:tcPr>
          <w:p>
            <w:pPr>
              <w:spacing w:after="0"/>
              <w:rPr>
                <w:sz w:val="8"/>
                <w:szCs w:val="8"/>
                <w:color w:val="auto"/>
              </w:rPr>
            </w:pPr>
          </w:p>
        </w:tc>
        <w:tc>
          <w:tcPr>
            <w:tcW w:w="2740" w:type="dxa"/>
            <w:vAlign w:val="bottom"/>
            <w:vMerge w:val="restart"/>
            <w:shd w:val="clear" w:color="auto" w:fill="BFE4FF"/>
          </w:tcPr>
          <w:p>
            <w:pPr>
              <w:spacing w:after="0"/>
              <w:rPr>
                <w:sz w:val="20"/>
                <w:szCs w:val="20"/>
                <w:color w:val="auto"/>
              </w:rPr>
            </w:pPr>
            <w:r>
              <w:rPr>
                <w:rFonts w:ascii="Arial" w:cs="Arial" w:eastAsia="Arial" w:hAnsi="Arial"/>
                <w:sz w:val="16"/>
                <w:szCs w:val="16"/>
                <w:color w:val="auto"/>
              </w:rPr>
              <w:t>GAAP net sales</w:t>
            </w:r>
          </w:p>
        </w:tc>
        <w:tc>
          <w:tcPr>
            <w:tcW w:w="140" w:type="dxa"/>
            <w:vAlign w:val="bottom"/>
            <w:vMerge w:val="restart"/>
            <w:shd w:val="clear" w:color="auto" w:fill="BFE4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vMerge w:val="restart"/>
            <w:shd w:val="clear" w:color="auto" w:fill="BFE4FF"/>
          </w:tcPr>
          <w:p>
            <w:pPr>
              <w:jc w:val="right"/>
              <w:ind w:right="99"/>
              <w:spacing w:after="0"/>
              <w:rPr>
                <w:sz w:val="20"/>
                <w:szCs w:val="20"/>
                <w:color w:val="auto"/>
              </w:rPr>
            </w:pPr>
            <w:r>
              <w:rPr>
                <w:rFonts w:ascii="Arial" w:cs="Arial" w:eastAsia="Arial" w:hAnsi="Arial"/>
                <w:sz w:val="16"/>
                <w:szCs w:val="16"/>
                <w:color w:val="auto"/>
              </w:rPr>
              <w:t>(14)</w:t>
            </w:r>
          </w:p>
        </w:tc>
        <w:tc>
          <w:tcPr>
            <w:tcW w:w="100" w:type="dxa"/>
            <w:vAlign w:val="bottom"/>
            <w:vMerge w:val="restart"/>
            <w:shd w:val="clear" w:color="auto" w:fill="BFE4FF"/>
          </w:tcPr>
          <w:p>
            <w:pPr>
              <w:spacing w:after="0"/>
              <w:rPr>
                <w:sz w:val="8"/>
                <w:szCs w:val="8"/>
                <w:color w:val="auto"/>
              </w:rPr>
            </w:pPr>
          </w:p>
        </w:tc>
        <w:tc>
          <w:tcPr>
            <w:tcW w:w="280" w:type="dxa"/>
            <w:vAlign w:val="bottom"/>
            <w:vMerge w:val="restart"/>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BFE4FF"/>
          </w:tcPr>
          <w:p>
            <w:pPr>
              <w:jc w:val="right"/>
              <w:ind w:right="7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35"/>
        </w:trPr>
        <w:tc>
          <w:tcPr>
            <w:tcW w:w="2740" w:type="dxa"/>
            <w:vAlign w:val="bottom"/>
            <w:vMerge w:val="restart"/>
          </w:tcPr>
          <w:p>
            <w:pPr>
              <w:ind w:left="20"/>
              <w:spacing w:after="0"/>
              <w:rPr>
                <w:sz w:val="20"/>
                <w:szCs w:val="20"/>
                <w:color w:val="auto"/>
              </w:rPr>
            </w:pPr>
            <w:r>
              <w:rPr>
                <w:rFonts w:ascii="Arial" w:cs="Arial" w:eastAsia="Arial" w:hAnsi="Arial"/>
                <w:sz w:val="16"/>
                <w:szCs w:val="16"/>
                <w:color w:val="auto"/>
              </w:rPr>
              <w:t>Non-GAAP adjusted operating margin</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2740" w:type="dxa"/>
            <w:vAlign w:val="bottom"/>
            <w:vMerge w:val="continue"/>
            <w:shd w:val="clear" w:color="auto" w:fill="BFE4FF"/>
          </w:tcPr>
          <w:p>
            <w:pPr>
              <w:spacing w:after="0"/>
              <w:rPr>
                <w:sz w:val="11"/>
                <w:szCs w:val="11"/>
                <w:color w:val="auto"/>
              </w:rPr>
            </w:pPr>
          </w:p>
        </w:tc>
        <w:tc>
          <w:tcPr>
            <w:tcW w:w="140" w:type="dxa"/>
            <w:vAlign w:val="bottom"/>
            <w:vMerge w:val="continue"/>
            <w:shd w:val="clear" w:color="auto" w:fill="BFE4FF"/>
          </w:tcPr>
          <w:p>
            <w:pPr>
              <w:spacing w:after="0"/>
              <w:rPr>
                <w:sz w:val="11"/>
                <w:szCs w:val="11"/>
                <w:color w:val="auto"/>
              </w:rPr>
            </w:pPr>
          </w:p>
        </w:tc>
        <w:tc>
          <w:tcPr>
            <w:tcW w:w="1100" w:type="dxa"/>
            <w:vAlign w:val="bottom"/>
            <w:vMerge w:val="continue"/>
            <w:shd w:val="clear" w:color="auto" w:fill="BFE4FF"/>
          </w:tcPr>
          <w:p>
            <w:pPr>
              <w:spacing w:after="0"/>
              <w:rPr>
                <w:sz w:val="11"/>
                <w:szCs w:val="11"/>
                <w:color w:val="auto"/>
              </w:rPr>
            </w:pPr>
          </w:p>
        </w:tc>
        <w:tc>
          <w:tcPr>
            <w:tcW w:w="100" w:type="dxa"/>
            <w:vAlign w:val="bottom"/>
            <w:vMerge w:val="continue"/>
            <w:shd w:val="clear" w:color="auto" w:fill="BFE4FF"/>
          </w:tcPr>
          <w:p>
            <w:pPr>
              <w:spacing w:after="0"/>
              <w:rPr>
                <w:sz w:val="11"/>
                <w:szCs w:val="11"/>
                <w:color w:val="auto"/>
              </w:rPr>
            </w:pPr>
          </w:p>
        </w:tc>
        <w:tc>
          <w:tcPr>
            <w:tcW w:w="280" w:type="dxa"/>
            <w:vAlign w:val="bottom"/>
            <w:vMerge w:val="continue"/>
            <w:shd w:val="clear" w:color="auto" w:fill="BFE4FF"/>
          </w:tcPr>
          <w:p>
            <w:pPr>
              <w:spacing w:after="0"/>
              <w:rPr>
                <w:sz w:val="11"/>
                <w:szCs w:val="11"/>
                <w:color w:val="auto"/>
              </w:rPr>
            </w:pPr>
          </w:p>
        </w:tc>
        <w:tc>
          <w:tcPr>
            <w:tcW w:w="960" w:type="dxa"/>
            <w:vAlign w:val="bottom"/>
            <w:vMerge w:val="continue"/>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7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11.2 %</w:t>
            </w:r>
          </w:p>
        </w:tc>
        <w:tc>
          <w:tcPr>
            <w:tcW w:w="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740" w:type="dxa"/>
            <w:vAlign w:val="bottom"/>
            <w:shd w:val="clear" w:color="auto" w:fill="BFE4FF"/>
          </w:tcPr>
          <w:p>
            <w:pPr>
              <w:ind w:left="20"/>
              <w:spacing w:after="0"/>
              <w:rPr>
                <w:sz w:val="20"/>
                <w:szCs w:val="20"/>
                <w:color w:val="auto"/>
              </w:rPr>
            </w:pPr>
            <w:r>
              <w:rPr>
                <w:rFonts w:ascii="Arial" w:cs="Arial" w:eastAsia="Arial" w:hAnsi="Arial"/>
                <w:sz w:val="16"/>
                <w:szCs w:val="16"/>
                <w:color w:val="auto"/>
              </w:rPr>
              <w:t>GAAP net sales</w:t>
            </w:r>
          </w:p>
        </w:tc>
        <w:tc>
          <w:tcPr>
            <w:tcW w:w="14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52,011</w:t>
            </w:r>
          </w:p>
        </w:tc>
        <w:tc>
          <w:tcPr>
            <w:tcW w:w="120" w:type="dxa"/>
            <w:vAlign w:val="bottom"/>
            <w:shd w:val="clear" w:color="auto" w:fill="BFE4FF"/>
          </w:tcPr>
          <w:p>
            <w:pPr>
              <w:spacing w:after="0"/>
              <w:rPr>
                <w:sz w:val="21"/>
                <w:szCs w:val="21"/>
                <w:color w:val="auto"/>
              </w:rPr>
            </w:pPr>
          </w:p>
        </w:tc>
        <w:tc>
          <w:tcPr>
            <w:tcW w:w="280" w:type="dxa"/>
            <w:vAlign w:val="bottom"/>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49,075</w:t>
            </w:r>
          </w:p>
        </w:tc>
        <w:tc>
          <w:tcPr>
            <w:tcW w:w="6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Non-GAAP adjusted operating margin = Non-GAAP adjusted income (loss) from operations / GAAP net sales</w:t>
      </w:r>
    </w:p>
    <w:p>
      <w:pPr>
        <w:spacing w:after="0" w:line="59" w:lineRule="exact"/>
        <w:rPr>
          <w:sz w:val="20"/>
          <w:szCs w:val="20"/>
          <w:color w:val="auto"/>
        </w:rPr>
      </w:pPr>
    </w:p>
    <w:p>
      <w:pPr>
        <w:ind w:left="80" w:right="160" w:hanging="80"/>
        <w:spacing w:after="0" w:line="275" w:lineRule="auto"/>
        <w:rPr>
          <w:sz w:val="20"/>
          <w:szCs w:val="20"/>
          <w:color w:val="auto"/>
        </w:rPr>
      </w:pPr>
      <w:r>
        <w:rPr>
          <w:rFonts w:ascii="Arial" w:cs="Arial" w:eastAsia="Arial" w:hAnsi="Arial"/>
          <w:sz w:val="16"/>
          <w:szCs w:val="16"/>
          <w:color w:val="auto"/>
        </w:rPr>
        <w:t>*2022 expense includes $0.2 million of professional fees, $0.2 million of integration &amp; transformation fees, and $1.9 million of asset write-downs and litigation settlement fees.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*2021 expense includes $0.6 million of professional fees and $1.2 million of integration &amp; transformation fees.</w:t>
      </w:r>
    </w:p>
    <w:p>
      <w:pPr>
        <w:sectPr>
          <w:pgSz w:w="11900" w:h="16838" w:orient="portrait"/>
          <w:cols w:equalWidth="0" w:num="1">
            <w:col w:w="11240"/>
          </w:cols>
          <w:pgMar w:left="320" w:top="13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1390" w:right="339" w:bottom="1440" w:gutter="0" w:footer="0" w:header="0"/>
          <w:type w:val="continuous"/>
        </w:sectPr>
      </w:pPr>
    </w:p>
    <w:bookmarkStart w:id="11" w:name="page12"/>
    <w:bookmarkEnd w:id="11"/>
    <w:p>
      <w:pPr>
        <w:spacing w:after="0" w:line="5"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Reconciliation of Net Income (Loss) to Non-GAAP Adjusted EBITDA</w:t>
      </w:r>
    </w:p>
    <w:p>
      <w:pPr>
        <w:spacing w:after="0" w:line="153" w:lineRule="exact"/>
        <w:rPr>
          <w:sz w:val="20"/>
          <w:szCs w:val="20"/>
          <w:color w:val="auto"/>
        </w:rPr>
      </w:pPr>
    </w:p>
    <w:tbl>
      <w:tblPr>
        <w:tblLayout w:type="fixed"/>
        <w:tblInd w:w="260" w:type="dxa"/>
        <w:tblCellMar>
          <w:top w:w="0" w:type="dxa"/>
          <w:left w:w="0" w:type="dxa"/>
          <w:bottom w:w="0" w:type="dxa"/>
          <w:right w:w="0" w:type="dxa"/>
        </w:tblCellMar>
      </w:tblPr>
      <w:tr>
        <w:trPr>
          <w:trHeight w:val="186"/>
        </w:trPr>
        <w:tc>
          <w:tcPr>
            <w:tcW w:w="3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7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34"/>
        </w:trPr>
        <w:tc>
          <w:tcPr>
            <w:tcW w:w="446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rPr>
              <w:t>000's</w:t>
            </w:r>
          </w:p>
        </w:tc>
        <w:tc>
          <w:tcPr>
            <w:tcW w:w="640" w:type="dxa"/>
            <w:vAlign w:val="bottom"/>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46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132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4460" w:type="dxa"/>
            <w:vAlign w:val="bottom"/>
            <w:gridSpan w:val="2"/>
          </w:tcPr>
          <w:p>
            <w:pPr>
              <w:spacing w:after="0"/>
              <w:rPr>
                <w:sz w:val="20"/>
                <w:szCs w:val="20"/>
                <w:color w:val="auto"/>
              </w:rPr>
            </w:pPr>
            <w:r>
              <w:rPr>
                <w:rFonts w:ascii="Arial" w:cs="Arial" w:eastAsia="Arial" w:hAnsi="Arial"/>
                <w:sz w:val="16"/>
                <w:szCs w:val="16"/>
                <w:color w:val="auto"/>
              </w:rPr>
              <w:t>GAAP net income (loss)</w:t>
            </w: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(3,302)$</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(4,913)</w:t>
            </w:r>
          </w:p>
        </w:tc>
        <w:tc>
          <w:tcPr>
            <w:tcW w:w="0" w:type="dxa"/>
            <w:vAlign w:val="bottom"/>
          </w:tcPr>
          <w:p>
            <w:pPr>
              <w:spacing w:after="0"/>
              <w:rPr>
                <w:sz w:val="1"/>
                <w:szCs w:val="1"/>
                <w:color w:val="auto"/>
              </w:rPr>
            </w:pPr>
          </w:p>
        </w:tc>
      </w:tr>
      <w:tr>
        <w:trPr>
          <w:trHeight w:val="473"/>
        </w:trPr>
        <w:tc>
          <w:tcPr>
            <w:tcW w:w="4460" w:type="dxa"/>
            <w:vAlign w:val="bottom"/>
            <w:gridSpan w:val="2"/>
          </w:tcPr>
          <w:p>
            <w:pPr>
              <w:spacing w:after="0"/>
              <w:rPr>
                <w:sz w:val="20"/>
                <w:szCs w:val="20"/>
                <w:color w:val="auto"/>
              </w:rPr>
            </w:pPr>
            <w:r>
              <w:rPr>
                <w:rFonts w:ascii="Arial" w:cs="Arial" w:eastAsia="Arial" w:hAnsi="Arial"/>
                <w:sz w:val="16"/>
                <w:szCs w:val="16"/>
                <w:color w:val="auto"/>
              </w:rPr>
              <w:t>Provision (benefit) for income taxes</w:t>
            </w:r>
          </w:p>
        </w:tc>
        <w:tc>
          <w:tcPr>
            <w:tcW w:w="6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1,531</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219"/>
        </w:trPr>
        <w:tc>
          <w:tcPr>
            <w:tcW w:w="446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3,439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19"/>
        </w:trPr>
        <w:tc>
          <w:tcPr>
            <w:tcW w:w="320" w:type="dxa"/>
            <w:vAlign w:val="bottom"/>
          </w:tcPr>
          <w:p>
            <w:pPr>
              <w:spacing w:after="0"/>
              <w:rPr>
                <w:sz w:val="20"/>
                <w:szCs w:val="20"/>
                <w:color w:val="auto"/>
              </w:rPr>
            </w:pPr>
            <w:r>
              <w:rPr>
                <w:rFonts w:ascii="Arial" w:cs="Arial" w:eastAsia="Arial" w:hAnsi="Arial"/>
                <w:sz w:val="16"/>
                <w:szCs w:val="16"/>
                <w:color w:val="auto"/>
                <w:w w:val="80"/>
              </w:rPr>
              <w:t>Write</w:t>
            </w:r>
          </w:p>
        </w:tc>
        <w:tc>
          <w:tcPr>
            <w:tcW w:w="4140" w:type="dxa"/>
            <w:vAlign w:val="bottom"/>
            <w:shd w:val="clear" w:color="auto" w:fill="BFE4FF"/>
          </w:tcPr>
          <w:p>
            <w:pPr>
              <w:ind w:left="60"/>
              <w:spacing w:after="0"/>
              <w:rPr>
                <w:sz w:val="20"/>
                <w:szCs w:val="20"/>
                <w:color w:val="auto"/>
              </w:rPr>
            </w:pPr>
            <w:r>
              <w:rPr>
                <w:rFonts w:ascii="Arial" w:cs="Arial" w:eastAsia="Arial" w:hAnsi="Arial"/>
                <w:sz w:val="16"/>
                <w:szCs w:val="16"/>
                <w:color w:val="auto"/>
              </w:rPr>
              <w:t>-off of unamortized debt issuance cost</w:t>
            </w:r>
          </w:p>
        </w:tc>
        <w:tc>
          <w:tcPr>
            <w:tcW w:w="640" w:type="dxa"/>
            <w:vAlign w:val="bottom"/>
            <w:shd w:val="clear" w:color="auto" w:fill="BFE4FF"/>
          </w:tcPr>
          <w:p>
            <w:pPr>
              <w:spacing w:after="0"/>
              <w:rPr>
                <w:sz w:val="19"/>
                <w:szCs w:val="19"/>
                <w:color w:val="auto"/>
              </w:rPr>
            </w:pPr>
          </w:p>
        </w:tc>
        <w:tc>
          <w:tcPr>
            <w:tcW w:w="1420" w:type="dxa"/>
            <w:vAlign w:val="bottom"/>
            <w:gridSpan w:val="2"/>
            <w:shd w:val="clear" w:color="auto" w:fill="BFE4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2,390</w:t>
            </w:r>
          </w:p>
        </w:tc>
        <w:tc>
          <w:tcPr>
            <w:tcW w:w="0" w:type="dxa"/>
            <w:vAlign w:val="bottom"/>
          </w:tcPr>
          <w:p>
            <w:pPr>
              <w:spacing w:after="0"/>
              <w:rPr>
                <w:sz w:val="1"/>
                <w:szCs w:val="1"/>
                <w:color w:val="auto"/>
              </w:rPr>
            </w:pPr>
          </w:p>
        </w:tc>
      </w:tr>
      <w:tr>
        <w:trPr>
          <w:trHeight w:val="210"/>
        </w:trPr>
        <w:tc>
          <w:tcPr>
            <w:tcW w:w="4460" w:type="dxa"/>
            <w:vAlign w:val="bottom"/>
            <w:gridSpan w:val="2"/>
          </w:tcPr>
          <w:p>
            <w:pPr>
              <w:spacing w:after="0"/>
              <w:rPr>
                <w:sz w:val="20"/>
                <w:szCs w:val="20"/>
                <w:color w:val="auto"/>
              </w:rPr>
            </w:pPr>
            <w:r>
              <w:rPr>
                <w:rFonts w:ascii="Arial" w:cs="Arial" w:eastAsia="Arial" w:hAnsi="Arial"/>
                <w:sz w:val="16"/>
                <w:szCs w:val="16"/>
                <w:color w:val="auto"/>
              </w:rPr>
              <w:t>Pre-tax derivative loss, net of cash settlements</w:t>
            </w:r>
          </w:p>
        </w:tc>
        <w:tc>
          <w:tcPr>
            <w:tcW w:w="6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3,750</w:t>
            </w: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rPr>
                <w:sz w:val="20"/>
                <w:szCs w:val="20"/>
                <w:color w:val="auto"/>
              </w:rPr>
            </w:pPr>
            <w:r>
              <w:rPr>
                <w:rFonts w:ascii="Arial" w:cs="Arial" w:eastAsia="Arial" w:hAnsi="Arial"/>
                <w:sz w:val="16"/>
                <w:szCs w:val="16"/>
                <w:color w:val="auto"/>
                <w:w w:val="98"/>
              </w:rPr>
              <w:t>Change in fair value of preferred stock derivatives and warrants</w:t>
            </w:r>
          </w:p>
        </w:tc>
        <w:tc>
          <w:tcPr>
            <w:tcW w:w="6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(2,543)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6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11,429</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11,568</w:t>
            </w: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rPr>
                <w:sz w:val="20"/>
                <w:szCs w:val="20"/>
                <w:color w:val="auto"/>
              </w:rPr>
            </w:pPr>
            <w:r>
              <w:rPr>
                <w:rFonts w:ascii="Arial" w:cs="Arial" w:eastAsia="Arial" w:hAnsi="Arial"/>
                <w:sz w:val="16"/>
                <w:szCs w:val="16"/>
                <w:color w:val="auto"/>
              </w:rPr>
              <w:t>Acquisition and transition expense</w:t>
            </w:r>
          </w:p>
        </w:tc>
        <w:tc>
          <w:tcPr>
            <w:tcW w:w="6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2,254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1,789</w:t>
            </w: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rPr>
                <w:sz w:val="20"/>
                <w:szCs w:val="20"/>
                <w:color w:val="auto"/>
              </w:rPr>
            </w:pPr>
            <w:r>
              <w:rPr>
                <w:rFonts w:ascii="Arial" w:cs="Arial" w:eastAsia="Arial" w:hAnsi="Arial"/>
                <w:sz w:val="16"/>
                <w:szCs w:val="16"/>
                <w:color w:val="auto"/>
              </w:rPr>
              <w:t>Non-cash stock compensation</w:t>
            </w:r>
          </w:p>
        </w:tc>
        <w:tc>
          <w:tcPr>
            <w:tcW w:w="6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949</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887</w:t>
            </w: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rPr>
                <w:sz w:val="20"/>
                <w:szCs w:val="20"/>
                <w:color w:val="auto"/>
              </w:rPr>
            </w:pPr>
            <w:r>
              <w:rPr>
                <w:rFonts w:ascii="Arial" w:cs="Arial" w:eastAsia="Arial" w:hAnsi="Arial"/>
                <w:sz w:val="16"/>
                <w:szCs w:val="16"/>
                <w:color w:val="auto"/>
                <w:w w:val="99"/>
              </w:rPr>
              <w:t>Non-cash foreign exchange (gain) loss on inter-company loans</w:t>
            </w:r>
          </w:p>
        </w:tc>
        <w:tc>
          <w:tcPr>
            <w:tcW w:w="6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19"/>
        </w:trPr>
        <w:tc>
          <w:tcPr>
            <w:tcW w:w="4460" w:type="dxa"/>
            <w:vAlign w:val="bottom"/>
            <w:gridSpan w:val="2"/>
          </w:tcPr>
          <w:p>
            <w:pPr>
              <w:spacing w:after="0"/>
              <w:rPr>
                <w:sz w:val="20"/>
                <w:szCs w:val="20"/>
                <w:color w:val="auto"/>
              </w:rPr>
            </w:pPr>
            <w:r>
              <w:rPr>
                <w:rFonts w:ascii="Arial" w:cs="Arial" w:eastAsia="Arial" w:hAnsi="Arial"/>
                <w:sz w:val="16"/>
                <w:szCs w:val="16"/>
                <w:color w:val="auto"/>
              </w:rPr>
              <w:t>Fixed asset impairments</w:t>
            </w:r>
          </w:p>
        </w:tc>
        <w:tc>
          <w:tcPr>
            <w:tcW w:w="6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60" w:type="dxa"/>
            <w:vAlign w:val="bottom"/>
            <w:gridSpan w:val="2"/>
          </w:tcPr>
          <w:p>
            <w:pPr>
              <w:spacing w:after="0"/>
              <w:rPr>
                <w:sz w:val="20"/>
                <w:szCs w:val="20"/>
                <w:color w:val="auto"/>
              </w:rPr>
            </w:pPr>
            <w:r>
              <w:rPr>
                <w:rFonts w:ascii="Arial" w:cs="Arial" w:eastAsia="Arial" w:hAnsi="Arial"/>
                <w:sz w:val="16"/>
                <w:szCs w:val="16"/>
                <w:color w:val="auto"/>
              </w:rPr>
              <w:t>Non-GAAP adjusted EBITDA (b)</w:t>
            </w: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13,395$</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16,909</w:t>
            </w:r>
          </w:p>
        </w:tc>
        <w:tc>
          <w:tcPr>
            <w:tcW w:w="0" w:type="dxa"/>
            <w:vAlign w:val="bottom"/>
          </w:tcPr>
          <w:p>
            <w:pPr>
              <w:spacing w:after="0"/>
              <w:rPr>
                <w:sz w:val="1"/>
                <w:szCs w:val="1"/>
                <w:color w:val="auto"/>
              </w:rPr>
            </w:pPr>
          </w:p>
        </w:tc>
      </w:tr>
      <w:tr>
        <w:trPr>
          <w:trHeight w:val="20"/>
        </w:trPr>
        <w:tc>
          <w:tcPr>
            <w:tcW w:w="44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4460" w:type="dxa"/>
            <w:vAlign w:val="bottom"/>
            <w:gridSpan w:val="2"/>
          </w:tcPr>
          <w:p>
            <w:pPr>
              <w:spacing w:after="0"/>
              <w:rPr>
                <w:sz w:val="20"/>
                <w:szCs w:val="20"/>
                <w:color w:val="auto"/>
              </w:rPr>
            </w:pPr>
            <w:r>
              <w:rPr>
                <w:rFonts w:ascii="Arial" w:cs="Arial" w:eastAsia="Arial" w:hAnsi="Arial"/>
                <w:sz w:val="16"/>
                <w:szCs w:val="16"/>
                <w:color w:val="auto"/>
              </w:rPr>
              <w:t>Non-GAAP adjusted EBITDA margin (2)</w:t>
            </w:r>
          </w:p>
        </w:tc>
        <w:tc>
          <w:tcPr>
            <w:tcW w:w="6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rPr>
                <w:sz w:val="20"/>
                <w:szCs w:val="20"/>
                <w:color w:val="auto"/>
              </w:rPr>
            </w:pPr>
            <w:r>
              <w:rPr>
                <w:rFonts w:ascii="Arial" w:cs="Arial" w:eastAsia="Arial" w:hAnsi="Arial"/>
                <w:sz w:val="16"/>
                <w:szCs w:val="16"/>
                <w:color w:val="auto"/>
              </w:rPr>
              <w:t>GAAP net sales</w:t>
            </w: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128,067$</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126,804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-2361565</wp:posOffset>
            </wp:positionV>
            <wp:extent cx="478345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83455" cy="14541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-2052955</wp:posOffset>
            </wp:positionV>
            <wp:extent cx="478345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83455"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-1504315</wp:posOffset>
            </wp:positionV>
            <wp:extent cx="478345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83455"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-1212850</wp:posOffset>
            </wp:positionV>
            <wp:extent cx="478345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83455"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-904240</wp:posOffset>
            </wp:positionV>
            <wp:extent cx="478345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83455"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-612775</wp:posOffset>
            </wp:positionV>
            <wp:extent cx="478345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83455" cy="16319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-287020</wp:posOffset>
            </wp:positionV>
            <wp:extent cx="478345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83455" cy="137160"/>
                    </a:xfrm>
                    <a:prstGeom prst="rect">
                      <a:avLst/>
                    </a:prstGeom>
                    <a:noFill/>
                  </pic:spPr>
                </pic:pic>
              </a:graphicData>
            </a:graphic>
          </wp:anchor>
        </w:drawing>
      </w:r>
    </w:p>
    <w:p>
      <w:pPr>
        <w:spacing w:after="0" w:line="197" w:lineRule="exact"/>
        <w:rPr>
          <w:sz w:val="20"/>
          <w:szCs w:val="20"/>
          <w:color w:val="auto"/>
        </w:rPr>
      </w:pPr>
    </w:p>
    <w:p>
      <w:pPr>
        <w:ind w:left="820" w:hanging="312"/>
        <w:spacing w:after="0"/>
        <w:tabs>
          <w:tab w:leader="none" w:pos="820" w:val="left"/>
        </w:tabs>
        <w:numPr>
          <w:ilvl w:val="0"/>
          <w:numId w:val="6"/>
        </w:numPr>
        <w:rPr>
          <w:rFonts w:ascii="Arial" w:cs="Arial" w:eastAsia="Arial" w:hAnsi="Arial"/>
          <w:sz w:val="14"/>
          <w:szCs w:val="14"/>
          <w:color w:val="auto"/>
        </w:rPr>
      </w:pPr>
      <w:r>
        <w:rPr>
          <w:rFonts w:ascii="Arial" w:cs="Arial" w:eastAsia="Arial" w:hAnsi="Arial"/>
          <w:sz w:val="14"/>
          <w:szCs w:val="14"/>
          <w:color w:val="auto"/>
        </w:rPr>
        <w:t>Non-GAAP adjusted EBITDA margin = Non-GAAP adjusted EBITDA / GAAP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Reconciliation of Net Income (Loss) to Non-GAAP Adjusted Net Income and Net Income (Loss) per</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Diluted Common Share to Non-GAAP Adjusted Net Income (Loss) per Diluted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120"/>
          </w:cols>
          <w:pgMar w:left="1440" w:top="1440" w:right="339" w:bottom="1440" w:gutter="0" w:footer="0" w:header="0"/>
        </w:sectPr>
      </w:pPr>
    </w:p>
    <w:bookmarkStart w:id="12" w:name="page13"/>
    <w:bookmarkEnd w:id="12"/>
    <w:tbl>
      <w:tblPr>
        <w:tblLayout w:type="fixed"/>
        <w:tblInd w:w="16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00"/>
        </w:trPr>
        <w:tc>
          <w:tcPr>
            <w:tcW w:w="5820" w:type="dxa"/>
            <w:vAlign w:val="bottom"/>
            <w:tcBorders>
              <w:bottom w:val="single" w:sz="8" w:color="BFE4FF"/>
            </w:tcBorders>
          </w:tcPr>
          <w:p>
            <w:pPr>
              <w:spacing w:after="0"/>
              <w:rPr>
                <w:sz w:val="20"/>
                <w:szCs w:val="20"/>
                <w:color w:val="auto"/>
              </w:rPr>
            </w:pPr>
            <w:r>
              <w:rPr>
                <w:rFonts w:ascii="Arial" w:cs="Arial" w:eastAsia="Arial" w:hAnsi="Arial"/>
                <w:sz w:val="16"/>
                <w:szCs w:val="16"/>
                <w:b w:val="1"/>
                <w:bCs w:val="1"/>
                <w:i w:val="1"/>
                <w:iCs w:val="1"/>
                <w:color w:val="auto"/>
              </w:rPr>
              <w:t>000's</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BFE4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3"/>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GAAP net income (loss)</w:t>
            </w:r>
          </w:p>
        </w:tc>
        <w:tc>
          <w:tcPr>
            <w:tcW w:w="280" w:type="dxa"/>
            <w:vAlign w:val="bottom"/>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(3,302)</w:t>
            </w:r>
          </w:p>
        </w:tc>
        <w:tc>
          <w:tcPr>
            <w:tcW w:w="120" w:type="dxa"/>
            <w:vAlign w:val="bottom"/>
            <w:shd w:val="clear" w:color="auto" w:fill="BFE4FF"/>
          </w:tcPr>
          <w:p>
            <w:pPr>
              <w:spacing w:after="0"/>
              <w:rPr>
                <w:sz w:val="18"/>
                <w:szCs w:val="18"/>
                <w:color w:val="auto"/>
              </w:rPr>
            </w:pPr>
          </w:p>
        </w:tc>
        <w:tc>
          <w:tcPr>
            <w:tcW w:w="320" w:type="dxa"/>
            <w:vAlign w:val="bottom"/>
            <w:shd w:val="clear" w:color="auto" w:fill="BFE4FF"/>
          </w:tcPr>
          <w:p>
            <w:pPr>
              <w:jc w:val="right"/>
              <w:ind w:right="16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(4,913)</w:t>
            </w:r>
          </w:p>
        </w:tc>
        <w:tc>
          <w:tcPr>
            <w:tcW w:w="0" w:type="dxa"/>
            <w:vAlign w:val="bottom"/>
          </w:tcPr>
          <w:p>
            <w:pPr>
              <w:spacing w:after="0"/>
              <w:rPr>
                <w:sz w:val="1"/>
                <w:szCs w:val="1"/>
                <w:color w:val="auto"/>
              </w:rPr>
            </w:pPr>
          </w:p>
        </w:tc>
      </w:tr>
      <w:tr>
        <w:trPr>
          <w:trHeight w:val="257"/>
        </w:trPr>
        <w:tc>
          <w:tcPr>
            <w:tcW w:w="5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Pre-tax acquisition and transition expense</w:t>
            </w:r>
          </w:p>
        </w:tc>
        <w:tc>
          <w:tcPr>
            <w:tcW w:w="280" w:type="dxa"/>
            <w:vAlign w:val="bottom"/>
            <w:shd w:val="clear" w:color="auto" w:fill="BFE4FF"/>
          </w:tcPr>
          <w:p>
            <w:pPr>
              <w:spacing w:after="0"/>
              <w:rPr>
                <w:sz w:val="18"/>
                <w:szCs w:val="18"/>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2,254</w:t>
            </w:r>
          </w:p>
        </w:tc>
        <w:tc>
          <w:tcPr>
            <w:tcW w:w="120" w:type="dxa"/>
            <w:vAlign w:val="bottom"/>
            <w:shd w:val="clear" w:color="auto" w:fill="BFE4FF"/>
          </w:tcPr>
          <w:p>
            <w:pPr>
              <w:spacing w:after="0"/>
              <w:rPr>
                <w:sz w:val="18"/>
                <w:szCs w:val="18"/>
                <w:color w:val="auto"/>
              </w:rPr>
            </w:pPr>
          </w:p>
        </w:tc>
        <w:tc>
          <w:tcPr>
            <w:tcW w:w="320" w:type="dxa"/>
            <w:vAlign w:val="bottom"/>
            <w:shd w:val="clear" w:color="auto" w:fill="BFE4FF"/>
          </w:tcPr>
          <w:p>
            <w:pPr>
              <w:spacing w:after="0"/>
              <w:rPr>
                <w:sz w:val="18"/>
                <w:szCs w:val="18"/>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1,789</w:t>
            </w:r>
          </w:p>
        </w:tc>
        <w:tc>
          <w:tcPr>
            <w:tcW w:w="0" w:type="dxa"/>
            <w:vAlign w:val="bottom"/>
          </w:tcPr>
          <w:p>
            <w:pPr>
              <w:spacing w:after="0"/>
              <w:rPr>
                <w:sz w:val="1"/>
                <w:szCs w:val="1"/>
                <w:color w:val="auto"/>
              </w:rPr>
            </w:pP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Pre-tax foreign exchange (gain) loss on inter-company loans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19"/>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Pre-tax write-off of unamortized debt issuance costs</w:t>
            </w:r>
          </w:p>
        </w:tc>
        <w:tc>
          <w:tcPr>
            <w:tcW w:w="280" w:type="dxa"/>
            <w:vAlign w:val="bottom"/>
            <w:shd w:val="clear" w:color="auto" w:fill="BFE4FF"/>
          </w:tcPr>
          <w:p>
            <w:pPr>
              <w:spacing w:after="0"/>
              <w:rPr>
                <w:sz w:val="19"/>
                <w:szCs w:val="19"/>
                <w:color w:val="auto"/>
              </w:rPr>
            </w:pPr>
          </w:p>
        </w:tc>
        <w:tc>
          <w:tcPr>
            <w:tcW w:w="122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2,390</w:t>
            </w:r>
          </w:p>
        </w:tc>
        <w:tc>
          <w:tcPr>
            <w:tcW w:w="0" w:type="dxa"/>
            <w:vAlign w:val="bottom"/>
          </w:tcPr>
          <w:p>
            <w:pPr>
              <w:spacing w:after="0"/>
              <w:rPr>
                <w:sz w:val="1"/>
                <w:szCs w:val="1"/>
                <w:color w:val="auto"/>
              </w:rPr>
            </w:pP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Pre-tax change in fair value of preferred stock derivatives and warrants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(2,543)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219"/>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Pre-tax amortization of intangibles and deferred financing costs</w:t>
            </w:r>
          </w:p>
        </w:tc>
        <w:tc>
          <w:tcPr>
            <w:tcW w:w="28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3,919</w:t>
            </w:r>
          </w:p>
        </w:tc>
        <w:tc>
          <w:tcPr>
            <w:tcW w:w="12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3,992</w:t>
            </w:r>
          </w:p>
        </w:tc>
        <w:tc>
          <w:tcPr>
            <w:tcW w:w="0" w:type="dxa"/>
            <w:vAlign w:val="bottom"/>
          </w:tcPr>
          <w:p>
            <w:pPr>
              <w:spacing w:after="0"/>
              <w:rPr>
                <w:sz w:val="1"/>
                <w:szCs w:val="1"/>
                <w:color w:val="auto"/>
              </w:rPr>
            </w:pP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Pre-tax derivative loss, net of cash settlements</w:t>
            </w:r>
          </w:p>
        </w:tc>
        <w:tc>
          <w:tcPr>
            <w:tcW w:w="2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3,750</w:t>
            </w:r>
          </w:p>
        </w:tc>
        <w:tc>
          <w:tcPr>
            <w:tcW w:w="0" w:type="dxa"/>
            <w:vAlign w:val="bottom"/>
          </w:tcPr>
          <w:p>
            <w:pPr>
              <w:spacing w:after="0"/>
              <w:rPr>
                <w:sz w:val="1"/>
                <w:szCs w:val="1"/>
                <w:color w:val="auto"/>
              </w:rPr>
            </w:pPr>
          </w:p>
        </w:tc>
      </w:tr>
      <w:tr>
        <w:trPr>
          <w:trHeight w:val="219"/>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Pre-tax impairments of fixed asset costs</w:t>
            </w:r>
          </w:p>
        </w:tc>
        <w:tc>
          <w:tcPr>
            <w:tcW w:w="28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233</w:t>
            </w:r>
          </w:p>
        </w:tc>
        <w:tc>
          <w:tcPr>
            <w:tcW w:w="12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Tax effect of adjustments reflected above (c)</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(2,564)</w:t>
            </w:r>
          </w:p>
        </w:tc>
        <w:tc>
          <w:tcPr>
            <w:tcW w:w="0" w:type="dxa"/>
            <w:vAlign w:val="bottom"/>
          </w:tcPr>
          <w:p>
            <w:pPr>
              <w:spacing w:after="0"/>
              <w:rPr>
                <w:sz w:val="1"/>
                <w:szCs w:val="1"/>
                <w:color w:val="auto"/>
              </w:rPr>
            </w:pPr>
          </w:p>
        </w:tc>
      </w:tr>
      <w:tr>
        <w:trPr>
          <w:trHeight w:val="216"/>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Non-GAAP discrete tax adjustments</w:t>
            </w:r>
          </w:p>
        </w:tc>
        <w:tc>
          <w:tcPr>
            <w:tcW w:w="280" w:type="dxa"/>
            <w:vAlign w:val="bottom"/>
            <w:tcBorders>
              <w:bottom w:val="single" w:sz="8" w:color="auto"/>
            </w:tcBorders>
            <w:shd w:val="clear" w:color="auto" w:fill="BFE4FF"/>
          </w:tcPr>
          <w:p>
            <w:pPr>
              <w:spacing w:after="0"/>
              <w:rPr>
                <w:sz w:val="18"/>
                <w:szCs w:val="18"/>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551</w:t>
            </w:r>
          </w:p>
        </w:tc>
        <w:tc>
          <w:tcPr>
            <w:tcW w:w="120" w:type="dxa"/>
            <w:vAlign w:val="bottom"/>
            <w:shd w:val="clear" w:color="auto" w:fill="BFE4FF"/>
          </w:tcPr>
          <w:p>
            <w:pPr>
              <w:spacing w:after="0"/>
              <w:rPr>
                <w:sz w:val="18"/>
                <w:szCs w:val="18"/>
                <w:color w:val="auto"/>
              </w:rPr>
            </w:pPr>
          </w:p>
        </w:tc>
        <w:tc>
          <w:tcPr>
            <w:tcW w:w="320" w:type="dxa"/>
            <w:vAlign w:val="bottom"/>
            <w:tcBorders>
              <w:bottom w:val="single" w:sz="8" w:color="auto"/>
            </w:tcBorders>
            <w:shd w:val="clear" w:color="auto" w:fill="BFE4FF"/>
          </w:tcPr>
          <w:p>
            <w:pPr>
              <w:spacing w:after="0"/>
              <w:rPr>
                <w:sz w:val="18"/>
                <w:szCs w:val="18"/>
                <w:color w:val="auto"/>
              </w:rPr>
            </w:pPr>
          </w:p>
        </w:tc>
        <w:tc>
          <w:tcPr>
            <w:tcW w:w="10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(2,382)</w:t>
            </w:r>
          </w:p>
        </w:tc>
        <w:tc>
          <w:tcPr>
            <w:tcW w:w="0" w:type="dxa"/>
            <w:vAlign w:val="bottom"/>
          </w:tcPr>
          <w:p>
            <w:pPr>
              <w:spacing w:after="0"/>
              <w:rPr>
                <w:sz w:val="1"/>
                <w:szCs w:val="1"/>
                <w:color w:val="auto"/>
              </w:rPr>
            </w:pP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Non-GAAP adjusted net income (loss) (d)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2,232</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5"/>
        </w:trPr>
        <w:tc>
          <w:tcPr>
            <w:tcW w:w="58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00"/>
        </w:trPr>
        <w:tc>
          <w:tcPr>
            <w:tcW w:w="5820" w:type="dxa"/>
            <w:vAlign w:val="bottom"/>
            <w:tcBorders>
              <w:bottom w:val="single" w:sz="8" w:color="BFE4FF"/>
            </w:tcBorders>
          </w:tcPr>
          <w:p>
            <w:pPr>
              <w:spacing w:after="0"/>
              <w:rPr>
                <w:sz w:val="20"/>
                <w:szCs w:val="20"/>
                <w:color w:val="auto"/>
              </w:rPr>
            </w:pPr>
            <w:r>
              <w:rPr>
                <w:rFonts w:ascii="Arial" w:cs="Arial" w:eastAsia="Arial" w:hAnsi="Arial"/>
                <w:sz w:val="16"/>
                <w:szCs w:val="16"/>
                <w:b w:val="1"/>
                <w:bCs w:val="1"/>
                <w:i w:val="1"/>
                <w:iCs w:val="1"/>
                <w:color w:val="auto"/>
              </w:rPr>
              <w:t>Per diluted common share</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BFE4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3"/>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GAAP net income (loss) per diluted common share</w:t>
            </w:r>
          </w:p>
        </w:tc>
        <w:tc>
          <w:tcPr>
            <w:tcW w:w="280" w:type="dxa"/>
            <w:vAlign w:val="bottom"/>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(0.13)</w:t>
            </w:r>
          </w:p>
        </w:tc>
        <w:tc>
          <w:tcPr>
            <w:tcW w:w="120" w:type="dxa"/>
            <w:vAlign w:val="bottom"/>
            <w:shd w:val="clear" w:color="auto" w:fill="BFE4FF"/>
          </w:tcPr>
          <w:p>
            <w:pPr>
              <w:spacing w:after="0"/>
              <w:rPr>
                <w:sz w:val="18"/>
                <w:szCs w:val="18"/>
                <w:color w:val="auto"/>
              </w:rPr>
            </w:pPr>
          </w:p>
        </w:tc>
        <w:tc>
          <w:tcPr>
            <w:tcW w:w="320" w:type="dxa"/>
            <w:vAlign w:val="bottom"/>
            <w:shd w:val="clear" w:color="auto" w:fill="BFE4FF"/>
          </w:tcPr>
          <w:p>
            <w:pPr>
              <w:jc w:val="right"/>
              <w:ind w:right="16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(0.46)</w:t>
            </w:r>
          </w:p>
        </w:tc>
        <w:tc>
          <w:tcPr>
            <w:tcW w:w="0" w:type="dxa"/>
            <w:vAlign w:val="bottom"/>
          </w:tcPr>
          <w:p>
            <w:pPr>
              <w:spacing w:after="0"/>
              <w:rPr>
                <w:sz w:val="1"/>
                <w:szCs w:val="1"/>
                <w:color w:val="auto"/>
              </w:rPr>
            </w:pPr>
          </w:p>
        </w:tc>
      </w:tr>
      <w:tr>
        <w:trPr>
          <w:trHeight w:val="256"/>
        </w:trPr>
        <w:tc>
          <w:tcPr>
            <w:tcW w:w="5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Pre-tax acquisition and transition expense</w:t>
            </w:r>
          </w:p>
        </w:tc>
        <w:tc>
          <w:tcPr>
            <w:tcW w:w="280" w:type="dxa"/>
            <w:vAlign w:val="bottom"/>
            <w:shd w:val="clear" w:color="auto" w:fill="BFE4FF"/>
          </w:tcPr>
          <w:p>
            <w:pPr>
              <w:spacing w:after="0"/>
              <w:rPr>
                <w:sz w:val="18"/>
                <w:szCs w:val="18"/>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0.05</w:t>
            </w:r>
          </w:p>
        </w:tc>
        <w:tc>
          <w:tcPr>
            <w:tcW w:w="120" w:type="dxa"/>
            <w:vAlign w:val="bottom"/>
            <w:shd w:val="clear" w:color="auto" w:fill="BFE4FF"/>
          </w:tcPr>
          <w:p>
            <w:pPr>
              <w:spacing w:after="0"/>
              <w:rPr>
                <w:sz w:val="18"/>
                <w:szCs w:val="18"/>
                <w:color w:val="auto"/>
              </w:rPr>
            </w:pPr>
          </w:p>
        </w:tc>
        <w:tc>
          <w:tcPr>
            <w:tcW w:w="320" w:type="dxa"/>
            <w:vAlign w:val="bottom"/>
            <w:shd w:val="clear" w:color="auto" w:fill="BFE4FF"/>
          </w:tcPr>
          <w:p>
            <w:pPr>
              <w:spacing w:after="0"/>
              <w:rPr>
                <w:sz w:val="18"/>
                <w:szCs w:val="18"/>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Pre-tax foreign exchange (gain) loss on inter-company loans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9"/>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Pre-tax write-off of unamortized debt issuance costs</w:t>
            </w:r>
          </w:p>
        </w:tc>
        <w:tc>
          <w:tcPr>
            <w:tcW w:w="280" w:type="dxa"/>
            <w:vAlign w:val="bottom"/>
            <w:shd w:val="clear" w:color="auto" w:fill="BFE4FF"/>
          </w:tcPr>
          <w:p>
            <w:pPr>
              <w:spacing w:after="0"/>
              <w:rPr>
                <w:sz w:val="19"/>
                <w:szCs w:val="19"/>
                <w:color w:val="auto"/>
              </w:rPr>
            </w:pPr>
          </w:p>
        </w:tc>
        <w:tc>
          <w:tcPr>
            <w:tcW w:w="122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Pre-tax change in fair value of preferred stock derivatives and warrants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9"/>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Pre-tax amortization of intangibles and deferred financing costs</w:t>
            </w:r>
          </w:p>
        </w:tc>
        <w:tc>
          <w:tcPr>
            <w:tcW w:w="28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0.09</w:t>
            </w:r>
          </w:p>
        </w:tc>
        <w:tc>
          <w:tcPr>
            <w:tcW w:w="12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Pre-tax interest rate swap payments and change in fair value</w:t>
            </w:r>
          </w:p>
        </w:tc>
        <w:tc>
          <w:tcPr>
            <w:tcW w:w="2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19"/>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Pre-tax impairments of fixed asset costs</w:t>
            </w:r>
          </w:p>
        </w:tc>
        <w:tc>
          <w:tcPr>
            <w:tcW w:w="28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Tax effect of adjustments reflected above (c)</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19"/>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Non-GAAP discrete tax adjustments</w:t>
            </w:r>
          </w:p>
        </w:tc>
        <w:tc>
          <w:tcPr>
            <w:tcW w:w="28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13"/>
        </w:trPr>
        <w:tc>
          <w:tcPr>
            <w:tcW w:w="5820" w:type="dxa"/>
            <w:vAlign w:val="bottom"/>
            <w:tcBorders>
              <w:bottom w:val="single" w:sz="8" w:color="BFE4FF"/>
            </w:tcBorders>
          </w:tcPr>
          <w:p>
            <w:pPr>
              <w:spacing w:after="0"/>
              <w:rPr>
                <w:sz w:val="20"/>
                <w:szCs w:val="20"/>
                <w:color w:val="auto"/>
              </w:rPr>
            </w:pPr>
            <w:r>
              <w:rPr>
                <w:rFonts w:ascii="Arial" w:cs="Arial" w:eastAsia="Arial" w:hAnsi="Arial"/>
                <w:sz w:val="16"/>
                <w:szCs w:val="16"/>
                <w:color w:val="auto"/>
              </w:rPr>
              <w:t>Preferred stock cumulative dividends and deemed dividends</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BFE4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238"/>
        </w:trPr>
        <w:tc>
          <w:tcPr>
            <w:tcW w:w="5820" w:type="dxa"/>
            <w:vAlign w:val="bottom"/>
            <w:tcBorders>
              <w:bottom w:val="single" w:sz="8" w:color="BFE4FF"/>
            </w:tcBorders>
            <w:shd w:val="clear" w:color="auto" w:fill="BFE4FF"/>
          </w:tcPr>
          <w:p>
            <w:pPr>
              <w:spacing w:after="0"/>
              <w:rPr>
                <w:sz w:val="20"/>
                <w:szCs w:val="20"/>
                <w:color w:val="auto"/>
              </w:rPr>
            </w:pPr>
            <w:r>
              <w:rPr>
                <w:rFonts w:ascii="Arial" w:cs="Arial" w:eastAsia="Arial" w:hAnsi="Arial"/>
                <w:sz w:val="16"/>
                <w:szCs w:val="16"/>
                <w:color w:val="auto"/>
              </w:rPr>
              <w:t>Non-GAAP adjusted net income (loss) per diluted common share (d)</w:t>
            </w:r>
          </w:p>
        </w:tc>
        <w:tc>
          <w:tcPr>
            <w:tcW w:w="280" w:type="dxa"/>
            <w:vAlign w:val="bottom"/>
            <w:tcBorders>
              <w:bottom w:val="single" w:sz="8" w:color="auto"/>
            </w:tcBorders>
            <w:shd w:val="clear" w:color="auto" w:fill="BFE4FF"/>
          </w:tcPr>
          <w:p>
            <w:pPr>
              <w:spacing w:after="0"/>
              <w:rPr>
                <w:sz w:val="20"/>
                <w:szCs w:val="20"/>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$0.00</w:t>
            </w:r>
          </w:p>
        </w:tc>
        <w:tc>
          <w:tcPr>
            <w:tcW w:w="120" w:type="dxa"/>
            <w:vAlign w:val="bottom"/>
            <w:tcBorders>
              <w:bottom w:val="single" w:sz="8" w:color="BFE4FF"/>
            </w:tcBorders>
            <w:shd w:val="clear" w:color="auto" w:fill="BFE4FF"/>
          </w:tcPr>
          <w:p>
            <w:pPr>
              <w:spacing w:after="0"/>
              <w:rPr>
                <w:sz w:val="20"/>
                <w:szCs w:val="20"/>
                <w:color w:val="auto"/>
              </w:rPr>
            </w:pPr>
          </w:p>
        </w:tc>
        <w:tc>
          <w:tcPr>
            <w:tcW w:w="320" w:type="dxa"/>
            <w:vAlign w:val="bottom"/>
            <w:tcBorders>
              <w:bottom w:val="single" w:sz="8" w:color="auto"/>
            </w:tcBorders>
            <w:shd w:val="clear" w:color="auto" w:fill="BFE4FF"/>
          </w:tcPr>
          <w:p>
            <w:pPr>
              <w:spacing w:after="0"/>
              <w:rPr>
                <w:sz w:val="20"/>
                <w:szCs w:val="20"/>
                <w:color w:val="auto"/>
              </w:rPr>
            </w:pPr>
          </w:p>
        </w:tc>
        <w:tc>
          <w:tcPr>
            <w:tcW w:w="10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0"/>
        </w:trPr>
        <w:tc>
          <w:tcPr>
            <w:tcW w:w="5820" w:type="dxa"/>
            <w:vAlign w:val="bottom"/>
            <w:tcBorders>
              <w:top w:val="single" w:sz="8" w:color="BFE4FF"/>
              <w:bottom w:val="single" w:sz="8" w:color="BFE4FF"/>
            </w:tcBorders>
            <w:vMerge w:val="restart"/>
          </w:tcPr>
          <w:p>
            <w:pPr>
              <w:spacing w:after="0"/>
              <w:rPr>
                <w:sz w:val="20"/>
                <w:szCs w:val="20"/>
                <w:color w:val="auto"/>
              </w:rPr>
            </w:pPr>
            <w:r>
              <w:rPr>
                <w:rFonts w:ascii="Arial" w:cs="Arial" w:eastAsia="Arial" w:hAnsi="Arial"/>
                <w:sz w:val="16"/>
                <w:szCs w:val="16"/>
                <w:color w:val="auto"/>
              </w:rPr>
              <w:t>Weighted average common shares outstanding</w:t>
            </w: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110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BFE4FF"/>
              <w:bottom w:val="single" w:sz="8" w:color="auto"/>
            </w:tcBorders>
          </w:tcPr>
          <w:p>
            <w:pPr>
              <w:spacing w:after="0" w:line="20" w:lineRule="exact"/>
              <w:rPr>
                <w:sz w:val="1"/>
                <w:szCs w:val="1"/>
                <w:color w:val="auto"/>
              </w:rPr>
            </w:pPr>
          </w:p>
        </w:tc>
        <w:tc>
          <w:tcPr>
            <w:tcW w:w="106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8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44,594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42,672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120"/>
          </w:cols>
          <w:pgMar w:left="1440" w:top="1426" w:right="339" w:bottom="1440" w:gutter="0" w:footer="0" w:header="0"/>
        </w:sectPr>
      </w:pPr>
    </w:p>
    <w:bookmarkStart w:id="13" w:name="page14"/>
    <w:bookmarkEnd w:id="13"/>
    <w:p>
      <w:pPr>
        <w:spacing w:after="0" w:line="194"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Reconciliation of Operating Cash Flow to Free Cash Flow</w:t>
      </w:r>
    </w:p>
    <w:p>
      <w:pPr>
        <w:spacing w:after="0" w:line="275"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3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74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3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40" w:type="dxa"/>
            <w:vAlign w:val="bottom"/>
            <w:tcBorders>
              <w:bottom w:val="single" w:sz="8" w:color="auto"/>
            </w:tcBorders>
            <w:gridSpan w:val="3"/>
          </w:tcPr>
          <w:p>
            <w:pPr>
              <w:ind w:left="1000"/>
              <w:spacing w:after="0"/>
              <w:rPr>
                <w:sz w:val="20"/>
                <w:szCs w:val="20"/>
                <w:color w:val="auto"/>
              </w:rPr>
            </w:pPr>
            <w:r>
              <w:rPr>
                <w:rFonts w:ascii="Arial" w:cs="Arial" w:eastAsia="Arial" w:hAnsi="Arial"/>
                <w:sz w:val="16"/>
                <w:szCs w:val="16"/>
                <w:b w:val="1"/>
                <w:bCs w:val="1"/>
                <w:color w:val="auto"/>
                <w:w w:val="97"/>
              </w:rPr>
              <w:t>March 31,</w:t>
            </w:r>
          </w:p>
        </w:tc>
        <w:tc>
          <w:tcPr>
            <w:tcW w:w="1000" w:type="dxa"/>
            <w:vAlign w:val="bottom"/>
            <w:tcBorders>
              <w:bottom w:val="single" w:sz="8" w:color="auto"/>
            </w:tcBorders>
          </w:tcPr>
          <w:p>
            <w:pPr>
              <w:spacing w:after="0"/>
              <w:rPr>
                <w:sz w:val="18"/>
                <w:szCs w:val="18"/>
                <w:color w:val="auto"/>
              </w:rPr>
            </w:pPr>
          </w:p>
        </w:tc>
      </w:tr>
      <w:tr>
        <w:trPr>
          <w:trHeight w:val="212"/>
        </w:trPr>
        <w:tc>
          <w:tcPr>
            <w:tcW w:w="38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000’s</w:t>
            </w:r>
          </w:p>
        </w:tc>
        <w:tc>
          <w:tcPr>
            <w:tcW w:w="860" w:type="dxa"/>
            <w:vAlign w:val="bottom"/>
          </w:tcPr>
          <w:p>
            <w:pPr>
              <w:spacing w:after="0"/>
              <w:rPr>
                <w:sz w:val="18"/>
                <w:szCs w:val="18"/>
                <w:color w:val="auto"/>
              </w:rPr>
            </w:pPr>
          </w:p>
        </w:tc>
        <w:tc>
          <w:tcPr>
            <w:tcW w:w="1320" w:type="dxa"/>
            <w:vAlign w:val="bottom"/>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579"/>
              <w:spacing w:after="0"/>
              <w:rPr>
                <w:sz w:val="20"/>
                <w:szCs w:val="20"/>
                <w:color w:val="auto"/>
              </w:rPr>
            </w:pPr>
            <w:r>
              <w:rPr>
                <w:rFonts w:ascii="Arial" w:cs="Arial" w:eastAsia="Arial" w:hAnsi="Arial"/>
                <w:sz w:val="16"/>
                <w:szCs w:val="16"/>
                <w:b w:val="1"/>
                <w:bCs w:val="1"/>
                <w:color w:val="auto"/>
                <w:w w:val="89"/>
              </w:rPr>
              <w:t>2021</w:t>
            </w:r>
          </w:p>
        </w:tc>
      </w:tr>
      <w:tr>
        <w:trPr>
          <w:trHeight w:val="212"/>
        </w:trPr>
        <w:tc>
          <w:tcPr>
            <w:tcW w:w="320" w:type="dxa"/>
            <w:vAlign w:val="bottom"/>
          </w:tcPr>
          <w:p>
            <w:pPr>
              <w:spacing w:after="0"/>
              <w:rPr>
                <w:sz w:val="20"/>
                <w:szCs w:val="20"/>
                <w:color w:val="auto"/>
              </w:rPr>
            </w:pPr>
            <w:r>
              <w:rPr>
                <w:rFonts w:ascii="Arial" w:cs="Arial" w:eastAsia="Arial" w:hAnsi="Arial"/>
                <w:sz w:val="16"/>
                <w:szCs w:val="16"/>
                <w:color w:val="auto"/>
              </w:rPr>
              <w:t>Net</w:t>
            </w:r>
          </w:p>
        </w:tc>
        <w:tc>
          <w:tcPr>
            <w:tcW w:w="3500" w:type="dxa"/>
            <w:vAlign w:val="bottom"/>
            <w:tcBorders>
              <w:top w:val="single" w:sz="8" w:color="BFE4FF"/>
            </w:tcBorders>
            <w:shd w:val="clear" w:color="auto" w:fill="BFE4FF"/>
          </w:tcPr>
          <w:p>
            <w:pPr>
              <w:spacing w:after="0"/>
              <w:rPr>
                <w:sz w:val="20"/>
                <w:szCs w:val="20"/>
                <w:color w:val="auto"/>
              </w:rPr>
            </w:pPr>
            <w:r>
              <w:rPr>
                <w:rFonts w:ascii="Arial" w:cs="Arial" w:eastAsia="Arial" w:hAnsi="Arial"/>
                <w:sz w:val="16"/>
                <w:szCs w:val="16"/>
                <w:color w:val="auto"/>
              </w:rPr>
              <w:t>cash provided by (used in) operating activities</w:t>
            </w:r>
          </w:p>
        </w:tc>
        <w:tc>
          <w:tcPr>
            <w:tcW w:w="860" w:type="dxa"/>
            <w:vAlign w:val="bottom"/>
            <w:tcBorders>
              <w:top w:val="single" w:sz="8" w:color="BFE4FF"/>
            </w:tcBorders>
            <w:shd w:val="clear" w:color="auto" w:fill="BFE4FF"/>
          </w:tcPr>
          <w:p>
            <w:pPr>
              <w:spacing w:after="0"/>
              <w:rPr>
                <w:sz w:val="18"/>
                <w:szCs w:val="18"/>
                <w:color w:val="auto"/>
              </w:rPr>
            </w:pPr>
          </w:p>
        </w:tc>
        <w:tc>
          <w:tcPr>
            <w:tcW w:w="13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(5,223)</w:t>
            </w:r>
          </w:p>
        </w:tc>
        <w:tc>
          <w:tcPr>
            <w:tcW w:w="100" w:type="dxa"/>
            <w:vAlign w:val="bottom"/>
            <w:tcBorders>
              <w:top w:val="single" w:sz="8" w:color="BFE4FF"/>
            </w:tcBorders>
            <w:shd w:val="clear" w:color="auto" w:fill="BFE4FF"/>
          </w:tcPr>
          <w:p>
            <w:pPr>
              <w:spacing w:after="0"/>
              <w:rPr>
                <w:sz w:val="18"/>
                <w:szCs w:val="18"/>
                <w:color w:val="auto"/>
              </w:rPr>
            </w:pPr>
          </w:p>
        </w:tc>
        <w:tc>
          <w:tcPr>
            <w:tcW w:w="320" w:type="dxa"/>
            <w:vAlign w:val="bottom"/>
            <w:tcBorders>
              <w:top w:val="single" w:sz="8" w:color="auto"/>
            </w:tcBorders>
            <w:shd w:val="clear" w:color="auto" w:fill="BFE4FF"/>
          </w:tcPr>
          <w:p>
            <w:pPr>
              <w:spacing w:after="0"/>
              <w:rPr>
                <w:sz w:val="18"/>
                <w:szCs w:val="18"/>
                <w:color w:val="auto"/>
              </w:rPr>
            </w:pPr>
          </w:p>
        </w:tc>
        <w:tc>
          <w:tcPr>
            <w:tcW w:w="1000" w:type="dxa"/>
            <w:vAlign w:val="bottom"/>
            <w:tcBorders>
              <w:top w:val="single" w:sz="8" w:color="auto"/>
            </w:tcBorders>
            <w:shd w:val="clear" w:color="auto" w:fill="BFE4FF"/>
          </w:tcPr>
          <w:p>
            <w:pPr>
              <w:jc w:val="center"/>
              <w:ind w:left="419"/>
              <w:spacing w:after="0"/>
              <w:rPr>
                <w:sz w:val="20"/>
                <w:szCs w:val="20"/>
                <w:color w:val="auto"/>
              </w:rPr>
            </w:pPr>
            <w:r>
              <w:rPr>
                <w:rFonts w:ascii="Arial" w:cs="Arial" w:eastAsia="Arial" w:hAnsi="Arial"/>
                <w:sz w:val="16"/>
                <w:szCs w:val="16"/>
                <w:color w:val="auto"/>
                <w:w w:val="94"/>
              </w:rPr>
              <w:t>7,884</w:t>
            </w:r>
          </w:p>
        </w:tc>
      </w:tr>
      <w:tr>
        <w:trPr>
          <w:trHeight w:val="213"/>
        </w:trPr>
        <w:tc>
          <w:tcPr>
            <w:tcW w:w="3820" w:type="dxa"/>
            <w:vAlign w:val="bottom"/>
            <w:gridSpan w:val="2"/>
          </w:tcPr>
          <w:p>
            <w:pPr>
              <w:spacing w:after="0"/>
              <w:rPr>
                <w:sz w:val="20"/>
                <w:szCs w:val="20"/>
                <w:color w:val="auto"/>
              </w:rPr>
            </w:pPr>
            <w:r>
              <w:rPr>
                <w:rFonts w:ascii="Arial" w:cs="Arial" w:eastAsia="Arial" w:hAnsi="Arial"/>
                <w:sz w:val="16"/>
                <w:szCs w:val="16"/>
                <w:color w:val="auto"/>
              </w:rPr>
              <w:t>Acquisition of property, plant and equipment</w:t>
            </w:r>
          </w:p>
        </w:tc>
        <w:tc>
          <w:tcPr>
            <w:tcW w:w="8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(4,262)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center"/>
              <w:ind w:left="399"/>
              <w:spacing w:after="0"/>
              <w:rPr>
                <w:sz w:val="20"/>
                <w:szCs w:val="20"/>
                <w:color w:val="auto"/>
              </w:rPr>
            </w:pPr>
            <w:r>
              <w:rPr>
                <w:rFonts w:ascii="Arial" w:cs="Arial" w:eastAsia="Arial" w:hAnsi="Arial"/>
                <w:sz w:val="16"/>
                <w:szCs w:val="16"/>
                <w:color w:val="auto"/>
                <w:w w:val="94"/>
              </w:rPr>
              <w:t>(5,468)</w:t>
            </w:r>
          </w:p>
        </w:tc>
      </w:tr>
      <w:tr>
        <w:trPr>
          <w:trHeight w:val="238"/>
        </w:trPr>
        <w:tc>
          <w:tcPr>
            <w:tcW w:w="320" w:type="dxa"/>
            <w:vAlign w:val="bottom"/>
          </w:tcPr>
          <w:p>
            <w:pPr>
              <w:spacing w:after="0"/>
              <w:rPr>
                <w:sz w:val="20"/>
                <w:szCs w:val="20"/>
                <w:color w:val="auto"/>
              </w:rPr>
            </w:pPr>
            <w:r>
              <w:rPr>
                <w:rFonts w:ascii="Arial" w:cs="Arial" w:eastAsia="Arial" w:hAnsi="Arial"/>
                <w:sz w:val="16"/>
                <w:szCs w:val="16"/>
                <w:color w:val="auto"/>
                <w:w w:val="91"/>
              </w:rPr>
              <w:t>Free</w:t>
            </w:r>
          </w:p>
        </w:tc>
        <w:tc>
          <w:tcPr>
            <w:tcW w:w="3500" w:type="dxa"/>
            <w:vAlign w:val="bottom"/>
            <w:tcBorders>
              <w:top w:val="single" w:sz="8" w:color="BFE4FF"/>
              <w:bottom w:val="single" w:sz="8" w:color="BFE4FF"/>
            </w:tcBorders>
            <w:shd w:val="clear" w:color="auto" w:fill="BFE4FF"/>
          </w:tcPr>
          <w:p>
            <w:pPr>
              <w:spacing w:after="0"/>
              <w:rPr>
                <w:sz w:val="20"/>
                <w:szCs w:val="20"/>
                <w:color w:val="auto"/>
              </w:rPr>
            </w:pPr>
            <w:r>
              <w:rPr>
                <w:rFonts w:ascii="Arial" w:cs="Arial" w:eastAsia="Arial" w:hAnsi="Arial"/>
                <w:sz w:val="16"/>
                <w:szCs w:val="16"/>
                <w:color w:val="auto"/>
              </w:rPr>
              <w:t>cash flow</w:t>
            </w:r>
          </w:p>
        </w:tc>
        <w:tc>
          <w:tcPr>
            <w:tcW w:w="860" w:type="dxa"/>
            <w:vAlign w:val="bottom"/>
            <w:tcBorders>
              <w:top w:val="single" w:sz="8" w:color="BFE4FF"/>
              <w:bottom w:val="single" w:sz="8" w:color="BFE4FF"/>
            </w:tcBorders>
            <w:shd w:val="clear" w:color="auto" w:fill="BFE4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(9,485)$</w:t>
            </w:r>
          </w:p>
        </w:tc>
        <w:tc>
          <w:tcPr>
            <w:tcW w:w="100" w:type="dxa"/>
            <w:vAlign w:val="bottom"/>
            <w:tcBorders>
              <w:top w:val="single" w:sz="8" w:color="BFE4FF"/>
              <w:bottom w:val="single" w:sz="8" w:color="BFE4FF"/>
            </w:tcBorders>
            <w:shd w:val="clear" w:color="auto" w:fill="BFE4FF"/>
          </w:tcPr>
          <w:p>
            <w:pPr>
              <w:spacing w:after="0"/>
              <w:rPr>
                <w:sz w:val="20"/>
                <w:szCs w:val="20"/>
                <w:color w:val="auto"/>
              </w:rPr>
            </w:pPr>
          </w:p>
        </w:tc>
        <w:tc>
          <w:tcPr>
            <w:tcW w:w="320" w:type="dxa"/>
            <w:vAlign w:val="bottom"/>
            <w:tcBorders>
              <w:top w:val="single" w:sz="8" w:color="auto"/>
              <w:bottom w:val="single" w:sz="8" w:color="auto"/>
            </w:tcBorders>
            <w:shd w:val="clear" w:color="auto" w:fill="BFE4FF"/>
          </w:tcPr>
          <w:p>
            <w:pPr>
              <w:spacing w:after="0"/>
              <w:rPr>
                <w:sz w:val="20"/>
                <w:szCs w:val="20"/>
                <w:color w:val="auto"/>
              </w:rPr>
            </w:pPr>
          </w:p>
        </w:tc>
        <w:tc>
          <w:tcPr>
            <w:tcW w:w="1000" w:type="dxa"/>
            <w:vAlign w:val="bottom"/>
            <w:tcBorders>
              <w:top w:val="single" w:sz="8" w:color="auto"/>
              <w:bottom w:val="single" w:sz="8" w:color="auto"/>
            </w:tcBorders>
            <w:shd w:val="clear" w:color="auto" w:fill="BFE4FF"/>
          </w:tcPr>
          <w:p>
            <w:pPr>
              <w:jc w:val="center"/>
              <w:ind w:left="419"/>
              <w:spacing w:after="0"/>
              <w:rPr>
                <w:sz w:val="20"/>
                <w:szCs w:val="20"/>
                <w:color w:val="auto"/>
              </w:rPr>
            </w:pPr>
            <w:r>
              <w:rPr>
                <w:rFonts w:ascii="Arial" w:cs="Arial" w:eastAsia="Arial" w:hAnsi="Arial"/>
                <w:sz w:val="16"/>
                <w:szCs w:val="16"/>
                <w:color w:val="auto"/>
                <w:w w:val="94"/>
              </w:rPr>
              <w:t>2,416</w:t>
            </w:r>
          </w:p>
        </w:tc>
      </w:tr>
      <w:tr>
        <w:trPr>
          <w:trHeight w:val="20"/>
        </w:trPr>
        <w:tc>
          <w:tcPr>
            <w:tcW w:w="320" w:type="dxa"/>
            <w:vAlign w:val="bottom"/>
          </w:tcPr>
          <w:p>
            <w:pPr>
              <w:spacing w:after="0" w:line="20" w:lineRule="exact"/>
              <w:rPr>
                <w:sz w:val="1"/>
                <w:szCs w:val="1"/>
                <w:color w:val="auto"/>
              </w:rPr>
            </w:pPr>
          </w:p>
        </w:tc>
        <w:tc>
          <w:tcPr>
            <w:tcW w:w="3500" w:type="dxa"/>
            <w:vAlign w:val="bottom"/>
            <w:tcBorders>
              <w:top w:val="single" w:sz="8" w:color="BFE4FF"/>
            </w:tcBorders>
          </w:tcPr>
          <w:p>
            <w:pPr>
              <w:spacing w:after="0" w:line="20" w:lineRule="exact"/>
              <w:rPr>
                <w:sz w:val="1"/>
                <w:szCs w:val="1"/>
                <w:color w:val="auto"/>
              </w:rPr>
            </w:pPr>
          </w:p>
        </w:tc>
        <w:tc>
          <w:tcPr>
            <w:tcW w:w="860" w:type="dxa"/>
            <w:vAlign w:val="bottom"/>
            <w:tcBorders>
              <w:top w:val="single" w:sz="8" w:color="BFE4FF"/>
            </w:tcBorders>
          </w:tcPr>
          <w:p>
            <w:pPr>
              <w:spacing w:after="0" w:line="20" w:lineRule="exact"/>
              <w:rPr>
                <w:sz w:val="1"/>
                <w:szCs w:val="1"/>
                <w:color w:val="auto"/>
              </w:rPr>
            </w:pPr>
          </w:p>
        </w:tc>
        <w:tc>
          <w:tcPr>
            <w:tcW w:w="132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BFE4FF"/>
              <w:bottom w:val="single" w:sz="8" w:color="auto"/>
            </w:tcBorders>
          </w:tcPr>
          <w:p>
            <w:pPr>
              <w:spacing w:after="0" w:line="20" w:lineRule="exact"/>
              <w:rPr>
                <w:sz w:val="1"/>
                <w:szCs w:val="1"/>
                <w:color w:val="auto"/>
              </w:rPr>
            </w:pPr>
          </w:p>
        </w:tc>
        <w:tc>
          <w:tcPr>
            <w:tcW w:w="1000" w:type="dxa"/>
            <w:vAlign w:val="bottom"/>
            <w:tcBorders>
              <w:top w:val="single" w:sz="8" w:color="BFE4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120"/>
          </w:cols>
          <w:pgMar w:left="1440" w:top="1440" w:right="339" w:bottom="1440" w:gutter="0" w:footer="0" w:header="0"/>
        </w:sectPr>
      </w:pPr>
    </w:p>
    <w:bookmarkStart w:id="14" w:name="page15"/>
    <w:bookmarkEnd w:id="14"/>
    <w:p>
      <w:pPr>
        <w:spacing w:after="0" w:line="267" w:lineRule="auto"/>
        <w:rPr>
          <w:sz w:val="20"/>
          <w:szCs w:val="20"/>
          <w:color w:val="auto"/>
        </w:rPr>
      </w:pPr>
      <w:r>
        <w:rPr>
          <w:rFonts w:ascii="Arial" w:cs="Arial" w:eastAsia="Arial" w:hAnsi="Arial"/>
          <w:sz w:val="16"/>
          <w:szCs w:val="16"/>
          <w:i w:val="1"/>
          <w:iCs w:val="1"/>
          <w:color w:val="auto"/>
        </w:rPr>
        <w:t>The Company discloses in this presentation the non-GAAP financial measures of adjusted income (loss) from operations, adjusted EBITDA, adjusted net income (loss), adjusted net income (loss) per diluted common share, and free cash flow. Each of these non-GAAP financial measures provides supplementary information about the impacts of acquisition, divestiture and integration related expenses, foreign-exchange impacts on inter-company loans, reorganizational and impairment charges. Over the past five years, we have completed several acquisitions, one of which was transformative for the Company, and sold two of our businesses. The costs we incurred in completing such acquisitions, including the amortization of intangibles and deferred financing costs, and these divestitures have been excluded from these measures because their size and inconsistent frequency are unrelated to our commercial performance during the period, and which we believe are not indicative of our ongoing operating costs. We exclude the impact of currency translation from these measures because foreign exchange rates are not under management’s control and are subject to volatility. Other non-operating charges are excluded as the charges are not indicative of our ongoing operating cost. We believe the presentation of adjusted income (loss) from operations, adjusted EBITDA, adjusted net income (loss), adjusted net income (loss) per diluted common share, and free cash flow provides useful information in assessing our underlying business trends and facilitates comparison of our long-term performance over given periods.</w:t>
      </w:r>
    </w:p>
    <w:p>
      <w:pPr>
        <w:spacing w:after="0" w:line="151" w:lineRule="exact"/>
        <w:rPr>
          <w:sz w:val="20"/>
          <w:szCs w:val="20"/>
          <w:color w:val="auto"/>
        </w:rPr>
      </w:pPr>
    </w:p>
    <w:p>
      <w:pPr>
        <w:ind w:right="240"/>
        <w:spacing w:after="0" w:line="272" w:lineRule="auto"/>
        <w:rPr>
          <w:sz w:val="20"/>
          <w:szCs w:val="20"/>
          <w:color w:val="auto"/>
        </w:rPr>
      </w:pPr>
      <w:r>
        <w:rPr>
          <w:rFonts w:ascii="Arial" w:cs="Arial" w:eastAsia="Arial" w:hAnsi="Arial"/>
          <w:sz w:val="16"/>
          <w:szCs w:val="16"/>
          <w:i w:val="1"/>
          <w:iCs w:val="1"/>
          <w:color w:val="auto"/>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income growth derived from income amounts presented in accordance with GAAP. The Company does not consider these non-GAAP financial measures to be a substitute for, or superior to, the information provided by GAAP financial results.</w:t>
      </w:r>
    </w:p>
    <w:p>
      <w:pPr>
        <w:spacing w:after="0" w:line="159" w:lineRule="exact"/>
        <w:rPr>
          <w:sz w:val="20"/>
          <w:szCs w:val="20"/>
          <w:color w:val="auto"/>
        </w:rPr>
      </w:pPr>
    </w:p>
    <w:p>
      <w:pPr>
        <w:ind w:right="140" w:firstLine="8"/>
        <w:spacing w:after="0" w:line="269" w:lineRule="auto"/>
        <w:tabs>
          <w:tab w:leader="none" w:pos="243"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Non-GAAP Adjusted income (loss) from operations represents GAAP income (loss) from operations, adjusted to exclude the effects of restructuring and integration expense; non-operational charges related to acquisition and transition expense, intangible amortization costs for fair value step-up in values related to acquisitions, non-cash impairment charges,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(loss) from operations is not a measure of financial performance under GAAP and should not be considered as a measure of liquidity or as an alternative to GAAP income (loss) from operations.</w:t>
      </w:r>
    </w:p>
    <w:p>
      <w:pPr>
        <w:spacing w:after="0" w:line="149" w:lineRule="exact"/>
        <w:rPr>
          <w:rFonts w:ascii="Arial" w:cs="Arial" w:eastAsia="Arial" w:hAnsi="Arial"/>
          <w:sz w:val="16"/>
          <w:szCs w:val="16"/>
          <w:i w:val="1"/>
          <w:iCs w:val="1"/>
          <w:color w:val="auto"/>
        </w:rPr>
      </w:pPr>
    </w:p>
    <w:p>
      <w:pPr>
        <w:ind w:right="40" w:firstLine="8"/>
        <w:spacing w:after="0" w:line="269" w:lineRule="auto"/>
        <w:tabs>
          <w:tab w:leader="none" w:pos="243"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Non-GAAP adjusted EBITDA represents GAAP net income (loss), adjusted to include income taxes, interest expense, write-off of unamortized debt issuance costs, interest rate swap payments and change in fair value that was recognized in earnings, change in fair value of preferred stock derivatives and warrants, depreciation and amortization, charges related to acquisition and transition costs, non-cash stock compensation expense, foreign exchange gain (loss) on inter-company loans, restructuring and integration expense, costs related to divested businesses and litigation settlements, income from discontinued operations, and non-cash impairment charges, to the extent applicable.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EBITDA is not a measure of financial performance under GAAP and should not be considered as a measure of liquidity or as an alternative to GAAP income (loss) from continuing operations.</w:t>
      </w:r>
    </w:p>
    <w:p>
      <w:pPr>
        <w:spacing w:after="0" w:line="145" w:lineRule="exact"/>
        <w:rPr>
          <w:rFonts w:ascii="Arial" w:cs="Arial" w:eastAsia="Arial" w:hAnsi="Arial"/>
          <w:sz w:val="16"/>
          <w:szCs w:val="16"/>
          <w:i w:val="1"/>
          <w:iCs w:val="1"/>
          <w:color w:val="auto"/>
        </w:rPr>
      </w:pPr>
    </w:p>
    <w:p>
      <w:pPr>
        <w:ind w:right="340" w:firstLine="8"/>
        <w:spacing w:after="0" w:line="281" w:lineRule="auto"/>
        <w:tabs>
          <w:tab w:leader="none" w:pos="234"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This line item reflects the aggregate tax effect of all non-tax adjustments reflected in the respective table. NN, Inc. estimates the tax effect of the adjustment items identified in the reconciliation schedule above by applying the applicable statutory rates by tax jurisdiction unless the nature of the item and/or the tax jurisdiction in which the item has been recorded requires application of a specific tax rate or tax treatment.</w:t>
      </w:r>
    </w:p>
    <w:p>
      <w:pPr>
        <w:spacing w:after="0" w:line="150" w:lineRule="exact"/>
        <w:rPr>
          <w:rFonts w:ascii="Arial" w:cs="Arial" w:eastAsia="Arial" w:hAnsi="Arial"/>
          <w:sz w:val="16"/>
          <w:szCs w:val="16"/>
          <w:i w:val="1"/>
          <w:iCs w:val="1"/>
          <w:color w:val="auto"/>
        </w:rPr>
      </w:pPr>
    </w:p>
    <w:p>
      <w:pPr>
        <w:ind w:right="20" w:firstLine="8"/>
        <w:spacing w:after="0" w:line="269" w:lineRule="auto"/>
        <w:tabs>
          <w:tab w:leader="none" w:pos="243"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Non-GAAP adjusted net income (loss) represents GAAP net income (loss) adjusted to exclude the tax-affected effects of charges related to acquisition and transition costs, foreign exchange gain (loss) on inter-company loans, restructuring and integration charges, amortization of intangibles costs for fair value step-up in values related to acquisitions and amortization of deferred financing costs, non-cash impairment charges, write-off of unamortized debt issuance costs, interest rate swap payments and change in fair value, change in fair value of preferred stock derivatives and warrants, costs related to divested businesses and litigation settlements, income (loss) from discontinued operations, and preferred stock cumulative dividends and deemed dividends. We believe this presentation is commonly used by investors and professional research analysts in the valuation, comparison, rating, and investment recommendations of companies in the industrial industry. We use this information for comparative purposes within the industry.</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w:t>
      </w:r>
    </w:p>
    <w:sectPr>
      <w:pgSz w:w="11900" w:h="16838" w:orient="portrait"/>
      <w:cols w:equalWidth="0" w:num="1">
        <w:col w:w="11240"/>
      </w:cols>
      <w:pgMar w:left="320" w:top="13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upperLetter"/>
      <w:start w:val="40"/>
    </w:lvl>
  </w:abstractNum>
  <w:abstractNum w:abstractNumId="4">
    <w:nsid w:val="507ED7AB"/>
    <w:multiLevelType w:val="hybridMultilevel"/>
    <w:lvl w:ilvl="0">
      <w:lvlJc w:val="left"/>
      <w:lvlText w:val="%1"/>
      <w:numFmt w:val="upperLetter"/>
      <w:start w:val="40"/>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2022-05-06T12:27:15Z</dcterms:created>
  <dcterms:modified xsi:type="dcterms:W3CDTF">2022-05-06T12:27:15Z</dcterms:modified>
</cp:coreProperties>
</file>