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Smith Carey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top w:val="single" w:sz="8" w:color="0000EE"/>
              <w:bottom w:val="single" w:sz="8" w:color="9A9A9A"/>
            </w:tcBorders>
          </w:tcPr>
          <w:p>
            <w:pPr>
              <w:spacing w:after="0"/>
              <w:rPr>
                <w:sz w:val="15"/>
                <w:szCs w:val="15"/>
                <w:color w:val="auto"/>
              </w:rPr>
            </w:pPr>
          </w:p>
        </w:tc>
        <w:tc>
          <w:tcPr>
            <w:tcW w:w="18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05/19/2017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6"/>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ind w:left="366" w:hanging="366"/>
        <w:spacing w:after="0"/>
        <w:tabs>
          <w:tab w:leader="none" w:pos="366" w:val="left"/>
        </w:tabs>
        <w:numPr>
          <w:ilvl w:val="0"/>
          <w:numId w:val="1"/>
        </w:numPr>
        <w:rPr>
          <w:rFonts w:ascii="Arial" w:cs="Arial" w:eastAsia="Arial" w:hAnsi="Arial"/>
          <w:sz w:val="22"/>
          <w:szCs w:val="22"/>
          <w:color w:val="0000EE"/>
        </w:rPr>
      </w:pPr>
      <w:hyperlink r:id="rId12">
        <w:r>
          <w:rPr>
            <w:rFonts w:ascii="Arial" w:cs="Arial" w:eastAsia="Arial" w:hAnsi="Arial"/>
            <w:sz w:val="22"/>
            <w:szCs w:val="22"/>
            <w:u w:val="single" w:color="auto"/>
            <w:color w:val="0000EE"/>
          </w:rPr>
          <w:t>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NNBR</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74"/>
            <w:col w:w="6226"/>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1180" w:type="dxa"/>
            <w:vAlign w:val="bottom"/>
          </w:tcPr>
          <w:p>
            <w:pPr>
              <w:ind w:left="160"/>
              <w:spacing w:after="0"/>
              <w:rPr>
                <w:sz w:val="20"/>
                <w:szCs w:val="20"/>
                <w:color w:val="auto"/>
              </w:rPr>
            </w:pPr>
            <w:r>
              <w:rPr>
                <w:rFonts w:ascii="Arial" w:cs="Arial" w:eastAsia="Arial" w:hAnsi="Arial"/>
                <w:sz w:val="14"/>
                <w:szCs w:val="14"/>
                <w:color w:val="auto"/>
              </w:rPr>
              <w:t>(First)</w:t>
            </w:r>
          </w:p>
        </w:tc>
        <w:tc>
          <w:tcPr>
            <w:tcW w:w="1100" w:type="dxa"/>
            <w:vAlign w:val="bottom"/>
          </w:tcPr>
          <w:p>
            <w:pPr>
              <w:ind w:left="6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18"/>
                <w:szCs w:val="18"/>
                <w:color w:val="0000FF"/>
                <w:w w:val="97"/>
              </w:rPr>
              <w:t>207 MOCKINGBIRD LANE</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JOHNSON</w:t>
            </w:r>
          </w:p>
        </w:tc>
        <w:tc>
          <w:tcPr>
            <w:tcW w:w="1180" w:type="dxa"/>
            <w:vAlign w:val="bottom"/>
            <w:vMerge w:val="restart"/>
          </w:tcPr>
          <w:p>
            <w:pPr>
              <w:ind w:left="160"/>
              <w:spacing w:after="0"/>
              <w:rPr>
                <w:sz w:val="20"/>
                <w:szCs w:val="20"/>
                <w:color w:val="auto"/>
              </w:rPr>
            </w:pPr>
            <w:r>
              <w:rPr>
                <w:rFonts w:ascii="Arial" w:cs="Arial" w:eastAsia="Arial" w:hAnsi="Arial"/>
                <w:sz w:val="18"/>
                <w:szCs w:val="18"/>
                <w:color w:val="0000FF"/>
              </w:rPr>
              <w:t>TN</w:t>
            </w:r>
          </w:p>
        </w:tc>
        <w:tc>
          <w:tcPr>
            <w:tcW w:w="1100" w:type="dxa"/>
            <w:vAlign w:val="bottom"/>
            <w:vMerge w:val="restart"/>
          </w:tcPr>
          <w:p>
            <w:pPr>
              <w:ind w:left="60"/>
              <w:spacing w:after="0"/>
              <w:rPr>
                <w:sz w:val="20"/>
                <w:szCs w:val="20"/>
                <w:color w:val="auto"/>
              </w:rPr>
            </w:pPr>
            <w:r>
              <w:rPr>
                <w:rFonts w:ascii="Arial" w:cs="Arial" w:eastAsia="Arial" w:hAnsi="Arial"/>
                <w:sz w:val="18"/>
                <w:szCs w:val="18"/>
                <w:color w:val="0000FF"/>
              </w:rPr>
              <w:t>37604</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60" w:type="dxa"/>
            <w:vAlign w:val="bottom"/>
            <w:vMerge w:val="restart"/>
          </w:tcPr>
          <w:p>
            <w:pPr>
              <w:ind w:left="20"/>
              <w:spacing w:after="0"/>
              <w:rPr>
                <w:sz w:val="20"/>
                <w:szCs w:val="20"/>
                <w:color w:val="auto"/>
              </w:rPr>
            </w:pPr>
            <w:r>
              <w:rPr>
                <w:rFonts w:ascii="Arial" w:cs="Arial" w:eastAsia="Arial" w:hAnsi="Arial"/>
                <w:sz w:val="18"/>
                <w:szCs w:val="18"/>
                <w:color w:val="0000FF"/>
              </w:rPr>
              <w:t>CITY</w:t>
            </w:r>
          </w:p>
        </w:tc>
        <w:tc>
          <w:tcPr>
            <w:tcW w:w="11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3520" w:type="dxa"/>
            <w:vAlign w:val="bottom"/>
          </w:tcPr>
          <w:p>
            <w:pPr>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48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w w:val="95"/>
              </w:rPr>
              <w:t>Beneficial Ownership</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48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48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80" w:type="dxa"/>
            <w:vAlign w:val="bottom"/>
          </w:tcPr>
          <w:p>
            <w:pPr>
              <w:ind w:left="8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480" w:type="dxa"/>
            <w:vAlign w:val="bottom"/>
          </w:tcPr>
          <w:p>
            <w:pPr>
              <w:ind w:left="8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480" w:type="dxa"/>
            <w:vAlign w:val="bottom"/>
          </w:tcPr>
          <w:p>
            <w:pPr>
              <w:ind w:left="8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Power of Attorney is attached to this Form 3 as Exhibit 24.</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No securities are beneficially owned.</w:t>
      </w:r>
    </w:p>
    <w:p>
      <w:pPr>
        <w:spacing w:after="0" w:line="54"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Richard F. Mattern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05/23/2017</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40" w:type="dxa"/>
            <w:vAlign w:val="bottom"/>
            <w:tcBorders>
              <w:top w:val="single" w:sz="8" w:color="auto"/>
            </w:tcBorders>
            <w:vMerge w:val="restart"/>
          </w:tcPr>
          <w:p>
            <w:pPr>
              <w:spacing w:after="0"/>
              <w:rPr>
                <w:sz w:val="7"/>
                <w:szCs w:val="7"/>
                <w:color w:val="auto"/>
              </w:rPr>
            </w:pPr>
          </w:p>
        </w:tc>
        <w:tc>
          <w:tcPr>
            <w:tcW w:w="36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40" w:type="dxa"/>
            <w:vAlign w:val="bottom"/>
            <w:tcBorders>
              <w:top w:val="single" w:sz="8" w:color="auto"/>
            </w:tcBorders>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ind w:right="1779"/>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Richard D. Holder, Matthew S. Heiter, Thomas C. Burwell, Jr., J. Robert Atkinson, Richard F. Mattern and Kristin C. Dunavant, with full power of substitution, the undersigned's true and lawful attorney-in-fact to:</w:t>
      </w:r>
    </w:p>
    <w:p>
      <w:pPr>
        <w:spacing w:after="0" w:line="207" w:lineRule="exact"/>
        <w:rPr>
          <w:sz w:val="20"/>
          <w:szCs w:val="20"/>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212" w:lineRule="exact"/>
        <w:rPr>
          <w:rFonts w:ascii="Courier New" w:cs="Courier New" w:eastAsia="Courier New" w:hAnsi="Courier New"/>
          <w:sz w:val="18"/>
          <w:szCs w:val="18"/>
          <w:color w:val="auto"/>
        </w:rPr>
      </w:pPr>
    </w:p>
    <w:p>
      <w:pPr>
        <w:ind w:left="1700" w:right="17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NN, Inc. (the "Company"), Forms 3, 4, and 5 in accordance with Section 16(a) of the Securities Exchange Act of 1934 and the rules thereunder;</w:t>
      </w:r>
    </w:p>
    <w:p>
      <w:pPr>
        <w:spacing w:after="0" w:line="208" w:lineRule="exact"/>
        <w:rPr>
          <w:rFonts w:ascii="Courier New" w:cs="Courier New" w:eastAsia="Courier New" w:hAnsi="Courier New"/>
          <w:sz w:val="18"/>
          <w:szCs w:val="18"/>
          <w:color w:val="auto"/>
        </w:rPr>
      </w:pPr>
    </w:p>
    <w:p>
      <w:pPr>
        <w:ind w:left="1700" w:right="1879" w:hanging="849"/>
        <w:spacing w:after="0" w:line="273" w:lineRule="auto"/>
        <w:tabs>
          <w:tab w:leader="none" w:pos="170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4" w:lineRule="exact"/>
        <w:rPr>
          <w:rFonts w:ascii="Courier New" w:cs="Courier New" w:eastAsia="Courier New" w:hAnsi="Courier New"/>
          <w:sz w:val="16"/>
          <w:szCs w:val="16"/>
          <w:color w:val="auto"/>
        </w:rPr>
      </w:pPr>
    </w:p>
    <w:p>
      <w:pPr>
        <w:ind w:left="1700" w:right="1879" w:hanging="849"/>
        <w:spacing w:after="0" w:line="237" w:lineRule="auto"/>
        <w:tabs>
          <w:tab w:leader="none" w:pos="170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4" w:lineRule="exact"/>
        <w:rPr>
          <w:sz w:val="20"/>
          <w:szCs w:val="20"/>
          <w:color w:val="auto"/>
        </w:rPr>
      </w:pPr>
    </w:p>
    <w:p>
      <w:pPr>
        <w:ind w:right="1879" w:firstLine="843"/>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09" w:lineRule="exact"/>
        <w:rPr>
          <w:sz w:val="20"/>
          <w:szCs w:val="20"/>
          <w:color w:val="auto"/>
        </w:rPr>
      </w:pPr>
    </w:p>
    <w:p>
      <w:pPr>
        <w:ind w:right="2199" w:firstLine="1685"/>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19th day of May, 2017.</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Carey S. Smith</w:t>
      </w:r>
    </w:p>
    <w:p>
      <w:pPr>
        <w:ind w:left="4220"/>
        <w:spacing w:after="0" w:line="238" w:lineRule="auto"/>
        <w:rPr>
          <w:sz w:val="20"/>
          <w:szCs w:val="20"/>
          <w:color w:val="auto"/>
        </w:rPr>
      </w:pPr>
      <w:r>
        <w:rPr>
          <w:rFonts w:ascii="Courier New" w:cs="Courier New" w:eastAsia="Courier New" w:hAnsi="Courier New"/>
          <w:sz w:val="18"/>
          <w:szCs w:val="18"/>
          <w:color w:val="auto"/>
        </w:rPr>
        <w: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40"/>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07270" TargetMode="External"/><Relationship Id="rId12"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2019-12-23T15:52:03Z</dcterms:created>
  <dcterms:modified xsi:type="dcterms:W3CDTF">2019-12-23T15:52:03Z</dcterms:modified>
</cp:coreProperties>
</file>