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7"/>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34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 8-K</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Current Report</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ectPr>
          <w:pgSz w:w="11900" w:h="16838" w:orient="portrait"/>
          <w:cols w:equalWidth="0" w:num="1">
            <w:col w:w="10221"/>
          </w:cols>
          <w:pgMar w:left="238" w:top="237" w:right="1440" w:bottom="1440" w:gutter="0" w:footer="0" w:header="0"/>
        </w:sectPr>
      </w:pP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July 29, 2004</w:t>
      </w:r>
    </w:p>
    <w:p>
      <w:pPr>
        <w:spacing w:after="0" w:line="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682" w:space="180"/>
            <w:col w:w="5359"/>
          </w:cols>
          <w:pgMar w:left="238" w:top="237" w:right="1440" w:bottom="1440" w:gutter="0" w:footer="0" w:header="0"/>
          <w:type w:val="continuous"/>
        </w:sectPr>
      </w:pPr>
    </w:p>
    <w:p>
      <w:pPr>
        <w:jc w:val="center"/>
        <w:ind w:right="2597"/>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369" w:lineRule="exact"/>
        <w:rPr>
          <w:sz w:val="24"/>
          <w:szCs w:val="24"/>
          <w:color w:val="auto"/>
        </w:rPr>
      </w:pPr>
    </w:p>
    <w:tbl>
      <w:tblPr>
        <w:tblLayout w:type="fixed"/>
        <w:tblInd w:w="962" w:type="dxa"/>
        <w:tblCellMar>
          <w:top w:w="0" w:type="dxa"/>
          <w:left w:w="0" w:type="dxa"/>
          <w:bottom w:w="0" w:type="dxa"/>
          <w:right w:w="0" w:type="dxa"/>
        </w:tblCellMar>
      </w:tblPr>
      <w:tr>
        <w:trPr>
          <w:trHeight w:val="181"/>
        </w:trPr>
        <w:tc>
          <w:tcPr>
            <w:tcW w:w="170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540" w:type="dxa"/>
            <w:vAlign w:val="bottom"/>
          </w:tcPr>
          <w:p>
            <w:pPr>
              <w:jc w:val="right"/>
              <w:ind w:right="841"/>
              <w:spacing w:after="0"/>
              <w:rPr>
                <w:sz w:val="20"/>
                <w:szCs w:val="20"/>
                <w:color w:val="auto"/>
              </w:rPr>
            </w:pPr>
            <w:r>
              <w:rPr>
                <w:rFonts w:ascii="Courier New" w:cs="Courier New" w:eastAsia="Courier New" w:hAnsi="Courier New"/>
                <w:sz w:val="16"/>
                <w:szCs w:val="16"/>
                <w:color w:val="auto"/>
              </w:rPr>
              <w:t>0-23486</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(Commission</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(I.R.S. Employer</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Incorporation or</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Organization)</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File Number)</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Identification Number)</w:t>
            </w:r>
          </w:p>
        </w:tc>
      </w:tr>
      <w:tr>
        <w:trPr>
          <w:trHeight w:val="550"/>
        </w:trPr>
        <w:tc>
          <w:tcPr>
            <w:tcW w:w="1580" w:type="dxa"/>
            <w:vAlign w:val="bottom"/>
          </w:tcPr>
          <w:p>
            <w:pPr>
              <w:spacing w:after="0"/>
              <w:rPr>
                <w:sz w:val="20"/>
                <w:szCs w:val="20"/>
                <w:color w:val="auto"/>
              </w:rPr>
            </w:pPr>
            <w:r>
              <w:rPr>
                <w:rFonts w:ascii="Courier New" w:cs="Courier New" w:eastAsia="Courier New" w:hAnsi="Courier New"/>
                <w:sz w:val="16"/>
                <w:szCs w:val="16"/>
                <w:color w:val="auto"/>
              </w:rPr>
              <w:t>2000 Waters Edge</w:t>
            </w:r>
          </w:p>
        </w:tc>
        <w:tc>
          <w:tcPr>
            <w:tcW w:w="34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w w:val="99"/>
              </w:rPr>
              <w:t>Drive, Johnson City, Tennessee</w:t>
            </w:r>
          </w:p>
        </w:tc>
        <w:tc>
          <w:tcPr>
            <w:tcW w:w="25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37604</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4"/>
          <w:szCs w:val="24"/>
          <w:color w:val="auto"/>
        </w:rPr>
      </w:pPr>
    </w:p>
    <w:p>
      <w:pPr>
        <w:ind w:left="182"/>
        <w:spacing w:after="0"/>
        <w:tabs>
          <w:tab w:leader="none" w:pos="6082"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1"/>
          </w:cols>
          <w:pgMar w:left="238" w:top="237" w:right="1440" w:bottom="1440" w:gutter="0" w:footer="0" w:header="0"/>
          <w:type w:val="continuous"/>
        </w:sectPr>
      </w:pP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423/743-9151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862" w:space="380"/>
            <w:col w:w="4979"/>
          </w:cols>
          <w:pgMar w:left="238" w:top="237" w:right="1440" w:bottom="144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Events and Regulation FD Disclosure</w:t>
      </w:r>
    </w:p>
    <w:p>
      <w:pPr>
        <w:spacing w:after="0" w:line="188" w:lineRule="exact"/>
        <w:rPr>
          <w:sz w:val="24"/>
          <w:szCs w:val="24"/>
          <w:color w:val="auto"/>
        </w:rPr>
      </w:pPr>
    </w:p>
    <w:p>
      <w:pPr>
        <w:jc w:val="both"/>
        <w:ind w:left="2" w:right="2599" w:firstLine="477"/>
        <w:spacing w:after="0"/>
        <w:rPr>
          <w:sz w:val="20"/>
          <w:szCs w:val="20"/>
          <w:color w:val="auto"/>
        </w:rPr>
      </w:pPr>
      <w:r>
        <w:rPr>
          <w:rFonts w:ascii="Courier New" w:cs="Courier New" w:eastAsia="Courier New" w:hAnsi="Courier New"/>
          <w:sz w:val="16"/>
          <w:szCs w:val="16"/>
          <w:color w:val="auto"/>
        </w:rPr>
        <w:t>On July 29, 2004, the Company issued a press release announcing its financial results for the second quarter ended June 30, 2004. The entire press release is attached hereto as an exhibit and incorporated herein by reference.</w:t>
      </w:r>
    </w:p>
    <w:p>
      <w:pPr>
        <w:spacing w:after="0" w:line="200" w:lineRule="exact"/>
        <w:rPr>
          <w:sz w:val="24"/>
          <w:szCs w:val="24"/>
          <w:color w:val="auto"/>
        </w:rPr>
      </w:pPr>
    </w:p>
    <w:p>
      <w:pPr>
        <w:spacing w:after="0" w:line="354" w:lineRule="exact"/>
        <w:rPr>
          <w:sz w:val="24"/>
          <w:szCs w:val="24"/>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8" w:lineRule="exact"/>
        <w:rPr>
          <w:sz w:val="24"/>
          <w:szCs w:val="24"/>
          <w:color w:val="auto"/>
        </w:rPr>
      </w:pPr>
    </w:p>
    <w:p>
      <w:pPr>
        <w:ind w:left="1242" w:right="4019" w:hanging="384"/>
        <w:spacing w:after="0" w:line="481" w:lineRule="auto"/>
        <w:tabs>
          <w:tab w:leader="none" w:pos="12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The following exhibits are filed herewith: 99.1 Press Release dated July 29, 2004.</w:t>
      </w:r>
    </w:p>
    <w:p>
      <w:pPr>
        <w:sectPr>
          <w:pgSz w:w="11900" w:h="16838" w:orient="portrait"/>
          <w:cols w:equalWidth="0" w:num="1">
            <w:col w:w="10221"/>
          </w:cols>
          <w:pgMar w:left="238" w:top="237"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66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29,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William C. Kelly,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Treasurer and Chief Administrative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4">
            <w:col w:w="580" w:space="180"/>
            <w:col w:w="1480" w:space="720"/>
            <w:col w:w="280" w:space="100"/>
            <w:col w:w="6879"/>
          </w:cols>
          <w:pgMar w:left="240" w:top="665" w:right="1440" w:bottom="1440" w:gutter="0" w:footer="0" w:header="0"/>
          <w:type w:val="continuous"/>
        </w:sectPr>
      </w:pPr>
    </w:p>
    <w:bookmarkStart w:id="2" w:name="page3"/>
    <w:bookmarkEnd w:id="2"/>
    <w:p>
      <w:pPr>
        <w:spacing w:after="0" w:line="3" w:lineRule="exact"/>
        <w:rPr>
          <w:sz w:val="20"/>
          <w:szCs w:val="20"/>
          <w:color w:val="auto"/>
        </w:rPr>
      </w:pPr>
    </w:p>
    <w:p>
      <w:pPr>
        <w:spacing w:after="0" w:line="271" w:lineRule="auto"/>
        <w:rPr>
          <w:sz w:val="20"/>
          <w:szCs w:val="20"/>
          <w:color w:val="auto"/>
        </w:rPr>
      </w:pPr>
      <w:r>
        <w:rPr>
          <w:rFonts w:ascii="Courier New" w:cs="Courier New" w:eastAsia="Courier New" w:hAnsi="Courier New"/>
          <w:sz w:val="15"/>
          <w:szCs w:val="15"/>
          <w:color w:val="auto"/>
        </w:rPr>
        <w:t>Exhibit No.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6" w:lineRule="exact"/>
        <w:rPr>
          <w:sz w:val="20"/>
          <w:szCs w:val="20"/>
          <w:color w:val="auto"/>
        </w:rPr>
      </w:pPr>
    </w:p>
    <w:p>
      <w:pPr>
        <w:sectPr>
          <w:pgSz w:w="11900" w:h="16838" w:orient="portrait"/>
          <w:cols w:equalWidth="0" w:num="2">
            <w:col w:w="1240" w:space="560"/>
            <w:col w:w="8419"/>
          </w:cols>
          <w:pgMar w:left="240" w:top="665" w:right="1440" w:bottom="1440" w:gutter="0" w:footer="0" w:header="0"/>
        </w:sectPr>
      </w:pPr>
    </w:p>
    <w:p>
      <w:pPr>
        <w:ind w:left="28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Press Release of NN, Inc. dated July 29, 2004.</w:t>
      </w:r>
    </w:p>
    <w:p>
      <w:pPr>
        <w:sectPr>
          <w:pgSz w:w="11900" w:h="16838" w:orient="portrait"/>
          <w:cols w:equalWidth="0" w:num="2">
            <w:col w:w="1080" w:space="720"/>
            <w:col w:w="8419"/>
          </w:cols>
          <w:pgMar w:left="240" w:top="665" w:right="1440" w:bottom="1440" w:gutter="0" w:footer="0" w:header="0"/>
          <w:type w:val="continuous"/>
        </w:sectPr>
      </w:pPr>
    </w:p>
    <w:bookmarkStart w:id="3" w:name="page4"/>
    <w:bookmarkEnd w:id="3"/>
    <w:p>
      <w:pPr>
        <w:ind w:left="6480"/>
        <w:spacing w:after="0"/>
        <w:rPr>
          <w:sz w:val="20"/>
          <w:szCs w:val="20"/>
          <w:color w:val="auto"/>
        </w:rPr>
      </w:pPr>
      <w:r>
        <w:rPr>
          <w:rFonts w:ascii="Courier New" w:cs="Courier New" w:eastAsia="Courier New" w:hAnsi="Courier New"/>
          <w:sz w:val="15"/>
          <w:szCs w:val="15"/>
          <w:color w:val="auto"/>
        </w:rPr>
        <w:t>Exhibit 99.1</w:t>
      </w:r>
    </w:p>
    <w:p>
      <w:pPr>
        <w:spacing w:after="0" w:line="380" w:lineRule="exact"/>
        <w:rPr>
          <w:sz w:val="20"/>
          <w:szCs w:val="20"/>
          <w:color w:val="auto"/>
        </w:rPr>
      </w:pPr>
    </w:p>
    <w:p>
      <w:pPr>
        <w:ind w:left="7240"/>
        <w:spacing w:after="0"/>
        <w:rPr>
          <w:sz w:val="20"/>
          <w:szCs w:val="20"/>
          <w:color w:val="auto"/>
        </w:rPr>
      </w:pPr>
      <w:r>
        <w:rPr>
          <w:rFonts w:ascii="Courier New" w:cs="Courier New" w:eastAsia="Courier New" w:hAnsi="Courier New"/>
          <w:sz w:val="15"/>
          <w:szCs w:val="15"/>
          <w:color w:val="auto"/>
        </w:rPr>
        <w:t>NEWS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 BOARD</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RE: NN, Inc.</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2000 Waters Edge Drive</w:t>
      </w:r>
    </w:p>
    <w:p>
      <w:pPr>
        <w:spacing w:after="0" w:line="2" w:lineRule="exact"/>
        <w:rPr>
          <w:sz w:val="20"/>
          <w:szCs w:val="20"/>
          <w:color w:val="auto"/>
        </w:rPr>
      </w:pPr>
    </w:p>
    <w:p>
      <w:pPr>
        <w:ind w:left="5440"/>
        <w:spacing w:after="0"/>
        <w:tabs>
          <w:tab w:leader="none" w:pos="7140" w:val="left"/>
        </w:tabs>
        <w:rPr>
          <w:sz w:val="20"/>
          <w:szCs w:val="20"/>
          <w:color w:val="auto"/>
        </w:rPr>
      </w:pPr>
      <w:r>
        <w:rPr>
          <w:rFonts w:ascii="Courier New" w:cs="Courier New" w:eastAsia="Courier New" w:hAnsi="Courier New"/>
          <w:sz w:val="16"/>
          <w:szCs w:val="16"/>
          <w:color w:val="auto"/>
        </w:rPr>
        <w:t>Johnson City, TN</w:t>
      </w:r>
      <w:r>
        <w:rPr>
          <w:sz w:val="20"/>
          <w:szCs w:val="20"/>
          <w:color w:val="auto"/>
        </w:rPr>
        <w:tab/>
      </w:r>
      <w:r>
        <w:rPr>
          <w:rFonts w:ascii="Courier New" w:cs="Courier New" w:eastAsia="Courier New" w:hAnsi="Courier New"/>
          <w:sz w:val="15"/>
          <w:szCs w:val="15"/>
          <w:color w:val="auto"/>
        </w:rPr>
        <w:t>37604</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w:t>
      </w:r>
    </w:p>
    <w:p>
      <w:pPr>
        <w:sectPr>
          <w:pgSz w:w="11900" w:h="16838" w:orient="portrait"/>
          <w:cols w:equalWidth="0" w:num="1">
            <w:col w:w="10219"/>
          </w:cols>
          <w:pgMar w:left="240" w:top="142" w:right="1440" w:bottom="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Kelly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&amp; Manager of Investor Relations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FINANCIAL RELATIONS BOARD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Alison Ziegler</w:t>
      </w:r>
      <w:r>
        <w:rPr>
          <w:sz w:val="20"/>
          <w:szCs w:val="20"/>
          <w:color w:val="auto"/>
        </w:rPr>
        <w:tab/>
      </w:r>
      <w:r>
        <w:rPr>
          <w:rFonts w:ascii="Courier New" w:cs="Courier New" w:eastAsia="Courier New" w:hAnsi="Courier New"/>
          <w:sz w:val="15"/>
          <w:szCs w:val="15"/>
          <w:color w:val="auto"/>
        </w:rPr>
        <w:t>Susan Garland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(General info)</w:t>
      </w:r>
      <w:r>
        <w:rPr>
          <w:sz w:val="20"/>
          <w:szCs w:val="20"/>
          <w:color w:val="auto"/>
        </w:rPr>
        <w:tab/>
      </w:r>
      <w:r>
        <w:rPr>
          <w:rFonts w:ascii="Courier New" w:cs="Courier New" w:eastAsia="Courier New" w:hAnsi="Courier New"/>
          <w:sz w:val="15"/>
          <w:szCs w:val="15"/>
          <w:color w:val="auto"/>
        </w:rPr>
        <w:t>(Analyst info)</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212-445-8432</w:t>
      </w:r>
      <w:r>
        <w:rPr>
          <w:sz w:val="20"/>
          <w:szCs w:val="20"/>
          <w:color w:val="auto"/>
        </w:rPr>
        <w:tab/>
      </w:r>
      <w:r>
        <w:rPr>
          <w:rFonts w:ascii="Courier New" w:cs="Courier New" w:eastAsia="Courier New" w:hAnsi="Courier New"/>
          <w:sz w:val="15"/>
          <w:szCs w:val="15"/>
          <w:color w:val="auto"/>
        </w:rPr>
        <w:t>212-445-8458</w:t>
      </w:r>
    </w:p>
    <w:p>
      <w:pPr>
        <w:spacing w:after="0" w:line="186" w:lineRule="exact"/>
        <w:rPr>
          <w:sz w:val="20"/>
          <w:szCs w:val="20"/>
          <w:color w:val="auto"/>
        </w:rPr>
      </w:pPr>
    </w:p>
    <w:p>
      <w:pPr>
        <w:sectPr>
          <w:pgSz w:w="11900" w:h="16838" w:orient="portrait"/>
          <w:cols w:equalWidth="0" w:num="2">
            <w:col w:w="3960" w:space="720"/>
            <w:col w:w="55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29, 2004</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NN, INC. REPORTS REVENUE GAIN OF 17.3%</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SECOND QUARTER OF 2004</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Johnson City, Tenn., July 29, 2004 - NN, Inc. (Nasdaq: NNBR) today reported its financial results for the second quarter ended June 30, 2004. Results include the operations of NN Netherlands (Veenendaal) a component manufacturing operation in Veenendaal, The Netherlands since its acquisition from the SKF Group (SKF) on May 2, 2003. Additionally, net income includes 100% ownership interest in NN Euroball (Euroball) as a result of the purchase of SKF's 23% minority interest on May 2, 2003.</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Net sales for the second quarter of 2004 were $75.3 million, up 17.3% from $64.2 million for the same period of 2003. Net income for the second quarter of 2004 totaled $2.0 million, or $0.12 per diluted share, compared to $0.7 million, or $0.04 per diluted share, for the second quarter of 2003. Earnings per diluted share in 2003 included $0.12 per diluted share of closing costs associated with the closing of the NN Arte facility in Mexico.</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Net sales for the first half of 2004 were $152.9 million, up 25.5%, compared to $121.8 million for the same period of 2003. Net income for the first half of 2004 totaled $5.2 million, or $0.30 per diluted share, compared to $4.3 million, or $0.27 per diluted share, for the same period of 2003. Earnings per diluted share in 2003 included the aforementioned $0.12 per diluted share of closing costs related to the NN Arte closing.</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David L. Dyckman, Chief Financial Officer, commented, "Revenue growth of $11.1 million, or 17.3% over the second quarter of 2003 was principally attributable to a full quarter contribution from the Veenendaal operation of $6.2 million in revenue, $2.8 million which was due to increased demand and new program initiatives and approximately $2.1 million related to the impact of currency exchange rates.</w:t>
      </w:r>
    </w:p>
    <w:p>
      <w:pPr>
        <w:spacing w:after="0" w:line="187"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"Our earnings were favorably impacted by the accretion of the Veenendaal acquisition, our purchase of SKF Group's remaining 23% ownership in Euroball and volume and cost improvements in our second quarter and year-to-date 2004.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Offsetting these contributions were inventory reductions, material price inflation, Sarbanes-Oxley Section 404 ("SOX 404") compliance costs and start-up costs associated with Slovakia and China.</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"As a percentage of net sales, cost of products sold was 78.3% in the second quarter of 2004 versus 77.5% in the second quarter of 2003. The year-over-year negative change primarily resulted from the inclusion of the results of our recently acquired Veenendaal facility, inventory reductions and material price inflation. These were partially offset by volume improvement leverage and cost reduction initiatives.</w:t>
      </w:r>
    </w:p>
    <w:p>
      <w:pPr>
        <w:spacing w:after="0" w:line="18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"Selling, general and administrative expenses for the second quarter of 2004 increased $2.3 million to 10.7% as a percentage of net sales compared to 9.0% for the same period in 2003. The increase was due to SOX 404 compliance costs, the addition of Veenendaal and start-up costs in Slovakia and China. It is important to note that while the Company continues to be positioned to comply with the internal control regulations of SOX 404, interpretations of the regulations continue to evolve. As announced on July 9, 2004, we increased the cost estimates of compliance to be approximately $2.0 million ($1.3 million after-tax) or $0.07 per diluted share."</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Mr. Dyckman concluded, "We plan to continue to reduce inventory levels in the second half of the year as part of our Level 3 initiative. Although, these reductions negatively impact margins in the short-term, reducing inventories in our operations to more efficient levels will contribute to the improved utilization of our assets and enhance our return on invested capital. Correspondingly, total debt minus cash was $73.7 million as of June 30, 2004 versus $79.5 million as of December 31, 2003 or a reduction of $5.8 million. We</w:t>
      </w:r>
    </w:p>
    <w:p>
      <w:pPr>
        <w:sectPr>
          <w:pgSz w:w="11900" w:h="16838" w:orient="portrait"/>
          <w:cols w:equalWidth="0" w:num="1">
            <w:col w:w="10219"/>
          </w:cols>
          <w:pgMar w:left="240" w:top="142" w:right="1440" w:bottom="0" w:gutter="0" w:footer="0" w:header="0"/>
          <w:type w:val="continuous"/>
        </w:sectPr>
      </w:pPr>
    </w:p>
    <w:bookmarkStart w:id="4" w:name="page5"/>
    <w:bookmarkEnd w:id="4"/>
    <w:p>
      <w:pPr>
        <w:jc w:val="both"/>
        <w:ind w:right="2599"/>
        <w:spacing w:after="0" w:line="239" w:lineRule="auto"/>
        <w:rPr>
          <w:sz w:val="20"/>
          <w:szCs w:val="20"/>
          <w:color w:val="auto"/>
        </w:rPr>
      </w:pPr>
      <w:r>
        <w:rPr>
          <w:rFonts w:ascii="Courier New" w:cs="Courier New" w:eastAsia="Courier New" w:hAnsi="Courier New"/>
          <w:sz w:val="16"/>
          <w:szCs w:val="16"/>
          <w:color w:val="auto"/>
        </w:rPr>
        <w:t>anticipate that the resulting cash flow will enable us to reduce total debt by $13 million to $14 million for the year."</w:t>
      </w:r>
    </w:p>
    <w:p>
      <w:pPr>
        <w:spacing w:after="0" w:line="189"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Roderick R. Baty, Chairman and Chief Executive Officer, stated, "In planning for 2004, we anticipated that several factors would negatively impact our earnings for the year. On July 9, 2004, we announced that certain of these costs, although anticipated, had increased more than expected in the second quarter. We therefore reduced our previously stated guidance of $0.76 to $0.78 per diluted share to $0.60 to $0.63 per diluted share for the full year of 2004. We anticipate that approximately 80% of the increased costs we have experienced in 2004 will not reoccur in 2005. Two notable exceptions are the potential continuing steel inflation and SOX 404 compliance costs. We believe the compliance costs associated with SOX 404, while lower than 2004, will again be a major cost factor in the upcoming year. With respect to raw materials, the current environment from both a supply and price perspective continues to be volatile and difficult to forecast. The most recent information indicates that prices will continue to rise for both scrap and finished steel through the foreseeable future."</w:t>
      </w:r>
    </w:p>
    <w:p>
      <w:pPr>
        <w:spacing w:after="0" w:line="193"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Mr. Baty concluded, "In total, our operations are performing as expected. Looking forward to the second half of the year, we are continuing to see good demand from our customers and with the exception of anticipated downturns in North American light vehicle demand and production, we expect the strength of</w:t>
      </w:r>
    </w:p>
    <w:p>
      <w:pPr>
        <w:sectPr>
          <w:pgSz w:w="11900" w:h="16838" w:orient="portrait"/>
          <w:cols w:equalWidth="0" w:num="1">
            <w:col w:w="10219"/>
          </w:cols>
          <w:pgMar w:left="240" w:top="142" w:right="1440" w:bottom="1440" w:gutter="0" w:footer="0" w:header="0"/>
        </w:sectPr>
      </w:pPr>
    </w:p>
    <w:bookmarkStart w:id="5" w:name="page6"/>
    <w:bookmarkEnd w:id="5"/>
    <w:p>
      <w:pPr>
        <w:jc w:val="both"/>
        <w:ind w:right="2599"/>
        <w:spacing w:after="0" w:line="242" w:lineRule="auto"/>
        <w:rPr>
          <w:sz w:val="20"/>
          <w:szCs w:val="20"/>
          <w:color w:val="auto"/>
        </w:rPr>
      </w:pPr>
      <w:r>
        <w:rPr>
          <w:rFonts w:ascii="Courier New" w:cs="Courier New" w:eastAsia="Courier New" w:hAnsi="Courier New"/>
          <w:sz w:val="16"/>
          <w:szCs w:val="16"/>
          <w:color w:val="auto"/>
        </w:rPr>
        <w:t>this demand to continue in the second half of the year. Additionally, we made excellent progress during the quarter on the Slovakian and Chinese facility start-ups, as well as our company wide Level 3 program. We have begun limited production in Slovakia in the second quarter of this year and anticipate reaching our forecasted levels of production in the fourth quarter of 2004. With respect to China, we remain on schedule to begin production in mid 2005. We have made excellent progress in our Level 3 program with achievements in training and improvement initiatives in both our North American and European facilities. We believe the program will deliver exciting opportunities in earnings, cash flow and quality improvements."</w:t>
      </w:r>
    </w:p>
    <w:p>
      <w:pPr>
        <w:spacing w:after="0" w:line="373" w:lineRule="exact"/>
        <w:rPr>
          <w:sz w:val="20"/>
          <w:szCs w:val="20"/>
          <w:color w:val="auto"/>
        </w:rPr>
      </w:pPr>
    </w:p>
    <w:p>
      <w:pPr>
        <w:jc w:val="both"/>
        <w:ind w:right="2599"/>
        <w:spacing w:after="0" w:line="263" w:lineRule="auto"/>
        <w:rPr>
          <w:sz w:val="20"/>
          <w:szCs w:val="20"/>
          <w:color w:val="auto"/>
        </w:rPr>
      </w:pPr>
      <w:r>
        <w:rPr>
          <w:rFonts w:ascii="Courier New" w:cs="Courier New" w:eastAsia="Courier New" w:hAnsi="Courier New"/>
          <w:sz w:val="15"/>
          <w:szCs w:val="15"/>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$253 million in 2003.</w:t>
      </w:r>
    </w:p>
    <w:p>
      <w:pPr>
        <w:spacing w:after="0" w:line="172"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The comments by Mr. Baty regarding production schedules, forecasted demand and revenues, earnings, and costs and by Mr. Dyckman regarding certain estimated cost, debt reduction and earnings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inventory levels, regulatory compliance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spacing w:after="0" w:line="19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(Financial Tables Follow)</w:t>
      </w:r>
    </w:p>
    <w:p>
      <w:pPr>
        <w:sectPr>
          <w:pgSz w:w="11900" w:h="16838" w:orient="portrait"/>
          <w:cols w:equalWidth="0" w:num="1">
            <w:col w:w="10219"/>
          </w:cols>
          <w:pgMar w:left="240" w:top="66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NN, Inc.</w:t>
            </w: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6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Condensed Statements</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of Income</w:t>
            </w:r>
          </w:p>
        </w:tc>
        <w:tc>
          <w:tcPr>
            <w:tcW w:w="15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6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 Thousands, except per</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share amounts)</w:t>
            </w:r>
          </w:p>
        </w:tc>
        <w:tc>
          <w:tcPr>
            <w:tcW w:w="15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550"/>
        </w:trPr>
        <w:tc>
          <w:tcPr>
            <w:tcW w:w="4520" w:type="dxa"/>
            <w:vAlign w:val="bottom"/>
          </w:tcPr>
          <w:p>
            <w:pPr>
              <w:spacing w:after="0"/>
              <w:rPr>
                <w:sz w:val="24"/>
                <w:szCs w:val="24"/>
                <w:color w:val="auto"/>
              </w:rPr>
            </w:pPr>
          </w:p>
        </w:tc>
        <w:tc>
          <w:tcPr>
            <w:tcW w:w="364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Three Months Ended</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Six</w:t>
            </w:r>
          </w:p>
        </w:tc>
        <w:tc>
          <w:tcPr>
            <w:tcW w:w="1800" w:type="dxa"/>
            <w:vAlign w:val="bottom"/>
          </w:tcPr>
          <w:p>
            <w:pPr>
              <w:spacing w:after="0"/>
              <w:rPr>
                <w:sz w:val="20"/>
                <w:szCs w:val="20"/>
                <w:color w:val="auto"/>
              </w:rPr>
            </w:pPr>
            <w:r>
              <w:rPr>
                <w:rFonts w:ascii="Courier New" w:cs="Courier New" w:eastAsia="Courier New" w:hAnsi="Courier New"/>
                <w:sz w:val="16"/>
                <w:szCs w:val="16"/>
                <w:color w:val="auto"/>
              </w:rPr>
              <w:t>Months Ended</w:t>
            </w:r>
          </w:p>
        </w:tc>
      </w:tr>
      <w:tr>
        <w:trPr>
          <w:trHeight w:val="183"/>
        </w:trPr>
        <w:tc>
          <w:tcPr>
            <w:tcW w:w="4520" w:type="dxa"/>
            <w:vAlign w:val="bottom"/>
          </w:tcPr>
          <w:p>
            <w:pPr>
              <w:spacing w:after="0"/>
              <w:rPr>
                <w:sz w:val="15"/>
                <w:szCs w:val="15"/>
                <w:color w:val="auto"/>
              </w:rPr>
            </w:pPr>
          </w:p>
        </w:tc>
        <w:tc>
          <w:tcPr>
            <w:tcW w:w="3640" w:type="dxa"/>
            <w:vAlign w:val="bottom"/>
            <w:gridSpan w:val="2"/>
          </w:tcPr>
          <w:p>
            <w:pPr>
              <w:jc w:val="right"/>
              <w:ind w:right="1401"/>
              <w:spacing w:after="0"/>
              <w:rPr>
                <w:sz w:val="20"/>
                <w:szCs w:val="20"/>
                <w:color w:val="auto"/>
              </w:rPr>
            </w:pPr>
            <w:r>
              <w:rPr>
                <w:rFonts w:ascii="Courier New" w:cs="Courier New" w:eastAsia="Courier New" w:hAnsi="Courier New"/>
                <w:sz w:val="16"/>
                <w:szCs w:val="16"/>
                <w:color w:val="auto"/>
              </w:rPr>
              <w:t>June 30,</w:t>
            </w:r>
          </w:p>
        </w:tc>
        <w:tc>
          <w:tcPr>
            <w:tcW w:w="156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4520" w:type="dxa"/>
            <w:vAlign w:val="bottom"/>
          </w:tcPr>
          <w:p>
            <w:pPr>
              <w:spacing w:after="0"/>
              <w:rPr>
                <w:sz w:val="15"/>
                <w:szCs w:val="15"/>
                <w:color w:val="auto"/>
              </w:rPr>
            </w:pPr>
          </w:p>
        </w:tc>
        <w:tc>
          <w:tcPr>
            <w:tcW w:w="15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206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2003</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2004</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$ 75,265</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$ 64,194</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$ 152,897</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$ 121,803</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Cost of products sold (exclusive of</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58,937</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49,721</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119,326</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92,464</w:t>
            </w:r>
          </w:p>
        </w:tc>
      </w:tr>
      <w:tr>
        <w:trPr>
          <w:trHeight w:val="183"/>
        </w:trPr>
        <w:tc>
          <w:tcPr>
            <w:tcW w:w="4520" w:type="dxa"/>
            <w:vAlign w:val="bottom"/>
          </w:tcPr>
          <w:p>
            <w:pPr>
              <w:ind w:left="180"/>
              <w:spacing w:after="0"/>
              <w:rPr>
                <w:sz w:val="20"/>
                <w:szCs w:val="20"/>
                <w:color w:val="auto"/>
              </w:rPr>
            </w:pPr>
            <w:r>
              <w:rPr>
                <w:rFonts w:ascii="Courier New" w:cs="Courier New" w:eastAsia="Courier New" w:hAnsi="Courier New"/>
                <w:sz w:val="16"/>
                <w:szCs w:val="16"/>
                <w:color w:val="auto"/>
              </w:rPr>
              <w:t>depreciation shown separately below)</w:t>
            </w:r>
          </w:p>
        </w:tc>
        <w:tc>
          <w:tcPr>
            <w:tcW w:w="1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8,041</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5,771</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15,184</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10,403</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4,024</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3,482</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8,024</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6,560</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Restructuring costs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2,723</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2,723</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4,263</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2,497</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10,363</w:t>
            </w:r>
          </w:p>
        </w:tc>
        <w:tc>
          <w:tcPr>
            <w:tcW w:w="1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9,653</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877</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759</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1,718</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1,343</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389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310</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3,361</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1,349</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8,676</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8,000</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1,375</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512</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3,472</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2,985</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140</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675</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$ 1,986</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697</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$ 5,204</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$ 4,340</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Diluted income per common share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$ 0.12</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$ 0.04</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$ 0.30</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$ 0.27</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Weighted average diluted shares</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17,177</w:t>
            </w:r>
          </w:p>
        </w:tc>
        <w:tc>
          <w:tcPr>
            <w:tcW w:w="2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16,465</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17,176</w:t>
            </w:r>
          </w:p>
        </w:tc>
        <w:tc>
          <w:tcPr>
            <w:tcW w:w="1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15,892</w:t>
            </w:r>
          </w:p>
        </w:tc>
      </w:tr>
      <w:tr>
        <w:trPr>
          <w:trHeight w:val="183"/>
        </w:trPr>
        <w:tc>
          <w:tcPr>
            <w:tcW w:w="45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665" w:right="139" w:bottom="1440" w:gutter="0" w:footer="0" w:header="0"/>
        </w:sectPr>
      </w:pPr>
    </w:p>
    <w:bookmarkStart w:id="7" w:name="page8"/>
    <w:bookmarkEnd w:id="7"/>
    <w:p>
      <w:pPr>
        <w:ind w:left="4000"/>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Condensed Balance Sheets</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ind w:left="3900"/>
              <w:spacing w:after="0"/>
              <w:rPr>
                <w:sz w:val="20"/>
                <w:szCs w:val="20"/>
                <w:color w:val="auto"/>
              </w:rPr>
            </w:pPr>
            <w:r>
              <w:rPr>
                <w:rFonts w:ascii="Courier New" w:cs="Courier New" w:eastAsia="Courier New" w:hAnsi="Courier New"/>
                <w:sz w:val="16"/>
                <w:szCs w:val="16"/>
                <w:color w:val="auto"/>
              </w:rPr>
              <w:t>(Unaudited)</w:t>
            </w:r>
          </w:p>
        </w:tc>
        <w:tc>
          <w:tcPr>
            <w:tcW w:w="30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50"/>
        </w:trPr>
        <w:tc>
          <w:tcPr>
            <w:tcW w:w="5960" w:type="dxa"/>
            <w:vAlign w:val="bottom"/>
          </w:tcPr>
          <w:p>
            <w:pPr>
              <w:spacing w:after="0"/>
              <w:rPr>
                <w:sz w:val="24"/>
                <w:szCs w:val="24"/>
                <w:color w:val="auto"/>
              </w:rPr>
            </w:pPr>
          </w:p>
        </w:tc>
        <w:tc>
          <w:tcPr>
            <w:tcW w:w="306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June 30,</w:t>
            </w:r>
          </w:p>
        </w:tc>
        <w:tc>
          <w:tcPr>
            <w:tcW w:w="2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61"/>
              <w:spacing w:after="0"/>
              <w:rPr>
                <w:sz w:val="20"/>
                <w:szCs w:val="20"/>
                <w:color w:val="auto"/>
              </w:rPr>
            </w:pPr>
            <w:r>
              <w:rPr>
                <w:rFonts w:ascii="Courier New" w:cs="Courier New" w:eastAsia="Courier New" w:hAnsi="Courier New"/>
                <w:sz w:val="16"/>
                <w:szCs w:val="16"/>
                <w:color w:val="auto"/>
                <w:w w:val="98"/>
              </w:rPr>
              <w:t>2004</w:t>
            </w:r>
          </w:p>
        </w:tc>
        <w:tc>
          <w:tcPr>
            <w:tcW w:w="2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2003</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0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$ 6,644</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4,978</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47,809</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40,864</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31,866</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36,278</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5,916</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6,299</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92,235</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88,419</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124,601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128,996</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Assets held for sale</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1,805</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42,132</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42,893</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4,892</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4,304</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Total assets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$ 263,860</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$ 266,417</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0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$34,906</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$32,867</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Accrued salaries and wages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12,288</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12,032</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Short-term note</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6,389</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12,725</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3,914</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3,070</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57,497</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62,694</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13,193</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13,423</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Long-term notes payable</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73,971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69,752</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13,125</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14,080</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157,786</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159,949</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106,074</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106,468</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$ 263,860</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$ 266,417</w:t>
            </w:r>
          </w:p>
        </w:tc>
      </w:tr>
      <w:tr>
        <w:trPr>
          <w:trHeight w:val="183"/>
        </w:trPr>
        <w:tc>
          <w:tcPr>
            <w:tcW w:w="5960" w:type="dxa"/>
            <w:vAlign w:val="bottom"/>
          </w:tcPr>
          <w:p>
            <w:pPr>
              <w:spacing w:after="0"/>
              <w:rPr>
                <w:sz w:val="15"/>
                <w:szCs w:val="15"/>
                <w:color w:val="auto"/>
              </w:rPr>
            </w:pPr>
          </w:p>
        </w:tc>
        <w:tc>
          <w:tcPr>
            <w:tcW w:w="306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9"/>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1060"/>
      </w:cols>
      <w:pgMar w:left="240" w:top="66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2019-12-14T03:14:38Z</dcterms:created>
  <dcterms:modified xsi:type="dcterms:W3CDTF">2019-12-14T03:14:38Z</dcterms:modified>
</cp:coreProperties>
</file>