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4"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90170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269"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25, 2025, there were 50,298,512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20"/>
        </w:trPr>
        <w:tc>
          <w:tcPr>
            <w:tcW w:w="10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gridSpan w:val="2"/>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12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27"/>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4940" w:type="dxa"/>
            <w:vAlign w:val="bottom"/>
            <w:gridSpan w:val="4"/>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940" w:type="dxa"/>
            <w:vAlign w:val="bottom"/>
            <w:gridSpan w:val="4"/>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2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2"/>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304"/>
        </w:trPr>
        <w:tc>
          <w:tcPr>
            <w:tcW w:w="1020" w:type="dxa"/>
            <w:vAlign w:val="bottom"/>
          </w:tcPr>
          <w:p>
            <w:pPr>
              <w:spacing w:after="0"/>
              <w:rPr>
                <w:sz w:val="24"/>
                <w:szCs w:val="24"/>
                <w:color w:val="auto"/>
              </w:rPr>
            </w:pPr>
          </w:p>
        </w:tc>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5240" w:type="dxa"/>
            <w:vAlign w:val="bottom"/>
            <w:gridSpan w:val="7"/>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21"/>
                <w:szCs w:val="21"/>
                <w:color w:val="auto"/>
              </w:rPr>
            </w:pPr>
          </w:p>
        </w:tc>
        <w:tc>
          <w:tcPr>
            <w:tcW w:w="5120" w:type="dxa"/>
            <w:vAlign w:val="bottom"/>
            <w:gridSpan w:val="5"/>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412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468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6"/>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50"/>
        </w:trPr>
        <w:tc>
          <w:tcPr>
            <w:tcW w:w="1020" w:type="dxa"/>
            <w:vAlign w:val="bottom"/>
          </w:tcPr>
          <w:p>
            <w:pPr>
              <w:spacing w:after="0"/>
              <w:rPr>
                <w:sz w:val="21"/>
                <w:szCs w:val="21"/>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469"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4"/>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244,190</w:t>
            </w:r>
          </w:p>
        </w:tc>
      </w:tr>
      <w:tr>
        <w:trPr>
          <w:trHeight w:val="175"/>
        </w:trPr>
        <w:tc>
          <w:tcPr>
            <w:tcW w:w="5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below)</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202,343</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155"/>
        </w:trPr>
        <w:tc>
          <w:tcPr>
            <w:tcW w:w="5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 income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joint venture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175"/>
        </w:trPr>
        <w:tc>
          <w:tcPr>
            <w:tcW w:w="56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Reclassification adjustments from the interest rate swap included in net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net of tax</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48,281</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$1,600 and $1,515 at June 30, 2025 and December 31, 2024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167,562</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$255,950 and $240,532 at June 30, 2025 and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50,287 and 49,908 shares issued and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gain, net of cash settlements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operating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backed credit facilities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asset backed credit facilities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term loans and other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term loans and other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8260" w:type="dxa"/>
            <w:vAlign w:val="bottom"/>
            <w:tcBorders>
              <w:bottom w:val="single" w:sz="8" w:color="CCEEFF"/>
            </w:tcBorders>
          </w:tcPr>
          <w:p>
            <w:pPr>
              <w:jc w:val="right"/>
              <w:ind w:right="72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jc w:val="right"/>
              <w:ind w:right="4675"/>
              <w:spacing w:after="0"/>
              <w:rPr>
                <w:sz w:val="20"/>
                <w:szCs w:val="20"/>
                <w:color w:val="auto"/>
              </w:rPr>
            </w:pPr>
            <w:r>
              <w:rPr>
                <w:rFonts w:ascii="Times New Roman" w:cs="Times New Roman" w:eastAsia="Times New Roman" w:hAnsi="Times New Roman"/>
                <w:sz w:val="18"/>
                <w:szCs w:val="18"/>
                <w:b w:val="1"/>
                <w:bCs w:val="1"/>
                <w:color w:val="auto"/>
                <w:w w:val="99"/>
              </w:rPr>
              <w:t>Supplemental schedule of non-cash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60" w:type="dxa"/>
            <w:vAlign w:val="bottom"/>
          </w:tcPr>
          <w:p>
            <w:pPr>
              <w:jc w:val="right"/>
              <w:ind w:right="4035"/>
              <w:spacing w:after="0"/>
              <w:rPr>
                <w:sz w:val="20"/>
                <w:szCs w:val="20"/>
                <w:color w:val="auto"/>
              </w:rPr>
            </w:pPr>
            <w:r>
              <w:rPr>
                <w:rFonts w:ascii="Times New Roman" w:cs="Times New Roman" w:eastAsia="Times New Roman" w:hAnsi="Times New Roman"/>
                <w:sz w:val="18"/>
                <w:szCs w:val="18"/>
                <w:color w:val="auto"/>
              </w:rPr>
              <w:t>Non-cash additions to property, plant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29"/>
        </w:trPr>
        <w:tc>
          <w:tcPr>
            <w:tcW w:w="8260" w:type="dxa"/>
            <w:vAlign w:val="bottom"/>
            <w:shd w:val="clear" w:color="auto" w:fill="CCEEFF"/>
          </w:tcPr>
          <w:p>
            <w:pPr>
              <w:jc w:val="right"/>
              <w:ind w:right="4675"/>
              <w:spacing w:after="0"/>
              <w:rPr>
                <w:sz w:val="20"/>
                <w:szCs w:val="20"/>
                <w:color w:val="auto"/>
              </w:rPr>
            </w:pPr>
            <w:r>
              <w:rPr>
                <w:rFonts w:ascii="Times New Roman" w:cs="Times New Roman" w:eastAsia="Times New Roman" w:hAnsi="Times New Roman"/>
                <w:sz w:val="18"/>
                <w:szCs w:val="18"/>
                <w:color w:val="auto"/>
              </w:rPr>
              <w:t>Non-cash additions to financing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ectPr>
          <w:pgSz w:w="11900" w:h="16838" w:orient="portrait"/>
          <w:cols w:equalWidth="0" w:num="1">
            <w:col w:w="11240"/>
          </w:cols>
          <w:pgMar w:left="320" w:top="477" w:right="339" w:bottom="389"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38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forfeited under stock 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4720" w:type="dxa"/>
            <w:vAlign w:val="bottom"/>
          </w:tcPr>
          <w:p>
            <w:pPr>
              <w:spacing w:after="0"/>
              <w:rPr>
                <w:sz w:val="24"/>
                <w:szCs w:val="24"/>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175"/>
        </w:trPr>
        <w:tc>
          <w:tcPr>
            <w:tcW w:w="4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176"/>
        </w:trPr>
        <w:tc>
          <w:tcPr>
            <w:tcW w:w="4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June 30, 2025, we had 24 facilities in North America, South America, Europe and China.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2024, was derived from the audited consolidated financial statements included in our Annual Report on Form 10-K for the year ended December 31, 2024 (the “2024 Annual Report”), which we filed with the U.S. Securities and Exchange Commission (the “SEC”) on March 6, 2025. In management’s opinion, the accompanying unaudited condensed consolidated financial statements reflect all adjustments necessary to fairly state our results of operations for the three and six months ended June 30, 2025 and 2024; financial position as of June 30, 2025 and December 31, 2024; and cash flows for the six months ended June 30, 2025 and 2024, on a basis consistent with our audited consolidated financial statements. These adjustments are of a normal recurring nature and are, in the opinion of management, necessary to state fairly our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2024 Annual Report. The results for the three and six months ended June 30, 2025, are not necessarily indicative of results for the year ending December 31, 2025, or any other future periods.</w:t>
      </w:r>
    </w:p>
    <w:p>
      <w:pPr>
        <w:spacing w:after="0" w:line="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additional disclosures related to reportable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other segment items. ASU 2023-07 also requires quarterly disclosure of certain information that had only been required annually. We adopted ASU 2023-07 for the year ended December 31, 2024 and have presented the required interim disclosures on a retrospective basis in this June 30, 2025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which requires additional annual income tax disclosures. These include a tabular rate reconciliation comprised of eight specific categories, the disaggregation of income taxes paid between federal, state, and foreign jurisdictions, and to disaggregate income from continuing operations before income tax expense and income tax expense from continuing operations between domestic and foreign. ASU 2023-09 eliminates the disclosure of the nature and estimate of reasonably possible changes to unrecognized tax benefits in the next 12 months or that an estimated range cannot be made. ASU 2023-09 is effective for fiscal years beginning on or after December 15, 2024, with early adoption permitted, and can be applied on a prospective or retrospective basis. We plan to adopt ASU 2023-09 in our Form 10-K for the year ended December 31, 2025 and are in the process of assessing the impact on our disclosures.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(“ASU 2024-03”), which requires disaggregated disclosures of certain categories of expenses that are included in income statement line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fiscal years beginning on or after December 15, 2026, and interim periods within fiscal years beginning after December 15, 2027. Companies may early adopt and can apply the guidance prospectively or retrospectively. The Company has not yet determined the potential impact of adopting this standard.</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ceased production activity at our Mobile Solutions plant in Dowagiac, Michigan. The land and building, which we own, have been classified as held for sale as of June 30, 2025 as we are actively marketing the property for sale. The net book value of $1.4 million is included in “Other current assets” on the Condensed Consolidated Balance Sheets as of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general industrial, and medical end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These components are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income (loss) from operations to evaluate the performance of our segments each quarter and for annual forecasting purposes. Income (loss) from operations is used to make key operating decisions, such as the amount and timing of capital expenditures, plant optimization actions, and allocation of management resources. In addition to our two reportable segments, we report a Corporate category, which includes corporate costs and unallocated expenses.</w:t>
      </w:r>
    </w:p>
    <w:p>
      <w:pPr>
        <w:spacing w:after="0" w:line="79"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color w:val="auto"/>
        </w:rPr>
        <w:t>The following tables reconcile segment revenues to consolidated loss before benefit (provision) for income taxes and share of net income from joint venture.</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18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line="20" w:lineRule="exact"/>
              <w:rPr>
                <w:sz w:val="1"/>
                <w:szCs w:val="1"/>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4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18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2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89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line="20" w:lineRule="exact"/>
              <w:rPr>
                <w:sz w:val="1"/>
                <w:szCs w:val="1"/>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1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560" w:hanging="39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amortization expense and other operating expenses and income.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0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56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17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7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56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1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7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8,918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900" w:type="dxa"/>
            <w:vAlign w:val="bottom"/>
          </w:tcPr>
          <w:p>
            <w:pPr>
              <w:spacing w:after="0"/>
              <w:rPr>
                <w:sz w:val="24"/>
                <w:szCs w:val="24"/>
                <w:color w:val="auto"/>
              </w:rPr>
            </w:pPr>
          </w:p>
        </w:tc>
        <w:tc>
          <w:tcPr>
            <w:tcW w:w="256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assets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00" w:right="160" w:hanging="330"/>
        <w:spacing w:after="0" w:line="282" w:lineRule="auto"/>
        <w:tabs>
          <w:tab w:leader="none" w:pos="6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$40.3 million and $35.0 million as of June 30, 2025 and December 31, 2024, respectively, related to our investment in a joint venture (see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and commercial vehicle industry include high-precision components and assemblies for electric power steering systems, electric braking, electric motors, fuel systems, emissions control, transmissions, stampings, sensors, and electrical contacts. Our products in the general industrial industry include high-precision metal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Commercial Vehicle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Commercial Vehicle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Commercial Vehicle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Commercial Vehicle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 customer in our Mobile Solutions segment represented 13% of consolidated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$0.5 million and $0.2 million as of June 30, 2025 and December 31, 2024, respectively. Revenue recognized for performance obligations satisfied or partially satisfied during the six months ended June 30, 2025 included $0.1 million that was included in deferred revenue as of December 31, 2024. The balance of deferred revenue was $0.2 million and $0.4 million as of June 30, 2024 and December 31, 2023, respectively. Revenue recognized for performance obligations satisfied or partially satisfied during the six months ended June 30, 2024 included $0.4 million that was included in deferred revenue as of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June 30, 2025, unless our contracts meet one of the practical expedients. Our contracts met the practical expedient for a performance obligation that is part of a contract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p>
      <w:pPr>
        <w:spacing w:after="0" w:line="6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balance of trade accounts receivable was $68.8 million and $65.5 million as of June 30, 2024 and December 31, 2023, respectively. The following table presents changes in the allowance for credit losses.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six months ended June 30, 2025 and 2024, we incurred fees of $0.3 million and $0.6 million, respectively, related to the sale of receivables, which is recorded in the “Other expense (income), net” line item on the Condensed Consolidated Statements of Operations and Comprehensive Income (Loss).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one customer represented 12% of consolidated accounts receivable. Amounts due from this customer are primarily related to Mobile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19,074</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61,877</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0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360" w:type="dxa"/>
            <w:vAlign w:val="bottom"/>
          </w:tcPr>
          <w:p>
            <w:pPr>
              <w:spacing w:after="0"/>
              <w:rPr>
                <w:sz w:val="13"/>
                <w:szCs w:val="13"/>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(6,811)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37,599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six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amounts outstanding on our debt facilities.</w:t>
            </w: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640" w:hanging="330"/>
        <w:spacing w:after="0" w:line="282" w:lineRule="auto"/>
        <w:tabs>
          <w:tab w:leader="none" w:pos="5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$1.0 million and $1.2 million related to the ABL Facility were recorded in other non-current assets as of June 30, 2025 and December 31, 2024, respectively.</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$0.4 million and $0.7 million in the six months ended June 30, 2025 and 2024,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April 16, 2025 (the “Closing Date”), we entered into a Term Loan Credit Agreement by and among the Company, the lenders from time to time party thereto (collectively, the “Lenders”) and Alter Domus (US) LLC, as administrative agent (the “Term Loan Agent”) for the Lenders (the “Term Loan Credit Agreement”). The Term Loan Credit Agreement establishes a new $128.0 million senior secured Term Loan Facility (the “Term Loan Facility”) consisting of (i) a $118.0 million of term loan funded in full on the Closing Date (the “Closing Date Term Loans”) and (ii) $10.0 million of delayed draw term loan commitments (any delayed draw term loans funded thereunder, the “Delayed Draw Term Loans”, and together, with the Closing Date Term Loans, the “Term Loans”). The Term Loans mature on April 16, 2030. We used the proceeds from the Closing Date Term Loan to repay all of our outstanding obligations under our previously outstanding term loan facility (</w:t>
      </w:r>
      <w:r>
        <w:rPr>
          <w:rFonts w:ascii="Times New Roman" w:cs="Times New Roman" w:eastAsia="Times New Roman" w:hAnsi="Times New Roman"/>
          <w:sz w:val="18"/>
          <w:szCs w:val="18"/>
          <w:i w:val="1"/>
          <w:iCs w:val="1"/>
          <w:color w:val="auto"/>
        </w:rPr>
        <w:t>see ‘2021 Term Loan’ section below</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 Loan Credit Agreement, interest rates on the Term Loans are determined based on the type of Term Loan, the length of the interest period, our Consolidated Net Leverage Ratio (as defined in the Term Loan Credit Agreement) and whether we have borrowed any Delayed Draw Term Loans. The Term Loans currently bear interest at either: 1) one-month, three-month, or six-month term secured overnight finance rate (“SOFR”) with a duration adjustment, subject to a 2.00% floor, plus an applicable margin of 9.25% (“Adjusted Term SOFR Rate Loans”); or 2) the greater of various benchmark rates, with certain adjustments, plus an applicable margin of 8.25% (“Base Rate Loans”). For interest payments due before April 16, 2027, we may elect to pay a portion of interest in-kind (“PIK Election”), subject to a minimum cash interest of 5.25% for Adjusted Term</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SOFR Rate Loans and 4.25% for Base Rate Loans. The applicable margin increases by 0.50% on borrowings to which the PIK Election is made. At June 30, 2025, the Term Loans bore interest, including amounts we have elected to pay as PIK interest, based on one-month Adjusted Term SOFR, at 14.18%.</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Subject to satisfying certain conditions, Delayed Draw Term Loans are available until October 16, 2026. If we borrow Delayed Draw Term Loans, the applicable margin for all Term Loans increases by 0.50%. Through October 16, 2026, we incur a 1.00% commitment fee on undrawn amounts under the Delayed Draw, payable quarterly in arrears.</w:t>
      </w:r>
    </w:p>
    <w:p>
      <w:pPr>
        <w:spacing w:after="0" w:line="6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Subject to certain exceptions, we are required to make principal payments (i) annually that are calculated as a percentage, based on our Consolidated Net Leverage Ratio, of our Excess Cash Flow (as defined in the Term Loan Credit Agreement), (ii) Net Cash Proceeds (as defined in the Term Loan Credit Agreement) of certain non-ordinary course Dispositions (as defined in the Term Loan Credit Agreement) within 10 business days of receipt thereof, and</w:t>
      </w:r>
    </w:p>
    <w:p>
      <w:pPr>
        <w:spacing w:after="0" w:line="1" w:lineRule="exact"/>
        <w:rPr>
          <w:sz w:val="20"/>
          <w:szCs w:val="20"/>
          <w:color w:val="auto"/>
        </w:rPr>
      </w:pPr>
    </w:p>
    <w:p>
      <w:pPr>
        <w:ind w:right="80" w:firstLine="8"/>
        <w:spacing w:after="0" w:line="25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Proceeds from certain insurance events. We may voluntarily prepay the Term Loans, in whole or part without premium or penalty following April 16, 2027. If we voluntarily prepay borrowings prior to April 16, 2026, we are subject to a prepayment premium equal to the present value at the prepayment date of (i) 2.00% of the outstanding principal amount of the Term Loans to be prepaid, plus (ii) all remaining scheduled interest payments due on such Term Loans through April 16, 2026 (excluding accrued but unpaid interest to, but not including, the prepayment date), computed using a discount rate equal to the Treasury Rate (determined as of the Business Day prior to such date of prepayment) plus 50 basis points. If we voluntarily prepay borrowings following April 16, 2026 and prior to April 16, 2027, we are subject to a prepayment premium equal to 2.00% of the principal amount prepaid.</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 Loan Credit Agreement includes customary representations, warranties and covenants, including, but not limited to, certain financial covenants, such as maximum Consolidated Net Leverage Ratio and minimum Domestic Liquidity (as defined in the Term Loan Credit Agreement), subject, in the case of the Consolidated Net Leverage Ratio covenant, to certain equity cure rights. We were in compliance with the financial covenants of the Term Loan Facility as of June 30, 2025.</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obligations under the Term Loan Credit Agreement are guaranteed by certain of our subsidiaries and are required to be guaranteed by certain of our later formed or acquired subsidiaries (collectively, the “Guarantors”). Our obligations under the Term Loan Credit Agreement are collateralized by substantially all of our and the Guarantor’s assets. The Term Loan Agent, for itself and on behalf of the Lenders, has a first lien on all domestic assets, other than accounts receivable and inventory, and certain foreign assets and has a second lien on domestic accounts receivable and inventory.</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$2.5 million discount and we capitalized an additional $0.7 million in debt issuance costs. These costs are recorded as a direct reduction to the carrying amount of the associated long-term debt and amortized over the term of the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“2021 Term Loan Facility”) which required principal payments of $0.4 million with the remaining unpaid principal amount due at the original loan maturity date of September 22, 2026. On April 16, 2025, we repaid all of our outstanding obligations under the 2021 Term Loan Facility with the proceeds from the Closing Date Term Loans. The 2021 Term Loan Facility was collateralized by all of our assets and had a first lien on all domestic assets, other than accounts receivable and inventory and had a second lien on domestic accounts receivable and inventory.</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Outstanding borrowings on the 2021 Term Loan bore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2021 Term Loan Facility. At April 16, 2025, the 2021 Term Loan Facility bore interest, including PIK interest, based on one-month Adjusted Term SOFR, at 12.300%.</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2021 Term Loan Facility was issued at a $3.8 million discount and we capitalized an additional $5.5 million in debt issuance costs which were amortized over the term of the debt. During the six months ended June 30, 2025, we recognized a $3.0 million loss on extinguishment of debt in connection with the termination of the 2021 Term Loan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30, 2024, we entered into a new asset backed credit facility (the “ABL Facility”) which provides for a senior secured revolving credit facility in the amount of $50.0 million, of which $15.0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at either: 1) the one, three or six month SOFR plus 1.50%, plus an adjustment of 0.10% (“Term SOFR Rate”); or 2) the highest of the base commercial lending rate of the lender or various benchmark rates plus an applicable margin of 0.50% or 1.00%, depending on the benchmark (“Alternative Base Rate”). At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June 30, 2025, based on the Alternative Base Rate, the interest rate on outstanding borrowings under the ABL Facility was 8.000%. We incur a commitment fee of 0.25% for unused capacity under the ABL Facility and a 1.85% fee on the amount of letters of credit outstanding. The final maturity date of the ABL Facility is the earlier of: 1) December 30, 2029; or 2) 91 days prior to the loan maturity date of the Term Loan Facility. We capitalized a total of $1.2 million in new debt issuance costs related to the ABL Facility.</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June 30, 2025, we had $5.0 million outstanding borrowings under the ABL Facility, $10.9 million of outstanding letters of credit, and $24.2 million available for future borrowings under the ABL Facility. The ABL Facility is secured by a perfected lien over substantially all of the Company’s assets. We were in compliance with the financial covenants of the ABL Facility as of June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6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March 2024, we sold three of our properties for an aggregate sales price of $16.9 million and concurrent with the sale, we entered into a 20-year lease agreement with the purchaser for these properties. In May 2025, we sold an additional property for a sales price of $4.3 million and concurrent with the sale, entered into a 19-year lease agreement with the purchaser for the property.</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Since these lease agreements allow for us to exercise renewal options that extend for substantially all of the remaining economic life, we have the ability to maintain the risks and rewards of ownership. Because the transactions did not transfer control of the assets, they cannot be accounted for as sales under ASC 606. As a result, the properties remain on our Condensed Consolidated Balance Sheets and the non-land assets will continue to be depreciated over their remaining useful lives. The $21.2 million of total gross proceeds from these transactions were recognized as financing obligations as a component of long-term debt. The monthly lease payments, which increase 3.00% each year, are being amortized as principal payments and interest expense through 2044 based on a weighted average effective interest rate of 9.500%. We incurred $0.9 million in debt issuance costs related to these transactions, which is being amortized over the term of the debt.</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2024, we sold multiple pieces of manufacturing equipment for an aggregate sales price of $4.9 million. Concurrent with the sale, we entered into a 5-year lease agreement with the purchaser that includes a repurchase option for this equipment. In May 2024, we sold additional pieces of manufacturing equipment for an aggregate sales price of $3.4 million and entered into 5-year and 6-year lease agreements with the purchaser for the equipment. In June 2025, we sold additional pieces of manufacturing equipment for an aggregate sales price of $2.3 million and entered into 5-year lease agreements with the purchaser for the equipment. Since these lease agreements allow for us to exercise a purchase option, we have the ability to maintain the risks and rewards of ownership. Since the transactions did not transfer control of the assets, they cannot be accounted for as sales under ASC 606. As a result, the assets remain on our Condensed Consolidated Balance Sheets and will continue to be depreciated over their remaining useful lives. The $10.6 million of total gross proceeds from these transactions were recognized as a financing obligation as a component of long-term debt. The monthly lease payments are being amortized as principal payments and interest expense on a weighted average effective interest rate of 9.170%.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Loans</w:t>
      </w:r>
    </w:p>
    <w:p>
      <w:pPr>
        <w:spacing w:after="0" w:line="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fixed rate debt with various financial institutions in France, Poland and China, with maturity dates between 2026 and 2033. These loans, which were obtained to fund working capital and equipment purchases, had a weighted average interest rate of 2.23% at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Preferred Stock</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and each year thereafter. Cash dividends are required beginning on September 30, 2027 and are limited based on terms and conditions of the Company’s outstanding credit agreements.</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16 discusses the accounting for these features.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June 30, 2025, the carrying value of the Series D Preferred Stock shares was $102.5 million, which included $55.8 million of accumulated unpaid and deemed dividends. The following table presents the change in the Series D Preferred Stock carrying value during the six months ended June 30, 2025.</w:t>
      </w:r>
    </w:p>
    <w:p>
      <w:pPr>
        <w:sectPr>
          <w:pgSz w:w="11900" w:h="16838" w:orient="portrait"/>
          <w:cols w:equalWidth="0" w:num="1">
            <w:col w:w="11240"/>
          </w:cols>
          <w:pgMar w:left="320" w:top="477" w:right="339" w:bottom="1440" w:gutter="0" w:footer="0" w:header="0"/>
        </w:sectPr>
      </w:pP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contains supplemental cash flow information related to leases.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860" w:hanging="1285"/>
        <w:spacing w:after="0"/>
        <w:tabs>
          <w:tab w:leader="none" w:pos="1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93,497</w:t>
      </w:r>
    </w:p>
    <w:p>
      <w:pPr>
        <w:spacing w:after="0" w:line="38"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6,199</w:t>
      </w:r>
    </w:p>
    <w:p>
      <w:pPr>
        <w:spacing w:after="0" w:line="34"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21590</wp:posOffset>
            </wp:positionV>
            <wp:extent cx="11830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 w:lineRule="exact"/>
        <w:rPr>
          <w:sz w:val="20"/>
          <w:szCs w:val="20"/>
          <w:color w:val="auto"/>
        </w:rPr>
      </w:pPr>
    </w:p>
    <w:p>
      <w:pPr>
        <w:ind w:left="1760" w:hanging="1185"/>
        <w:spacing w:after="0"/>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24765</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50165</wp:posOffset>
            </wp:positionV>
            <wp:extent cx="1183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22225</wp:posOffset>
            </wp:positionV>
            <wp:extent cx="1903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8100" w:space="720"/>
            <w:col w:w="2420"/>
          </w:cols>
          <w:pgMar w:left="320" w:top="47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bl>
    <w:p>
      <w:pPr>
        <w:spacing w:after="0" w:line="2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recognized sublease income of $1.9 million and $1.9 million in the six months ended June 30, 2025 and 2024, respectively, which is recognized in the “Other operating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finance lease-related assets and liabilities recorded on the balance sheet.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9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r>
      <w:tr>
        <w:trPr>
          <w:trHeight w:val="270"/>
        </w:trPr>
        <w:tc>
          <w:tcPr>
            <w:tcW w:w="40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effective tax rate was (8.1)% and (12.0)% for the three and six months ended June 30, 2025, respectively, and 4.7% and (1.5)% for the three and six months ended June 30, 2024, respectively. The effective tax rate for the three and six months ended June 30, 2025 differs from the U.S. federal statutory tax rate of 21% primarily due to the accrual of tax on non-permanently reinvested unremitted earnings of foreign subsidiaries and by limitation of the amount of tax benefit recorded for losses in certain jurisdictions where we believe it is more likely than not that a future tax benefit may not be realized.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signed into law, which impacts various provisions of the U.S. federal tax code, including but not limited to 100% bonus depreciation, immediate expensing of domestic research and development costs, modifications to the limitation on business interest expense and changes to the international tax regime. Most provisions are effective for tax years beginning after December 31, 2024, with certain transition rules and exceptions. We are currently assessing the impact OBBBA will have on our consolidated financial statements. The effects of the new law will be reflected in the period of enactment and in future periods as additional guidance is issued and we complete our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175"/>
        </w:trPr>
        <w:tc>
          <w:tcPr>
            <w:tcW w:w="56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 for preferred stock cumulative dividends and deemed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dividends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r>
      <w:tr>
        <w:trPr>
          <w:trHeight w:val="216"/>
        </w:trPr>
        <w:tc>
          <w:tcPr>
            <w:tcW w:w="5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49,214</w:t>
            </w:r>
          </w:p>
        </w:tc>
      </w:tr>
      <w:tr>
        <w:trPr>
          <w:trHeight w:val="23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55"/>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32" w:lineRule="exact"/>
        <w:rPr>
          <w:sz w:val="20"/>
          <w:szCs w:val="20"/>
          <w:color w:val="auto"/>
        </w:rPr>
      </w:pPr>
    </w:p>
    <w:p>
      <w:pPr>
        <w:ind w:left="980" w:right="200" w:hanging="324"/>
        <w:spacing w:after="0" w:line="282" w:lineRule="auto"/>
        <w:tabs>
          <w:tab w:leader="none" w:pos="10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16).</w:t>
      </w:r>
    </w:p>
    <w:p>
      <w:pPr>
        <w:spacing w:after="0" w:line="162"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40" w:type="dxa"/>
            <w:vAlign w:val="bottom"/>
            <w:gridSpan w:val="4"/>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ind w:left="718"/>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2"/>
                <w:szCs w:val="12"/>
                <w:color w:val="auto"/>
              </w:rPr>
            </w:pPr>
          </w:p>
        </w:tc>
      </w:tr>
      <w:tr>
        <w:trPr>
          <w:trHeight w:val="195"/>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2,454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0"/>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Stock options excluded from the calculations of diluted net loss per share have a per share exercise price ranging from $7.93 to $25.16 for the six months ended June 30, 2025. Warrants excluded from the calculation of diluted net loss per share have a per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exercise price of $11.03 (see Note 16). Performance share units are potentially dilutive when the related performance criterion has been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21"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7"/>
        </w:trPr>
        <w:tc>
          <w:tcPr>
            <w:tcW w:w="5660" w:type="dxa"/>
            <w:vAlign w:val="bottom"/>
          </w:tcPr>
          <w:p>
            <w:pPr>
              <w:spacing w:after="0"/>
              <w:rPr>
                <w:sz w:val="12"/>
                <w:szCs w:val="12"/>
                <w:color w:val="auto"/>
              </w:rPr>
            </w:pPr>
          </w:p>
        </w:tc>
        <w:tc>
          <w:tcPr>
            <w:tcW w:w="2300" w:type="dxa"/>
            <w:vAlign w:val="bottom"/>
            <w:gridSpan w:val="4"/>
          </w:tcPr>
          <w:p>
            <w:pPr>
              <w:jc w:val="right"/>
              <w:ind w:right="216"/>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2"/>
                <w:szCs w:val="12"/>
                <w:color w:val="auto"/>
              </w:rPr>
            </w:pPr>
          </w:p>
        </w:tc>
      </w:tr>
      <w:tr>
        <w:trPr>
          <w:trHeight w:val="196"/>
        </w:trPr>
        <w:tc>
          <w:tcPr>
            <w:tcW w:w="56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June 30, 2025, and activity during the six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6"/>
        </w:trPr>
        <w:tc>
          <w:tcPr>
            <w:tcW w:w="7820" w:type="dxa"/>
            <w:vAlign w:val="bottom"/>
          </w:tcPr>
          <w:p>
            <w:pPr>
              <w:spacing w:after="0"/>
              <w:rPr>
                <w:sz w:val="12"/>
                <w:szCs w:val="12"/>
                <w:color w:val="auto"/>
              </w:rPr>
            </w:pPr>
          </w:p>
        </w:tc>
        <w:tc>
          <w:tcPr>
            <w:tcW w:w="1160" w:type="dxa"/>
            <w:vAlign w:val="bottom"/>
          </w:tcPr>
          <w:p>
            <w:pPr>
              <w:jc w:val="center"/>
              <w:ind w:left="428"/>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7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2,188</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granted 664,000 shares of restricted stock to non-executive directors, officers and certain other employees. The shares of these restricted stock awards vest pro-rata generally over three years for employees and over one year for non-executive directors. Total grant date fair value of restricted stock that vested in the six months ended June 30, 2025, was $1.9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June 30, 2025, and activity during the six months then ended.</w:t>
      </w:r>
    </w:p>
    <w:tbl>
      <w:tblPr>
        <w:tblLayout w:type="fixed"/>
        <w:tblInd w:w="0" w:type="dxa"/>
        <w:tblCellMar>
          <w:top w:w="0" w:type="dxa"/>
          <w:left w:w="0" w:type="dxa"/>
          <w:bottom w:w="0" w:type="dxa"/>
          <w:right w:w="0" w:type="dxa"/>
        </w:tblCellMar>
      </w:tblPr>
      <w:tr>
        <w:trPr>
          <w:trHeight w:val="148"/>
        </w:trPr>
        <w:tc>
          <w:tcPr>
            <w:tcW w:w="7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37"/>
        </w:trPr>
        <w:tc>
          <w:tcPr>
            <w:tcW w:w="7840" w:type="dxa"/>
            <w:vAlign w:val="bottom"/>
          </w:tcPr>
          <w:p>
            <w:pPr>
              <w:spacing w:after="0"/>
              <w:rPr>
                <w:sz w:val="11"/>
                <w:szCs w:val="11"/>
                <w:color w:val="auto"/>
              </w:rPr>
            </w:pPr>
          </w:p>
        </w:tc>
        <w:tc>
          <w:tcPr>
            <w:tcW w:w="16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right"/>
              <w:ind w:right="597"/>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granted 231,000 PSUs to certain executive officers, which vest, if at all, upon our achieving a specified relative total shareholder return, which will be measured against the total shareholder return of a specified index during the three-year performance period that ends December 31, 2027.</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(41,108)</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Interest rate swap</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3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recognized in interest expense on effective interest rate swap.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2024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conjunction with an amendment to our 2021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three months ended June 30, 2024, 500,000 of the 2023 Warrants were exercised on a cashless basis, resulting in the issuance of 499,000 shares of common stock. As of June 30, 2025, 1.5 million of the 2023 Warrants remain outstanding.</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in 2021, we issued warrants to purchase up to 1.9 million shares of our common stock (the “2021 Warrants”). The 2021 Warrants were exercisable, in full or in part, at an exercise price of $0.01 per share, subject to anti-dilution adjustments in the event of certain future equity issuances, stock splits, stock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dividends, combinations or similar events. During the three months ended March 31, 2024, all of the 2021 Warrants were exercised on a cashless basis, resulting in the issuance of 1,896,000 shares of common stock.</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Series B Preferred Stock in 2019, we issued detachable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six months ended June 30,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5,192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(2,036)</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3,156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60" w:hanging="328"/>
        <w:spacing w:after="0" w:line="282"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 (Level 1).</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1.8 years and 2.0 years as of June 30, 2025 and December 31,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 probable of occurring, the gain was recognized as a reduction to interest expense through the original maturity date of July 31, 2024.</w:t>
      </w:r>
    </w:p>
    <w:p>
      <w:pPr>
        <w:spacing w:after="0" w:line="7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an interest benefit of $0.4 million and $0.9 million, respectively, from gains recognized in interest expense on the effective interest rate swap in the Condensed Consolidated Statements of Operations and Comprehensive Income (Loss).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June 30, 2025 and December 31, 2024, the carrying values of these financial instruments, except for debt, approximated fair value. The fair value of our debt was $166.1 million and $147.8 million, with a carrying amount of $159.6 million and $148.6 million, as of June 30, 2025 and December 31, 2024, respectively. The fair value of debt was calculated by discounting the future cash flows to its present value using prevailing market interest rates for debt with similar creditworthiness, terms and maturities (Level 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Plant Optimization Activities</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second half of 2024, we took specific steps to consolidate our footprint by identifying two manufacturing facilities to close due to volume rationalization which will reduce costs and improve operational efficiency. In January 2025, we ceased production activities at our Mobile Solutions plant in Juarez, Mexico, and in March 2025 we ended production activity at our Mobile Solutions plant in Dowagiac, Michigan. In addition, we implemented operational and cost optimization actions to reduce indirect and overhead costs.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2025, we substantially completed the facility closures and organizational changes. We estimate incurring $13.6 million in charges and once fully implemented, we expect to recognize annual benefits of approximately $5.4 million. We have recognized cumulative costs of $13.4 million, with $5.5 million recognized in the “Cost of sales” line, $1.4 million in the “Selling, general, and administrative expense” line, and $6.5 million in the “Other expense (income), net” line in the Condensed Consolidated Statements of Operations and Comprehensive Income (Loss). All costs incurred have been recognized in the Mobile Solutions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costs incurred and amounts accrued during the three months ended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 of</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Costs associated with</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exit or disposal</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 related</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against assets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Early Retirement Program</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recognized $0.4 million related to an early retirement incentive program (“ERIP”) that was open to certain U.S. employees that met specified age and service requirements, and who terminated employment in 2025. The estimated total cost of the ERIP, including costs recognized in 2024, is $1.6 million with all benefit payments expected to be made in 2025.</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financial condition of NN, Inc. and its consolidated subsidiaries for the three and six months ended June 30, 2025. The financial information as of June 30, 2025, should be read in conjunction with the consolidated financial statements for the year ended December 31, 2024, contained in our 2024 Annual Report, and the Condensed Consolidated Financial Statements included in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our 2024 Annual Report and in this Quarterly Report. Any forward-looking statement speaks only as of the date of this Quarterly Report, and we undertake no obligation to publicly update or review any forward-looking statement, whether as a result of new information, future developments or otherwise, except as required by law. New risks and uncertainties may emerge from time to time, and it is not possible for us to predict their occurrence or how they will affect the Company. We qualify all forward-looking statements by these cautionary statements.</w:t>
      </w:r>
    </w:p>
    <w:p>
      <w:pPr>
        <w:spacing w:after="0" w:line="9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2024 Annual Report and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Influence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influenced and we expect will continue to influence our results of operations.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jc w:val="both"/>
        <w:ind w:right="820"/>
        <w:spacing w:after="0" w:line="266"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global trade negotiations and tariffs, inflationary cost pressures on metal, raw materials, and other manufacturing inputs, elevated interest rates, supply chain disruptions, and ongoing military conflicts.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trade negotiations continue to create volatility in the marketplace. New trade restrictions and/or increases in tariffs could have a material impact on our business, financial condition, or results of operations by increasing our input costs and decreasing demand, although the nature of those trade restrictions and tariffs remains unclear. Additionally, tariffs may increase the risk for elevated inflation more generally, which may drive an increase in other input costs. We cannot predict the future impact on our end-markets or input costs, including tariffs and their potential implications and ramifications, nor our ability to recover all cost increases through pricing or the timing of such recoveries.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second half of 2024, we identified two manufacturing facilities to close due to volume rationalization which will reduce costs and improve operational efficiency. During the first quarter of 2025, we ceased production activities at our Mobile Solutions plants in Juarez, Mexico and Dowagiac, Michigan. Additionally, we continue to evaluate our global footprint, which may result in further consolidation actions to further improve our overall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the Three Months Ended June 30,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(provision) for income taxes and share of net income from joint venture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$15.1 million, or 12.3%, during the three months ended June 30, 2025,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the rationalization of underperforming business and plants, the sale of our Lubbock operations in 2024, lower volumes and unfavorable foreign exchange effects of $0.7 million. These decreases were partially offset by contribution of new business launches and higher precious metals pass-through pricing.</w:t>
      </w:r>
    </w:p>
    <w:p>
      <w:pPr>
        <w:spacing w:after="0" w:line="72"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$11.6 million, or 11.4%, during the three months ended June 30, 2025,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primarily due to the decrease in sales.</w:t>
      </w:r>
    </w:p>
    <w:p>
      <w:pPr>
        <w:spacing w:after="0" w:line="5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$1.4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the three months ended June 30, 2024, primarily due to lower compensation expense related to lower headcount.</w:t>
      </w:r>
    </w:p>
    <w:p>
      <w:pPr>
        <w:spacing w:after="0" w:line="5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decreased by $2.8 million during the three months ended June 30,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primarily due to impact of historical purchase accounting step-up basis becoming fully depreciated in the second half of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$0.2 million during the three months ended June 30, 2025,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lower average debt balances, lower interest rates and lower amortization of debt issuance costs. These reductions were partially offset by the gain recognized on interest rate swap in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was $3.0 million during the three months ended June 30, 2025 due to the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2021 Term Loan Facility, see Note 7 to the Condensed Consolidated Financial Statements.</w:t>
      </w:r>
    </w:p>
    <w:p>
      <w:pPr>
        <w:spacing w:after="0" w:line="5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$2.8 million during the three months ended June 30, 2025,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primarily due to lower noncash derivative mark-to-market losses recognized during the current quarter compared to the second quarter of 2024.</w:t>
      </w:r>
    </w:p>
    <w:p>
      <w:pPr>
        <w:spacing w:after="0" w:line="6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(8.1)% for the three months ended June 30, 2025, compared to 4.7%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The rate for the three months ended June 30, 2025 was unfavorably impacted due to the accrual of tax on non-permanently reinvested unremitted earnings of foreign subsidiaries and by the limitation of the amount of tax benefit recorded for losses in certain jurisdictions where we believe it is more likely than not that a future tax benefit may not be realized.</w:t>
      </w:r>
    </w:p>
    <w:p>
      <w:pPr>
        <w:spacing w:after="0" w:line="7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was unchanged during the three months ended June 30,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The JV, in which we own a 49% investment, recognized net sales of $31.6 million and $31.6 million for the three months ended June 30, 2025 and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(1,630)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bl>
    <w:p>
      <w:pPr>
        <w:spacing w:after="0" w:line="1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sales decreased by $9.5 million, or 13.0%, during the three months ended June 30, 2025, compared to the three months ended June 30, 2024, primarily due to rationalized volume, lower volume and unfavorable foreign exchange effects of $0.3 million.</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 from operations decreased by $0.5 million during the three months ended June 30, 2025, compared to the same period in the prior year, primarily due to lower depreciation expense partially offset by lower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bl>
    <w:p>
      <w:pPr>
        <w:spacing w:after="0" w:line="16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Net sales decreased by $5.5 million, or 11.0%, during the three months ended June 30, 2025 compared to the three months ended June 30, 2024, primarily due to the sale of our Lubbock operations in 2024, lower volumes and unfavorable foreign exchange effects of $0.4 million. These decreases were partially offset by higher precious metals pass-through pricing.</w:t>
      </w:r>
    </w:p>
    <w:p>
      <w:pPr>
        <w:spacing w:after="0" w:line="82"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Income from operations increased by $0.5 million during the three months ended June 30, 2025 compared to the same period in the prior year, primarily due to the lower compensation costs due to headcount reduction, partially offset by lower revenues and the sale of the Lubbock operations in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right="5240"/>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Six Months Ended June 30, 2025 compared to the Six Months Ended June 30, 2024 </w:t>
      </w:r>
      <w:r>
        <w:rPr>
          <w:rFonts w:ascii="Times New Roman" w:cs="Times New Roman" w:eastAsia="Times New Roman" w:hAnsi="Times New Roman"/>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$30.6 million, or 12.5%, during the six months ended June 30, 2025, compared to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rationalization of underperforming business and plants, the sale of our Lubbock operations, lower volumes and unfavorable foreign exchange effects of $3.5 million. These decreases were partially offset by contribution of new business launches and higher precious metals pass-through pricing.</w:t>
      </w:r>
    </w:p>
    <w:p>
      <w:pPr>
        <w:spacing w:after="0" w:line="7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$21.0 million, or 10.4%, during the six months ended June 30, 2025,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the decrease in sales.</w:t>
      </w:r>
    </w:p>
    <w:p>
      <w:pPr>
        <w:spacing w:after="0" w:line="50"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$3.6 million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the six months ended June 30, 2024, primarily due to lower compensation expense due to a reduction in headcount.</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decreased by $6.6 million during the six months ended June 30, 2025,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primarily due to impact of historical purchase accounting step-up basis becoming fully depreciated in the second half of 2024.</w:t>
      </w:r>
    </w:p>
    <w:p>
      <w:pPr>
        <w:spacing w:after="0" w:line="50"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$0.4 million during the six months ended June 30, 2025, compared to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average debt balances and lower interest rates. These reductions were partially offset by the gain recognized on interest rate swap in 2024 and a lower amount of capitalized interest during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11,355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10,851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11,239</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was $3.0 million during the six months ended June 30, 2025 due to the termination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Term Loan Facility, see Note 7 to the Condensed Consolidated Financial Statements.</w:t>
      </w:r>
    </w:p>
    <w:p>
      <w:pPr>
        <w:spacing w:after="0" w:line="5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$3.5 million during the six months ended June 30,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primarily due to noncash derivative mark-to-market gains recognized during 2025 and favorable foreign exchange effects associated with intercompany borrowings.</w:t>
      </w:r>
    </w:p>
    <w:p>
      <w:pPr>
        <w:spacing w:after="0" w:line="65"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(12.0)% for the six months ended June 30, 2025, compared to (1.5)%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The rate for the six months ended June 30, 2025 was unfavorably impacted due to the accrual of tax on non-permanently reinvested unremitted earnings of foreign subsidiaries and by the limitation on the</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tax benefit recorded for losses in certain jurisdictions where we believe it is more likely than not that a future tax benefit may not be realized.</w:t>
      </w:r>
    </w:p>
    <w:p>
      <w:pPr>
        <w:spacing w:after="0" w:line="11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$0.2 million during the six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six months ended June 30, 2024, primarily due to higher sales and increased margin partially offset by higher fixed costs, depreciation and interest expense. The JV, in which we own a 49% investment, recognized net sales of $64.3 million and $62.7 million for the six months ended June 30, 2025 and 2024,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sales decreased by $20.3 million, or 13.9%, during the six months ended June 30, 2025, compared to the six months ended June 30, 2024, primarily due to rationalized volume, lower volume and unfavorable foreign exchange effects of $2.2 million.</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Loss from operations was unchanged at $3.8 million during the six months ended June 30, 2025 and 2024. The decrease in depreciation expense was offset by the lower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bl>
    <w:p>
      <w:pPr>
        <w:spacing w:after="0" w:line="2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sales decreased by $10.2 million, or 10.4%, during the six months ended June 30, 2025, compared to the six months ended June 30, 2024, primarily due to the sale of our Lubbock operations in 2024, lower volumes and unfavorable foreign exchange effects of $1.3 million. These decreases were partially offset by higher precious metals pass-through pricing</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$0.5 million during the six months ended June 30, 2025 compared to the same period in the prior year, primarily due to the sale of our Lubbock operations and lower sales. These decreases were partially offset by lower compensation costs and higher precious metals pass-through pricing</w:t>
      </w:r>
    </w:p>
    <w:p>
      <w:pPr>
        <w:spacing w:after="0" w:line="172" w:lineRule="exact"/>
        <w:rPr>
          <w:sz w:val="20"/>
          <w:szCs w:val="20"/>
          <w:color w:val="auto"/>
        </w:rPr>
      </w:pPr>
    </w:p>
    <w:p>
      <w:pPr>
        <w:ind w:right="56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2024 to June 30, 2025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December 31, 2024 to June 30, 2025, total assets increased by $3.9 million primarily due to increases in accounts receivable, property, plant and equipment and our investment in a joint venture. These increases were partially offset by decreases in intangible assets due to amortization.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December 31, 2024 to June 30, 2025, total liabilities increased by $9.8 million, primarily due to increases in accounts payable, other current liabilities and long-term debt. These increases were partially offset by a decrease in accrued salaries, wages and benefits due to reduced compensation costs.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decreased by $0.8 million, from December 31, 2024 to June 30, 2025. The change was primarily due to an increase in accounts receivable and a decrease in accrued salaries, wages and benefits, partially offset by increases in accounts payable and other current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in operations was $4.0 million for the six months ended June 30, 2025, compared with $0.6 million for the six months ended June 30, 2024. The unfavorable change is primarily due to lower gross margin contributions due to lower sales, and an increase in working capital.</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$1.6 million during the six months ended June 30, 2025, compared with the same period in 2024, due to lower purchases of property, plant and equipment in 2025.</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unchanged at $1.6 million during the six months ended June 30, 2025 and 2024. The increase in proceeds from the new term loan in 2025 was offset by the proceeds from the sale-leaseback transactions in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16, 2025, we entered into a Term Loan Credit Agreement by and among the Company, the lenders from time to time party thereto and Alter Domus (US) LLC, as administrative agent for the Lenders. The Term Loan Credit Agreement establishes a new, $128.0 million senior secured Term Loan Facility consisting of (i) $118.0 million of term loans funded in full on the Closing Date and (ii) $10.0 million of delayed draw term loan commitments. The Term Loans mature on April 16, 2030. We used the net proceeds from the Closing Date Term Loan to repay all of our outstanding obligations under our previous 2021 Term Loan Facility.</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June 30, 2025, was $118.9 million, without regard to unamortized debt issuance costs and discount. As of June 30, 2025, we had $5.0 million outstanding borrowings under the ABL Facility and $24.2 million available for future borrowings under the ABL Facility. This amount of borrowing capacity is net of $10.9 million of outstanding letters of credit at June 30, 2025, which are considered as usage of the ABL Facility.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Term Loan Facility currently bear interest at either: 1) one-month, three-month, or six-month term secured overnight finance rate with a duration adjustment, subject to a 2.00% floor, plus an applicable margin of 9.25%; or 2) the greater of various benchmark rates, with certain adjustments, plus an applicable margin of 8.25%. For interest payments due before April 16, 2027, we may elect to pay a portion of interest in-kind, subject to a minimum cash interest of 5.25% for Adjusted Term SOFR Rate Loans and 4.25%% for Base Rate Loans. The applicable margin increases by 0.50% on borrowings to which the PIK Election is made. Subject to certain exceptions, we are required to make principal payments (i) annually that are calculated as a percentage, based on our Consolidated Net Leverage Ratio, of our Excess Cash Flow (as defined in the Term Loan Credit Agreement), (ii) Net Cash Proceeds (as defined in the Term Loan Credit Agreement) of certain non-ordinary course Dispositions (as defined in the Term Loan Credit Agreement) within 10 business days of receipt thereof, and (iii) Net Cash Proceeds from certain insurance events.</w:t>
      </w:r>
    </w:p>
    <w:p>
      <w:pPr>
        <w:spacing w:after="0" w:line="84"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the one, three or six month SOFR plus 1.50%, plus an adjustment of 0.10%; or 2) the highest of the base commercial lending rate of the lender or various benchmark rates plus an applicable margin of 0.50% or 1.00%, depending on the benchmark. We pay a commitment fee of 0.25% for unused capacity under the ABL Facility.</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of the Term Loan Facility and ABL Facility as of June 30, 2025.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2024 and 2025, we entered into several sale-leaseback transactions and received a total of $21.2 million from the sale and leaseback of several properties. These financing obligations have a weighted average effective fixed interest rate of 9.500%, requires monthly payments and terminate in 2044. In addition, we received $10.6 million from the sale and leaseback of equipment. These financing obligations have a weighted average effective interest rate of 9.170%, require monthly payments and have a weighted average remaining term of 3.8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Management</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manage our liquidity and working capital to fund our operations, meet debt service obligations, finance capital expenditures and fund other business initiatives. The cost of raw materials, primarily for steel, copper and precious metals is subject to price volatility due to tariffs, supply chain constraints and market supply and demand. A significant increase in the prices we pay for raw materials may cause our working capital needs to increase, which could reduce our liquidity and borrowing availability.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$12.6 million tax refund receivable at June 30, 2025, which is being processed for refund at the IRS service center. The timing of the receipt of the refund is expected in 2025.</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judgments underlying them, are disclosed in Note 1 of the Notes to Consolidated Financial Statements included in the 2024 Annual Report. Our most critical accounting estimates are discussed in the Management’s Discussion and Analysis of Financial Condition and Results of Operations included in the 2024 Annual Report. There have been no material changes to our significant accounting policies or critical accounting estimates during the six months ended June 30, 2025.</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June 30, 2025, we had $118.9 million of principal outstanding under the Term Loan Facility without regard to capitalized debt issuance costs. A one-percent increase in one-month SOFR would have resulted in a net increase in interest expense of $1.2 million on an annualized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based on the Alternative Base Rate, the interest rate on outstanding borrowings under the ABL Facility was 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Various strategies to manage this risk are available to management, including producing and selling in local currencies and hedging programs. We did not hold a position in any foreign currency derivatives as of June 30, 2025.</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June 30, 2025,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7"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2024 Annual Report under Item 1A, “Risk Factors.”</w:t>
      </w:r>
    </w:p>
    <w:p>
      <w:pPr>
        <w:spacing w:after="0" w:line="11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U.S. administrative policy, including the imposition of or increases in tariffs, changes to existing trade agreements and any resulting changes in international trade relations, may have an adverse effect on our business.</w:t>
      </w:r>
    </w:p>
    <w:p>
      <w:pPr>
        <w:spacing w:after="0" w:line="253" w:lineRule="auto"/>
        <w:rPr>
          <w:sz w:val="20"/>
          <w:szCs w:val="20"/>
          <w:color w:val="auto"/>
        </w:rPr>
      </w:pPr>
      <w:r>
        <w:rPr>
          <w:rFonts w:ascii="Times New Roman" w:cs="Times New Roman" w:eastAsia="Times New Roman" w:hAnsi="Times New Roman"/>
          <w:sz w:val="18"/>
          <w:szCs w:val="18"/>
          <w:color w:val="auto"/>
        </w:rPr>
        <w:t>Changes in laws or policies governing the terms of trade, and in particular increased trade restrictions, tariffs or taxes on imports from countries where we manufacture products, such as Mexico and China, could have a material adverse effect on our business and financial results. For example, the U.S. government has recently taken actions or made proposals that are intended to address trade imbalances or trade practices, specifically with China, among other countries, which include encouraging increased production in the United States.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United States and the Mexican, Canadian and Chinese governments, given the uncertainty regarding the scope and duration of any new tariffs, as well as the potential for additional tariffs or trade barriers by the United States, Mexico, Canada, China or other countries, we can provide no assurance that any strategies we implement to mitigate the impact of such tariffs or other trade actions will be successful. A trade war or other significant changes in trade regulations could have a material adverse effect on our business, financial condition and results of operations.</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renegotiations of existing tariffs are unsuccessful or additional tariffs or trade restrictions are implemented by the United States or other countries in connection with a global trade war, the resulting escalation of trade tensions could have a material adverse effect on world trade and the global economy. Even in the absence of further tariffs or trade restrictions, the related uncertainty and the market's fear of an economic slowdown could lead to a decrease in consumer spending, and we may experience lower net sales than expected. Reduced net sales may result in reduced operating cash flows if we are not able to appropriately manage inventory levels or leverage expenses.</w:t>
      </w:r>
    </w:p>
    <w:p>
      <w:pPr>
        <w:spacing w:after="0" w:line="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While the future financial impact of these actions and potential additional U.S. tariff actions and retaliatory actions by other countries remains unknown, the potential implications and ramifications of tariffs could have a material adverse effect on our financial statements in any particular reporting period.</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June 30, 2025.</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400" w:type="dxa"/>
            <w:vAlign w:val="bottom"/>
            <w:vMerge w:val="restart"/>
          </w:tcPr>
          <w:p>
            <w:pPr>
              <w:jc w:val="center"/>
              <w:ind w:left="1568"/>
              <w:spacing w:after="0"/>
              <w:rPr>
                <w:sz w:val="20"/>
                <w:szCs w:val="20"/>
                <w:color w:val="auto"/>
              </w:rPr>
            </w:pPr>
            <w:r>
              <w:rPr>
                <w:rFonts w:ascii="Times New Roman" w:cs="Times New Roman" w:eastAsia="Times New Roman" w:hAnsi="Times New Roman"/>
                <w:sz w:val="14"/>
                <w:szCs w:val="14"/>
                <w:color w:val="auto"/>
              </w:rPr>
              <w:t>Total Number of</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1860" w:type="dxa"/>
            <w:vAlign w:val="bottom"/>
          </w:tcPr>
          <w:p>
            <w:pPr>
              <w:jc w:val="center"/>
              <w:ind w:left="228"/>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3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2340" w:type="dxa"/>
            <w:vAlign w:val="bottom"/>
            <w:vMerge w:val="continue"/>
          </w:tcPr>
          <w:p>
            <w:pPr>
              <w:spacing w:after="0"/>
              <w:rPr>
                <w:sz w:val="17"/>
                <w:szCs w:val="17"/>
                <w:color w:val="auto"/>
              </w:rPr>
            </w:pPr>
          </w:p>
        </w:tc>
        <w:tc>
          <w:tcPr>
            <w:tcW w:w="3400" w:type="dxa"/>
            <w:vAlign w:val="bottom"/>
          </w:tcPr>
          <w:p>
            <w:pPr>
              <w:jc w:val="center"/>
              <w:ind w:left="1588"/>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 Share</w:t>
            </w: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1860" w:type="dxa"/>
            <w:vAlign w:val="bottom"/>
          </w:tcPr>
          <w:p>
            <w:pPr>
              <w:jc w:val="center"/>
              <w:ind w:left="228"/>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175,040</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20" w:hanging="409"/>
        <w:spacing w:after="0" w:line="261"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Amended and Restated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executive officers adopted or terminated any Rule 10b5-1 trading arrangement or non-Rule 10b5-1 trading arrangement, as defined in Item 408 of Regulation S-K.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gridSpan w:val="1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60" w:type="dxa"/>
            <w:vAlign w:val="bottom"/>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16"/>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Restated Certificate of Incorporation of NN, Inc. (Filed as exhibit 3.1 to the Registrant’s Registration Statement on Form S-3 on June 6,</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2002 and incorporated herein by reference).</w:t>
              </w:r>
            </w:hyperlink>
          </w:p>
        </w:tc>
        <w:tc>
          <w:tcPr>
            <w:tcW w:w="6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Certificate of Amendment to Restated Certificate of Incorporation of NN, Inc. (Declassification) (Filed as Exhibit 3.1 to the Registrant’s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Current Report on Form 8-K filed on May 20, 2019 and incorporated herein by reference).</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to Restated Certificate of Incorporation of NN, Inc. (Share Increase) (Filed as Exhibit 3.2 to the Registrant’s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Current Report on Form 8-K filed on May 20, 2019 and incorporated herein by reference).</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of NN, Inc. (Filed as Exhibit 3.1 to the Registrant’s Current Report on Form 8-K filed on January 20,</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2023 and incorporated herein by reference).</w:t>
              </w:r>
            </w:hyperlink>
          </w:p>
        </w:tc>
        <w:tc>
          <w:tcPr>
            <w:tcW w:w="652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Term Loan Credit Agreement, dated as of April 16, 2025, among NN, Inc., as the Borrower and The Lenders Party Hereto and Alter Domus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(US) LLC, as Administrative Agent for all of the Lenders (Filed as Exhibit 10.1 to the Registrant’s Current Report on Form 8-K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April 17, 2025 and incorporated herein by reference).</w:t>
              </w:r>
            </w:hyperlink>
          </w:p>
        </w:tc>
        <w:tc>
          <w:tcPr>
            <w:tcW w:w="1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Amendment to Revolving Credit and Security Agreement, dated as of April 16, 2025, by and among NN, Inc. as Borrower, certain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subsidiaries of NN, Inc., the lenders party thereto and PNC Bank, National Association, as lender and as agent (Filed as Exhibit 10.2 to</w:t>
              </w:r>
            </w:hyperlink>
          </w:p>
        </w:tc>
        <w:tc>
          <w:tcPr>
            <w:tcW w:w="320" w:type="dxa"/>
            <w:vAlign w:val="bottom"/>
            <w:gridSpan w:val="6"/>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Registrant’s Current Report on Form 8-K filed on April 17, 2025 and incorporated herein by reference).</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gridSpan w:val="4"/>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5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5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26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3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right="60" w:hanging="330"/>
        <w:spacing w:after="0" w:line="246" w:lineRule="auto"/>
        <w:tabs>
          <w:tab w:leader="none" w:pos="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3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93"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139"/>
          </w:cols>
          <w:pgMar w:left="320" w:top="477"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Bohnert, certify that:</w:t>
      </w:r>
    </w:p>
    <w:p>
      <w:pPr>
        <w:spacing w:after="0" w:line="17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June 30, 2025,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June 30, 2025,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Roman"/>
      <w:start w:val="3"/>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54" Type="http://schemas.openxmlformats.org/officeDocument/2006/relationships/hyperlink" Target="https://www.sec.gov/Archives/edgar/data/918541/000095016802001631/dex31.txt" TargetMode="External"/><Relationship Id="rId55" Type="http://schemas.openxmlformats.org/officeDocument/2006/relationships/hyperlink" Target="https://www.sec.gov/Archives/edgar/data/918541/000119312519151712/d750456dex31.htm" TargetMode="External"/><Relationship Id="rId56" Type="http://schemas.openxmlformats.org/officeDocument/2006/relationships/hyperlink" Target="https://www.sec.gov/Archives/edgar/data/918541/000119312519151712/d750456dex32.htm" TargetMode="External"/><Relationship Id="rId57" Type="http://schemas.openxmlformats.org/officeDocument/2006/relationships/hyperlink" Target="https://www.sec.gov/Archives/edgar/data/918541/000091854123000004/amendedandrestatedbylaws20.htm" TargetMode="External"/><Relationship Id="rId58" Type="http://schemas.openxmlformats.org/officeDocument/2006/relationships/hyperlink" Target="https://www.sec.gov/Archives/edgar/data/918541/000091854125000050/exhibit101termloanagreemen.htm" TargetMode="External"/><Relationship Id="rId59" Type="http://schemas.openxmlformats.org/officeDocument/2006/relationships/hyperlink" Target="https://www.sec.gov/Archives/edgar/data/918541/000091854125000050/exhibit102ablagreement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2025-08-07T05:30:32Z</dcterms:created>
  <dcterms:modified xsi:type="dcterms:W3CDTF">2025-08-07T05:30:32Z</dcterms:modified>
</cp:coreProperties>
</file>