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Legion Partners Holdings,</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LLC</w:t>
              </w:r>
            </w:hyperlink>
          </w:p>
        </w:tc>
        <w:tc>
          <w:tcPr>
            <w:tcW w:w="5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03/06/2025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ind w:left="403" w:hanging="403"/>
        <w:spacing w:after="0"/>
        <w:tabs>
          <w:tab w:leader="none" w:pos="403" w:val="left"/>
        </w:tabs>
        <w:numPr>
          <w:ilvl w:val="0"/>
          <w:numId w:val="1"/>
        </w:numPr>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NNBR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77"/>
            <w:col w:w="5943"/>
          </w:cols>
          <w:pgMar w:left="480" w:top="230"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12121 WILSHIRE BLVD.</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1240</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LOS</w:t>
      </w:r>
      <w:r>
        <w:rPr>
          <w:rFonts w:ascii="Times New Roman" w:cs="Times New Roman" w:eastAsia="Times New Roman" w:hAnsi="Times New Roman"/>
          <w:sz w:val="20"/>
          <w:szCs w:val="20"/>
          <w:color w:val="0000FF"/>
        </w:rPr>
        <w:t xml:space="preserve"> CA 90025 ANGELES</w:t>
      </w:r>
    </w:p>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28"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9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80" w:type="dxa"/>
            <w:vAlign w:val="bottom"/>
          </w:tcPr>
          <w:p>
            <w:pPr>
              <w:jc w:val="center"/>
              <w:ind w:right="13"/>
              <w:spacing w:after="0"/>
              <w:rPr>
                <w:sz w:val="20"/>
                <w:szCs w:val="20"/>
                <w:color w:val="auto"/>
              </w:rPr>
            </w:pPr>
            <w:r>
              <w:rPr>
                <w:rFonts w:ascii="Arial" w:cs="Arial" w:eastAsia="Arial" w:hAnsi="Arial"/>
                <w:sz w:val="15"/>
                <w:szCs w:val="15"/>
                <w:b w:val="1"/>
                <w:bCs w:val="1"/>
                <w:color w:val="auto"/>
                <w:w w:val="99"/>
              </w:rPr>
              <w:t>2. Amount of Securities</w:t>
            </w:r>
          </w:p>
        </w:tc>
        <w:tc>
          <w:tcPr>
            <w:tcW w:w="1440" w:type="dxa"/>
            <w:vAlign w:val="bottom"/>
            <w:gridSpan w:val="2"/>
          </w:tcPr>
          <w:p>
            <w:pPr>
              <w:ind w:left="26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tcPr>
          <w:p>
            <w:pPr>
              <w:ind w:left="60"/>
              <w:spacing w:after="0" w:line="165" w:lineRule="exact"/>
              <w:rPr>
                <w:sz w:val="20"/>
                <w:szCs w:val="20"/>
                <w:color w:val="auto"/>
              </w:rPr>
            </w:pPr>
            <w:r>
              <w:rPr>
                <w:rFonts w:ascii="Arial" w:cs="Arial" w:eastAsia="Arial" w:hAnsi="Arial"/>
                <w:sz w:val="15"/>
                <w:szCs w:val="15"/>
                <w:b w:val="1"/>
                <w:bCs w:val="1"/>
                <w:color w:val="auto"/>
                <w:w w:val="98"/>
              </w:rPr>
              <w:t>Beneficially Owned (Instr.</w:t>
            </w:r>
          </w:p>
        </w:tc>
        <w:tc>
          <w:tcPr>
            <w:tcW w:w="144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44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w w:val="94"/>
              </w:rPr>
              <w:t>Common Stock</w:t>
            </w:r>
            <w:r>
              <w:rPr>
                <w:rFonts w:ascii="Times New Roman" w:cs="Times New Roman" w:eastAsia="Times New Roman" w:hAnsi="Times New Roman"/>
                <w:sz w:val="25"/>
                <w:szCs w:val="25"/>
                <w:color w:val="008000"/>
                <w:w w:val="94"/>
                <w:vertAlign w:val="superscript"/>
              </w:rPr>
              <w:t>(1)</w:t>
            </w:r>
          </w:p>
        </w:tc>
        <w:tc>
          <w:tcPr>
            <w:tcW w:w="1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20"/>
                <w:szCs w:val="20"/>
                <w:color w:val="0000FF"/>
                <w:w w:val="97"/>
              </w:rPr>
              <w:t>3,519,420</w:t>
            </w:r>
          </w:p>
        </w:tc>
        <w:tc>
          <w:tcPr>
            <w:tcW w:w="860" w:type="dxa"/>
            <w:vAlign w:val="bottom"/>
            <w:tcBorders>
              <w:bottom w:val="single" w:sz="8" w:color="2C2C2C"/>
            </w:tcBorders>
          </w:tcPr>
          <w:p>
            <w:pPr>
              <w:ind w:left="74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Legion Partners, L.P. I</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w w:val="94"/>
              </w:rPr>
              <w:t>Common Stock</w:t>
            </w:r>
            <w:r>
              <w:rPr>
                <w:rFonts w:ascii="Times New Roman" w:cs="Times New Roman" w:eastAsia="Times New Roman" w:hAnsi="Times New Roman"/>
                <w:sz w:val="25"/>
                <w:szCs w:val="25"/>
                <w:color w:val="008000"/>
                <w:w w:val="94"/>
                <w:vertAlign w:val="superscript"/>
              </w:rPr>
              <w:t>(1)</w:t>
            </w:r>
          </w:p>
        </w:tc>
        <w:tc>
          <w:tcPr>
            <w:tcW w:w="1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20"/>
                <w:szCs w:val="20"/>
                <w:color w:val="0000FF"/>
                <w:w w:val="98"/>
              </w:rPr>
              <w:t>395,144</w:t>
            </w:r>
          </w:p>
        </w:tc>
        <w:tc>
          <w:tcPr>
            <w:tcW w:w="860" w:type="dxa"/>
            <w:vAlign w:val="bottom"/>
            <w:tcBorders>
              <w:bottom w:val="single" w:sz="8" w:color="2C2C2C"/>
            </w:tcBorders>
          </w:tcPr>
          <w:p>
            <w:pPr>
              <w:ind w:left="74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Legion Partners, L.P. II</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w w:val="94"/>
              </w:rPr>
              <w:t>Common Stock</w:t>
            </w:r>
            <w:r>
              <w:rPr>
                <w:rFonts w:ascii="Times New Roman" w:cs="Times New Roman" w:eastAsia="Times New Roman" w:hAnsi="Times New Roman"/>
                <w:sz w:val="25"/>
                <w:szCs w:val="25"/>
                <w:color w:val="008000"/>
                <w:w w:val="94"/>
                <w:vertAlign w:val="superscript"/>
              </w:rPr>
              <w:t>(1)</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vMerge w:val="restart"/>
          </w:tcPr>
          <w:p>
            <w:pPr>
              <w:jc w:val="center"/>
              <w:ind w:left="73"/>
              <w:spacing w:after="0"/>
              <w:rPr>
                <w:sz w:val="20"/>
                <w:szCs w:val="20"/>
                <w:color w:val="auto"/>
              </w:rPr>
            </w:pPr>
            <w:r>
              <w:rPr>
                <w:rFonts w:ascii="Times New Roman" w:cs="Times New Roman" w:eastAsia="Times New Roman" w:hAnsi="Times New Roman"/>
                <w:sz w:val="20"/>
                <w:szCs w:val="20"/>
                <w:color w:val="0000FF"/>
                <w:w w:val="98"/>
              </w:rPr>
              <w:t>877,065</w:t>
            </w:r>
          </w:p>
        </w:tc>
        <w:tc>
          <w:tcPr>
            <w:tcW w:w="8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Legion Partners Special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7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0000FF"/>
              </w:rPr>
              <w:t>Opportunities, L.P. XI</w:t>
            </w:r>
            <w:r>
              <w:rPr>
                <w:rFonts w:ascii="Times New Roman" w:cs="Times New Roman" w:eastAsia="Times New Roman" w:hAnsi="Times New Roman"/>
                <w:sz w:val="25"/>
                <w:szCs w:val="25"/>
                <w:color w:val="008000"/>
                <w:vertAlign w:val="superscript"/>
              </w:rPr>
              <w:t>(4)</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w w:val="94"/>
              </w:rPr>
              <w:t>Common Stock</w:t>
            </w:r>
            <w:r>
              <w:rPr>
                <w:rFonts w:ascii="Times New Roman" w:cs="Times New Roman" w:eastAsia="Times New Roman" w:hAnsi="Times New Roman"/>
                <w:sz w:val="25"/>
                <w:szCs w:val="25"/>
                <w:color w:val="008000"/>
                <w:w w:val="94"/>
                <w:vertAlign w:val="superscript"/>
              </w:rPr>
              <w:t>(1)</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vMerge w:val="restart"/>
          </w:tcPr>
          <w:p>
            <w:pPr>
              <w:jc w:val="center"/>
              <w:ind w:left="73"/>
              <w:spacing w:after="0"/>
              <w:rPr>
                <w:sz w:val="20"/>
                <w:szCs w:val="20"/>
                <w:color w:val="auto"/>
              </w:rPr>
            </w:pPr>
            <w:r>
              <w:rPr>
                <w:rFonts w:ascii="Times New Roman" w:cs="Times New Roman" w:eastAsia="Times New Roman" w:hAnsi="Times New Roman"/>
                <w:sz w:val="20"/>
                <w:szCs w:val="20"/>
                <w:color w:val="0000FF"/>
                <w:w w:val="93"/>
              </w:rPr>
              <w:t>300</w:t>
            </w:r>
          </w:p>
        </w:tc>
        <w:tc>
          <w:tcPr>
            <w:tcW w:w="8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Legion Partners Holdings,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(5)</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13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8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gridSpan w:val="2"/>
            <w:vMerge w:val="continue"/>
          </w:tcPr>
          <w:p>
            <w:pPr>
              <w:spacing w:after="0"/>
              <w:rPr>
                <w:sz w:val="14"/>
                <w:szCs w:val="14"/>
                <w:color w:val="auto"/>
              </w:rPr>
            </w:pPr>
          </w:p>
        </w:tc>
        <w:tc>
          <w:tcPr>
            <w:tcW w:w="13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8"/>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5"/>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6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80" w:type="dxa"/>
            <w:vAlign w:val="bottom"/>
            <w:vMerge w:val="continue"/>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By: Legion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3"/>
          </w:tcPr>
          <w:p>
            <w:pPr>
              <w:ind w:left="80"/>
              <w:spacing w:after="0" w:line="240" w:lineRule="exact"/>
              <w:rPr>
                <w:sz w:val="20"/>
                <w:szCs w:val="20"/>
                <w:color w:val="auto"/>
              </w:rPr>
            </w:pPr>
            <w:r>
              <w:rPr>
                <w:rFonts w:ascii="Times New Roman" w:cs="Times New Roman" w:eastAsia="Times New Roman" w:hAnsi="Times New Roman"/>
                <w:sz w:val="20"/>
                <w:szCs w:val="20"/>
                <w:color w:val="0000FF"/>
              </w:rPr>
              <w:t>Warrants</w:t>
            </w:r>
            <w:r>
              <w:rPr>
                <w:rFonts w:ascii="Times New Roman" w:cs="Times New Roman" w:eastAsia="Times New Roman" w:hAnsi="Times New Roman"/>
                <w:sz w:val="25"/>
                <w:szCs w:val="25"/>
                <w:color w:val="008000"/>
                <w:vertAlign w:val="superscript"/>
              </w:rPr>
              <w:t>(1)</w:t>
            </w:r>
          </w:p>
        </w:tc>
        <w:tc>
          <w:tcPr>
            <w:tcW w:w="1300" w:type="dxa"/>
            <w:vAlign w:val="bottom"/>
          </w:tcPr>
          <w:p>
            <w:pPr>
              <w:spacing w:after="0"/>
              <w:rPr>
                <w:sz w:val="20"/>
                <w:szCs w:val="20"/>
                <w:color w:val="auto"/>
              </w:rPr>
            </w:pPr>
          </w:p>
        </w:tc>
        <w:tc>
          <w:tcPr>
            <w:tcW w:w="1180" w:type="dxa"/>
            <w:vAlign w:val="bottom"/>
            <w:gridSpan w:val="3"/>
          </w:tcPr>
          <w:p>
            <w:pPr>
              <w:jc w:val="center"/>
              <w:ind w:left="105"/>
              <w:spacing w:after="0"/>
              <w:rPr>
                <w:sz w:val="20"/>
                <w:szCs w:val="20"/>
                <w:color w:val="auto"/>
              </w:rPr>
            </w:pPr>
            <w:r>
              <w:rPr>
                <w:rFonts w:ascii="Times New Roman" w:cs="Times New Roman" w:eastAsia="Times New Roman" w:hAnsi="Times New Roman"/>
                <w:sz w:val="15"/>
                <w:szCs w:val="15"/>
                <w:color w:val="0000FF"/>
                <w:w w:val="99"/>
              </w:rPr>
              <w:t>05/20/2020</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12/11/2026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214,095</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3"/>
              </w:rPr>
              <w:t>11.03</w:t>
            </w: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Partners, L.P.</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ind w:left="20"/>
              <w:spacing w:after="0" w:line="316" w:lineRule="exact"/>
              <w:rPr>
                <w:sz w:val="20"/>
                <w:szCs w:val="20"/>
                <w:color w:val="auto"/>
              </w:rPr>
            </w:pPr>
            <w:r>
              <w:rPr>
                <w:rFonts w:ascii="Times New Roman" w:cs="Times New Roman" w:eastAsia="Times New Roman" w:hAnsi="Times New Roman"/>
                <w:sz w:val="36"/>
                <w:szCs w:val="36"/>
                <w:color w:val="0000FF"/>
                <w:vertAlign w:val="subscript"/>
              </w:rPr>
              <w:t>I</w:t>
            </w:r>
            <w:r>
              <w:rPr>
                <w:rFonts w:ascii="Times New Roman" w:cs="Times New Roman" w:eastAsia="Times New Roman" w:hAnsi="Times New Roman"/>
                <w:sz w:val="12"/>
                <w:szCs w:val="12"/>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By: Legion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3"/>
          </w:tcPr>
          <w:p>
            <w:pPr>
              <w:ind w:left="80"/>
              <w:spacing w:after="0" w:line="240" w:lineRule="exact"/>
              <w:rPr>
                <w:sz w:val="20"/>
                <w:szCs w:val="20"/>
                <w:color w:val="auto"/>
              </w:rPr>
            </w:pPr>
            <w:r>
              <w:rPr>
                <w:rFonts w:ascii="Times New Roman" w:cs="Times New Roman" w:eastAsia="Times New Roman" w:hAnsi="Times New Roman"/>
                <w:sz w:val="20"/>
                <w:szCs w:val="20"/>
                <w:color w:val="0000FF"/>
              </w:rPr>
              <w:t>Warrants</w:t>
            </w:r>
            <w:r>
              <w:rPr>
                <w:rFonts w:ascii="Times New Roman" w:cs="Times New Roman" w:eastAsia="Times New Roman" w:hAnsi="Times New Roman"/>
                <w:sz w:val="25"/>
                <w:szCs w:val="25"/>
                <w:color w:val="008000"/>
                <w:vertAlign w:val="superscript"/>
              </w:rPr>
              <w:t>(1)</w:t>
            </w:r>
          </w:p>
        </w:tc>
        <w:tc>
          <w:tcPr>
            <w:tcW w:w="1300" w:type="dxa"/>
            <w:vAlign w:val="bottom"/>
          </w:tcPr>
          <w:p>
            <w:pPr>
              <w:spacing w:after="0"/>
              <w:rPr>
                <w:sz w:val="20"/>
                <w:szCs w:val="20"/>
                <w:color w:val="auto"/>
              </w:rPr>
            </w:pPr>
          </w:p>
        </w:tc>
        <w:tc>
          <w:tcPr>
            <w:tcW w:w="1180" w:type="dxa"/>
            <w:vAlign w:val="bottom"/>
            <w:gridSpan w:val="3"/>
          </w:tcPr>
          <w:p>
            <w:pPr>
              <w:jc w:val="center"/>
              <w:ind w:left="105"/>
              <w:spacing w:after="0"/>
              <w:rPr>
                <w:sz w:val="20"/>
                <w:szCs w:val="20"/>
                <w:color w:val="auto"/>
              </w:rPr>
            </w:pPr>
            <w:r>
              <w:rPr>
                <w:rFonts w:ascii="Times New Roman" w:cs="Times New Roman" w:eastAsia="Times New Roman" w:hAnsi="Times New Roman"/>
                <w:sz w:val="15"/>
                <w:szCs w:val="15"/>
                <w:color w:val="0000FF"/>
                <w:w w:val="99"/>
              </w:rPr>
              <w:t>05/20/2020</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12/11/2026</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10,905</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3"/>
              </w:rPr>
              <w:t>11.03</w:t>
            </w: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Partners, L.P.</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ind w:left="20"/>
              <w:spacing w:after="0" w:line="316" w:lineRule="exact"/>
              <w:rPr>
                <w:sz w:val="20"/>
                <w:szCs w:val="20"/>
                <w:color w:val="auto"/>
              </w:rPr>
            </w:pPr>
            <w:r>
              <w:rPr>
                <w:rFonts w:ascii="Times New Roman" w:cs="Times New Roman" w:eastAsia="Times New Roman" w:hAnsi="Times New Roman"/>
                <w:sz w:val="36"/>
                <w:szCs w:val="36"/>
                <w:color w:val="0000FF"/>
                <w:vertAlign w:val="subscript"/>
              </w:rPr>
              <w:t>II</w:t>
            </w:r>
            <w:r>
              <w:rPr>
                <w:rFonts w:ascii="Times New Roman" w:cs="Times New Roman" w:eastAsia="Times New Roman" w:hAnsi="Times New Roman"/>
                <w:sz w:val="12"/>
                <w:szCs w:val="12"/>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By: Legion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gridSpan w:val="4"/>
          </w:tcPr>
          <w:p>
            <w:pPr>
              <w:ind w:left="80"/>
              <w:spacing w:after="0" w:line="240" w:lineRule="exact"/>
              <w:rPr>
                <w:sz w:val="20"/>
                <w:szCs w:val="20"/>
                <w:color w:val="auto"/>
              </w:rPr>
            </w:pPr>
            <w:r>
              <w:rPr>
                <w:rFonts w:ascii="Times New Roman" w:cs="Times New Roman" w:eastAsia="Times New Roman" w:hAnsi="Times New Roman"/>
                <w:sz w:val="20"/>
                <w:szCs w:val="20"/>
                <w:color w:val="0000FF"/>
                <w:w w:val="95"/>
              </w:rPr>
              <w:t>Cash-Settled Total Return Swap</w:t>
            </w:r>
            <w:r>
              <w:rPr>
                <w:rFonts w:ascii="Times New Roman" w:cs="Times New Roman" w:eastAsia="Times New Roman" w:hAnsi="Times New Roman"/>
                <w:sz w:val="25"/>
                <w:szCs w:val="25"/>
                <w:color w:val="008000"/>
                <w:w w:val="95"/>
                <w:vertAlign w:val="superscript"/>
              </w:rPr>
              <w:t>(1)</w:t>
            </w:r>
          </w:p>
        </w:tc>
        <w:tc>
          <w:tcPr>
            <w:tcW w:w="1180" w:type="dxa"/>
            <w:vAlign w:val="bottom"/>
            <w:gridSpan w:val="3"/>
          </w:tcPr>
          <w:p>
            <w:pPr>
              <w:jc w:val="center"/>
              <w:ind w:left="125"/>
              <w:spacing w:after="0"/>
              <w:rPr>
                <w:sz w:val="20"/>
                <w:szCs w:val="20"/>
                <w:color w:val="auto"/>
              </w:rPr>
            </w:pPr>
            <w:r>
              <w:rPr>
                <w:rFonts w:ascii="Times New Roman" w:cs="Times New Roman" w:eastAsia="Times New Roman" w:hAnsi="Times New Roman"/>
                <w:sz w:val="13"/>
                <w:szCs w:val="13"/>
                <w:color w:val="008000"/>
                <w:w w:val="92"/>
              </w:rPr>
              <w:t>(6)</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01/30/2029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2,757,857</w:t>
            </w:r>
          </w:p>
        </w:tc>
        <w:tc>
          <w:tcPr>
            <w:tcW w:w="980" w:type="dxa"/>
            <w:vAlign w:val="bottom"/>
            <w:gridSpan w:val="2"/>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1"/>
              </w:rPr>
              <w:t>2.9853</w:t>
            </w:r>
            <w:r>
              <w:rPr>
                <w:rFonts w:ascii="Times New Roman" w:cs="Times New Roman" w:eastAsia="Times New Roman" w:hAnsi="Times New Roman"/>
                <w:sz w:val="25"/>
                <w:szCs w:val="25"/>
                <w:color w:val="008000"/>
                <w:w w:val="91"/>
                <w:vertAlign w:val="superscript"/>
              </w:rPr>
              <w:t>(7)</w:t>
            </w: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Partners, L.P.</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ind w:left="20"/>
              <w:spacing w:after="0" w:line="316" w:lineRule="exact"/>
              <w:rPr>
                <w:sz w:val="20"/>
                <w:szCs w:val="20"/>
                <w:color w:val="auto"/>
              </w:rPr>
            </w:pPr>
            <w:r>
              <w:rPr>
                <w:rFonts w:ascii="Times New Roman" w:cs="Times New Roman" w:eastAsia="Times New Roman" w:hAnsi="Times New Roman"/>
                <w:sz w:val="36"/>
                <w:szCs w:val="36"/>
                <w:color w:val="0000FF"/>
                <w:vertAlign w:val="subscript"/>
              </w:rPr>
              <w:t>I</w:t>
            </w:r>
            <w:r>
              <w:rPr>
                <w:rFonts w:ascii="Times New Roman" w:cs="Times New Roman" w:eastAsia="Times New Roman" w:hAnsi="Times New Roman"/>
                <w:sz w:val="12"/>
                <w:szCs w:val="12"/>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By: Legion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gridSpan w:val="4"/>
          </w:tcPr>
          <w:p>
            <w:pPr>
              <w:ind w:left="80"/>
              <w:spacing w:after="0" w:line="240" w:lineRule="exact"/>
              <w:rPr>
                <w:sz w:val="20"/>
                <w:szCs w:val="20"/>
                <w:color w:val="auto"/>
              </w:rPr>
            </w:pPr>
            <w:r>
              <w:rPr>
                <w:rFonts w:ascii="Times New Roman" w:cs="Times New Roman" w:eastAsia="Times New Roman" w:hAnsi="Times New Roman"/>
                <w:sz w:val="20"/>
                <w:szCs w:val="20"/>
                <w:color w:val="0000FF"/>
                <w:w w:val="95"/>
              </w:rPr>
              <w:t>Cash-Settled Total Return Swap</w:t>
            </w:r>
            <w:r>
              <w:rPr>
                <w:rFonts w:ascii="Times New Roman" w:cs="Times New Roman" w:eastAsia="Times New Roman" w:hAnsi="Times New Roman"/>
                <w:sz w:val="25"/>
                <w:szCs w:val="25"/>
                <w:color w:val="008000"/>
                <w:w w:val="95"/>
                <w:vertAlign w:val="superscript"/>
              </w:rPr>
              <w:t>(1)</w:t>
            </w:r>
          </w:p>
        </w:tc>
        <w:tc>
          <w:tcPr>
            <w:tcW w:w="1180" w:type="dxa"/>
            <w:vAlign w:val="bottom"/>
            <w:gridSpan w:val="3"/>
          </w:tcPr>
          <w:p>
            <w:pPr>
              <w:jc w:val="center"/>
              <w:ind w:left="125"/>
              <w:spacing w:after="0"/>
              <w:rPr>
                <w:sz w:val="20"/>
                <w:szCs w:val="20"/>
                <w:color w:val="auto"/>
              </w:rPr>
            </w:pPr>
            <w:r>
              <w:rPr>
                <w:rFonts w:ascii="Times New Roman" w:cs="Times New Roman" w:eastAsia="Times New Roman" w:hAnsi="Times New Roman"/>
                <w:sz w:val="13"/>
                <w:szCs w:val="13"/>
                <w:color w:val="008000"/>
                <w:w w:val="92"/>
              </w:rPr>
              <w:t>(6)</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01/30/2029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246,975</w:t>
            </w:r>
          </w:p>
        </w:tc>
        <w:tc>
          <w:tcPr>
            <w:tcW w:w="980" w:type="dxa"/>
            <w:vAlign w:val="bottom"/>
            <w:gridSpan w:val="2"/>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1"/>
              </w:rPr>
              <w:t>2.9327</w:t>
            </w:r>
            <w:r>
              <w:rPr>
                <w:rFonts w:ascii="Times New Roman" w:cs="Times New Roman" w:eastAsia="Times New Roman" w:hAnsi="Times New Roman"/>
                <w:sz w:val="25"/>
                <w:szCs w:val="25"/>
                <w:color w:val="008000"/>
                <w:w w:val="91"/>
                <w:vertAlign w:val="superscript"/>
              </w:rPr>
              <w:t>(7)</w:t>
            </w: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Partners, L.P.</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20"/>
              <w:spacing w:after="0" w:line="316" w:lineRule="exact"/>
              <w:rPr>
                <w:sz w:val="20"/>
                <w:szCs w:val="20"/>
                <w:color w:val="auto"/>
              </w:rPr>
            </w:pPr>
            <w:r>
              <w:rPr>
                <w:rFonts w:ascii="Times New Roman" w:cs="Times New Roman" w:eastAsia="Times New Roman" w:hAnsi="Times New Roman"/>
                <w:sz w:val="36"/>
                <w:szCs w:val="36"/>
                <w:color w:val="0000FF"/>
                <w:vertAlign w:val="subscript"/>
              </w:rPr>
              <w:t>II</w:t>
            </w:r>
            <w:r>
              <w:rPr>
                <w:rFonts w:ascii="Times New Roman" w:cs="Times New Roman" w:eastAsia="Times New Roman" w:hAnsi="Times New Roman"/>
                <w:sz w:val="12"/>
                <w:szCs w:val="12"/>
                <w:color w:val="008000"/>
              </w:rPr>
              <w:t>(3)</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4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gridSpan w:val="5"/>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Legion Partners Holdings, LLC</w:t>
              </w:r>
            </w:hyperlink>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(Last)</w:t>
            </w:r>
          </w:p>
        </w:tc>
        <w:tc>
          <w:tcPr>
            <w:tcW w:w="1300" w:type="dxa"/>
            <w:vAlign w:val="bottom"/>
          </w:tcPr>
          <w:p>
            <w:pPr>
              <w:ind w:left="40"/>
              <w:spacing w:after="0"/>
              <w:rPr>
                <w:sz w:val="20"/>
                <w:szCs w:val="20"/>
                <w:color w:val="auto"/>
              </w:rPr>
            </w:pPr>
            <w:r>
              <w:rPr>
                <w:rFonts w:ascii="Arial" w:cs="Arial" w:eastAsia="Arial" w:hAnsi="Arial"/>
                <w:sz w:val="15"/>
                <w:szCs w:val="15"/>
                <w:color w:val="auto"/>
              </w:rPr>
              <w:t>(First)</w:t>
            </w:r>
          </w:p>
        </w:tc>
        <w:tc>
          <w:tcPr>
            <w:tcW w:w="118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0940"/>
          </w:cols>
          <w:pgMar w:left="480" w:top="230" w:right="479" w:bottom="0" w:gutter="0" w:footer="0" w:header="0"/>
          <w:type w:val="continuous"/>
        </w:sectPr>
      </w:pPr>
    </w:p>
    <w:p>
      <w:pPr>
        <w:ind w:left="140"/>
        <w:spacing w:after="0"/>
        <w:rPr>
          <w:sz w:val="20"/>
          <w:szCs w:val="20"/>
          <w:color w:val="auto"/>
        </w:rPr>
      </w:pPr>
      <w:r>
        <w:rPr>
          <w:rFonts w:ascii="Times New Roman" w:cs="Times New Roman" w:eastAsia="Times New Roman" w:hAnsi="Times New Roman"/>
          <w:sz w:val="18"/>
          <w:szCs w:val="18"/>
          <w:color w:val="0000FF"/>
        </w:rPr>
        <w:t>12121 WILSHIRE BLVD.</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20"/>
        <w:spacing w:after="0"/>
        <w:rPr>
          <w:sz w:val="20"/>
          <w:szCs w:val="20"/>
          <w:color w:val="auto"/>
        </w:rPr>
      </w:pPr>
      <w:r>
        <w:rPr>
          <w:rFonts w:ascii="Times New Roman" w:cs="Times New Roman" w:eastAsia="Times New Roman" w:hAnsi="Times New Roman"/>
          <w:sz w:val="20"/>
          <w:szCs w:val="20"/>
          <w:color w:val="0000FF"/>
        </w:rPr>
        <w:t>SUITE 1240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-135255</wp:posOffset>
            </wp:positionV>
            <wp:extent cx="2798445"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20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4"/>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Legion Partners, L.P. I</w:t>
              </w:r>
            </w:hyperlink>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20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20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4"/>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Legion Partners, L.P. II</w:t>
              </w:r>
            </w:hyperlink>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20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20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Legion Partners Special Opportunities,</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L.P. XI</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2"/>
          </w:tcPr>
          <w:p>
            <w:pPr>
              <w:ind w:left="20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2"/>
          </w:tcPr>
          <w:p>
            <w:pPr>
              <w:ind w:left="20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2"/>
          </w:tcPr>
          <w:p>
            <w:pPr>
              <w:spacing w:after="0"/>
              <w:rPr>
                <w:sz w:val="8"/>
                <w:szCs w:val="8"/>
                <w:color w:val="auto"/>
              </w:rPr>
            </w:pPr>
          </w:p>
        </w:tc>
        <w:tc>
          <w:tcPr>
            <w:tcW w:w="20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3"/>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Legion Partners, LLC</w:t>
              </w:r>
            </w:hyperlink>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2"/>
          </w:tcPr>
          <w:p>
            <w:pPr>
              <w:ind w:left="20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2"/>
          </w:tcPr>
          <w:p>
            <w:pPr>
              <w:ind w:left="20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Legion Partners Asset Management, LLC</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12121 WILSHIRE BLVD.</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SUITE 1240</w:t>
      </w:r>
    </w:p>
    <w:p>
      <w:pPr>
        <w:sectPr>
          <w:pgSz w:w="11900" w:h="16838" w:orient="portrait"/>
          <w:cols w:equalWidth="0" w:num="1">
            <w:col w:w="9959"/>
          </w:cols>
          <w:pgMar w:left="500" w:top="124"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7"/>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3"/>
          </w:tcPr>
          <w:p>
            <w:pPr>
              <w:ind w:left="20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4"/>
          </w:tcPr>
          <w:p>
            <w:pPr>
              <w:spacing w:after="0" w:line="255" w:lineRule="exact"/>
              <w:rPr>
                <w:rFonts w:ascii="Times New Roman" w:cs="Times New Roman" w:eastAsia="Times New Roman" w:hAnsi="Times New Roman"/>
                <w:sz w:val="24"/>
                <w:szCs w:val="24"/>
                <w:color w:val="0000EE"/>
              </w:rPr>
            </w:pPr>
            <w:hyperlink r:id="rId19">
              <w:r>
                <w:rPr>
                  <w:rFonts w:ascii="Times New Roman" w:cs="Times New Roman" w:eastAsia="Times New Roman" w:hAnsi="Times New Roman"/>
                  <w:sz w:val="24"/>
                  <w:szCs w:val="24"/>
                  <w:color w:val="0000EE"/>
                </w:rPr>
                <w:t>Kiper Christopher S</w:t>
              </w:r>
            </w:hyperlink>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3"/>
          </w:tcPr>
          <w:p>
            <w:pPr>
              <w:ind w:left="20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3"/>
          </w:tcPr>
          <w:p>
            <w:pPr>
              <w:ind w:left="20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4"/>
          </w:tcPr>
          <w:p>
            <w:pPr>
              <w:spacing w:after="0" w:line="255" w:lineRule="exact"/>
              <w:rPr>
                <w:rFonts w:ascii="Times New Roman" w:cs="Times New Roman" w:eastAsia="Times New Roman" w:hAnsi="Times New Roman"/>
                <w:sz w:val="24"/>
                <w:szCs w:val="24"/>
                <w:color w:val="0000EE"/>
              </w:rPr>
            </w:pPr>
            <w:hyperlink r:id="rId20">
              <w:r>
                <w:rPr>
                  <w:rFonts w:ascii="Times New Roman" w:cs="Times New Roman" w:eastAsia="Times New Roman" w:hAnsi="Times New Roman"/>
                  <w:sz w:val="24"/>
                  <w:szCs w:val="24"/>
                  <w:color w:val="0000EE"/>
                </w:rPr>
                <w:t>White Raymond T.</w:t>
              </w:r>
            </w:hyperlink>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3"/>
          </w:tcPr>
          <w:p>
            <w:pPr>
              <w:ind w:left="20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12121 WILSHIRE BLVD.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20"/>
                <w:szCs w:val="20"/>
                <w:color w:val="0000FF"/>
              </w:rPr>
              <w:t>SUITE 1240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3"/>
          </w:tcPr>
          <w:p>
            <w:pPr>
              <w:ind w:left="20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-4651375</wp:posOffset>
            </wp:positionV>
            <wp:extent cx="2798445" cy="4739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2798445" cy="473900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40" w:firstLine="5"/>
        <w:spacing w:after="0" w:line="236"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filed jointly by Legion Partners, L.P. I ("Legion Partners I"), Legion Partners, L.P. II ("Legion Partners II"), Legion Partners Special Opportunities, L.P. XI ("Legion Partners Special Opportunities"), Legion Partners, LLC ("General Partner"), Legion Partners Asset Management, LLC ("Legion Partners Asset Management"), Legion Partners Holdings, LLC ("Legion Partners Holdings"), Christopher S. Kiper and Raymond T. White (collectively, the "Reporting Persons"). Each Reporting Person may be deemed to be a member of a Section 13(d) group that collectively beneficially owns more than 10% of the Issuer's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32"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owned directly by Legion Partners I. General Partner is the general partner of Legion Partners I, Legion Partners Asset Management is the investment advisor of Legion Partners 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w:t>
      </w:r>
    </w:p>
    <w:p>
      <w:pPr>
        <w:spacing w:after="0" w:line="33" w:lineRule="exact"/>
        <w:rPr>
          <w:rFonts w:ascii="Times New Roman" w:cs="Times New Roman" w:eastAsia="Times New Roman" w:hAnsi="Times New Roman"/>
          <w:sz w:val="15"/>
          <w:szCs w:val="15"/>
          <w:color w:val="008000"/>
        </w:rPr>
      </w:pPr>
    </w:p>
    <w:p>
      <w:pPr>
        <w:ind w:left="20" w:firstLine="5"/>
        <w:spacing w:after="0" w:line="262" w:lineRule="auto"/>
        <w:tabs>
          <w:tab w:leader="none" w:pos="17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Securities owned directly by Legion Partners II. General Partner is the general partner of Legion Partners II, Legion Partners Asset Management is the investment advisor of Legion Partners II,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II.</w:t>
      </w:r>
    </w:p>
    <w:p>
      <w:pPr>
        <w:spacing w:after="0" w:line="17" w:lineRule="exact"/>
        <w:rPr>
          <w:rFonts w:ascii="Times New Roman" w:cs="Times New Roman" w:eastAsia="Times New Roman" w:hAnsi="Times New Roman"/>
          <w:sz w:val="14"/>
          <w:szCs w:val="14"/>
          <w:color w:val="008000"/>
        </w:rPr>
      </w:pPr>
    </w:p>
    <w:p>
      <w:pPr>
        <w:ind w:left="2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owned directly by Legion Partners Special Opportunities. General Partner is the general partner of Legion Partners Special Opportunities, Legion Partners Asset Management is the investment advisor of Legion Partners Special Opportunities, Legion Partners Holdings is the sole member of Legion Partners Asset Management and managing member of General Partner, and each of Messrs. White and Kiper are managing directors of Legion Partners Asset Management and managing members of Legion Partners Holdings. As a result of these relationships, General Partner, Legion Partners Asset Management, Legion Partners Holdings and Messrs. White and Kiper may be deemed to beneficially own the securities owned directly by Legion Partners Special Opportunities.</w:t>
      </w:r>
    </w:p>
    <w:p>
      <w:pPr>
        <w:spacing w:after="0" w:line="33" w:lineRule="exact"/>
        <w:rPr>
          <w:rFonts w:ascii="Times New Roman" w:cs="Times New Roman" w:eastAsia="Times New Roman" w:hAnsi="Times New Roman"/>
          <w:sz w:val="15"/>
          <w:szCs w:val="15"/>
          <w:color w:val="008000"/>
        </w:rPr>
      </w:pPr>
    </w:p>
    <w:p>
      <w:pPr>
        <w:ind w:left="20" w:right="22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owned directly by Legion Partners Holdings. As managing members of Legion Partners Holdings, Messrs. Kiper and White may be deemed to beneficially own the securities owned directly by Legion Partners Holdings.</w:t>
      </w:r>
    </w:p>
    <w:p>
      <w:pPr>
        <w:spacing w:after="0" w:line="17" w:lineRule="exact"/>
        <w:rPr>
          <w:rFonts w:ascii="Times New Roman" w:cs="Times New Roman" w:eastAsia="Times New Roman" w:hAnsi="Times New Roman"/>
          <w:sz w:val="15"/>
          <w:szCs w:val="15"/>
          <w:color w:val="008000"/>
        </w:rPr>
      </w:pPr>
    </w:p>
    <w:p>
      <w:pPr>
        <w:ind w:left="20" w:right="16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 certain cash-settled total return swap agreements (the "Swap Agreements") with an unaffiliated third party financial institution, which provide economic exposure to the number of notional shares set forth in Column 3. The Swap Agreements provide the holder thereof with economic results that are comparable to the economic results of ownership but do not provide the power to vote or direct the voting or dispose of or direct the disposition of the shares of common stock that are the subject of the Swap Agreements (the "Subject Shares"). The Reporting Persons do not have the right or ability to convert the Subject Shares into shares of common stock at any time. Each Reporting Person expressly disclaims beneficial ownership of the Subject Shares except to the extent of his or its pecuniary interest therein.</w:t>
      </w:r>
    </w:p>
    <w:p>
      <w:pPr>
        <w:spacing w:after="0" w:line="33"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the reference price associated with the applicable Swap Agreement.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This Form 3 is being filed solely due to a decrease in the number of shares of the Issuer outstanding and not as a result of any acquisition of securities by the Reporting Persons.</w:t>
      </w:r>
    </w:p>
    <w:p>
      <w:pPr>
        <w:sectPr>
          <w:pgSz w:w="11900" w:h="16838" w:orient="portrait"/>
          <w:cols w:equalWidth="0" w:num="1">
            <w:col w:w="10860"/>
          </w:cols>
          <w:pgMar w:left="500" w:top="125" w:right="539" w:bottom="37" w:gutter="0" w:footer="0" w:header="0"/>
        </w:sectPr>
      </w:pPr>
    </w:p>
    <w:p>
      <w:pPr>
        <w:spacing w:after="0" w:line="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Legion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0365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By: /s/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388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S. Kiper,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7218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9721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1973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Legion Partners, L.P.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4554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By: 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0365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159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547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5473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615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Legion Partners, L.P.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868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8681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By: 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0365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159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80"/>
            <w:col w:w="2120"/>
          </w:cols>
          <w:pgMar w:left="500" w:top="125" w:right="539" w:bottom="37"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20"/>
          <w:szCs w:val="20"/>
          <w:color w:val="0000FF"/>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5473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547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Legion Partners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300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Opportunities, L.P. XI,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858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385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10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159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473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547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Legion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2461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Legion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365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888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 Kiper,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218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9721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973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9410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159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473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0547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7665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spacing w:after="0" w:line="5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6329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8640" w:space="8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10" Type="http://schemas.openxmlformats.org/officeDocument/2006/relationships/hyperlink" Target="http://www.sec.gov/cgi-bin/browse-edgar?action=getcompany&amp;CIK=0001682389" TargetMode="External"/><Relationship Id="rId11" Type="http://schemas.openxmlformats.org/officeDocument/2006/relationships/hyperlink" Target="http://www.sec.gov/cgi-bin/browse-edgar?action=getcompany&amp;CIK=0000918541" TargetMode="External"/><Relationship Id="rId14" Type="http://schemas.openxmlformats.org/officeDocument/2006/relationships/hyperlink" Target="http://www.sec.gov/cgi-bin/browse-edgar?action=getcompany&amp;CIK=0001595909" TargetMode="External"/><Relationship Id="rId15" Type="http://schemas.openxmlformats.org/officeDocument/2006/relationships/hyperlink" Target="http://www.sec.gov/cgi-bin/browse-edgar?action=getcompany&amp;CIK=0001618783" TargetMode="External"/><Relationship Id="rId16" Type="http://schemas.openxmlformats.org/officeDocument/2006/relationships/hyperlink" Target="http://www.sec.gov/cgi-bin/browse-edgar?action=getcompany&amp;CIK=0001768000" TargetMode="External"/><Relationship Id="rId17" Type="http://schemas.openxmlformats.org/officeDocument/2006/relationships/hyperlink" Target="http://www.sec.gov/cgi-bin/browse-edgar?action=getcompany&amp;CIK=0001682390" TargetMode="External"/><Relationship Id="rId18" Type="http://schemas.openxmlformats.org/officeDocument/2006/relationships/hyperlink" Target="http://www.sec.gov/cgi-bin/browse-edgar?action=getcompany&amp;CIK=0001560207" TargetMode="External"/><Relationship Id="rId19" Type="http://schemas.openxmlformats.org/officeDocument/2006/relationships/hyperlink" Target="http://www.sec.gov/cgi-bin/browse-edgar?action=getcompany&amp;CIK=0001432744" TargetMode="External"/><Relationship Id="rId20" Type="http://schemas.openxmlformats.org/officeDocument/2006/relationships/hyperlink" Target="http://www.sec.gov/cgi-bin/browse-edgar?action=getcompany&amp;CIK=00016824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2025-04-21T19:10:05Z</dcterms:created>
  <dcterms:modified xsi:type="dcterms:W3CDTF">2025-04-21T19:10:05Z</dcterms:modified>
</cp:coreProperties>
</file>