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MORRIS G RONALD</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NN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NNBR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gridSpan w:val="2"/>
            <w:vMerge w:val="restart"/>
          </w:tcPr>
          <w:p>
            <w:pPr>
              <w:ind w:left="140"/>
              <w:spacing w:after="0" w:line="157" w:lineRule="exact"/>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2000 WATERS EDGE DR.</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8"/>
                <w:szCs w:val="18"/>
                <w:color w:val="0000FF"/>
              </w:rPr>
              <w:t>12/02/2014</w:t>
            </w: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40" w:type="dxa"/>
            <w:vAlign w:val="bottom"/>
            <w:gridSpan w:val="5"/>
            <w:vMerge w:val="continue"/>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BUILDING C, SUITE 12</w:t>
            </w: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00" w:type="dxa"/>
            <w:vAlign w:val="bottom"/>
            <w:gridSpan w:val="7"/>
          </w:tcPr>
          <w:p>
            <w:pPr>
              <w:spacing w:after="0" w:line="155" w:lineRule="exact"/>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60" w:type="dxa"/>
            <w:vAlign w:val="bottom"/>
            <w:gridSpan w:val="7"/>
          </w:tcPr>
          <w:p>
            <w:pPr>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gridSpan w:val="2"/>
          </w:tcPr>
          <w:p>
            <w:pPr>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JOHNSON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1"/>
              </w:rPr>
              <w:t>TN</w:t>
            </w: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37604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line="129" w:lineRule="exact"/>
              <w:rPr>
                <w:sz w:val="20"/>
                <w:szCs w:val="20"/>
                <w:color w:val="auto"/>
              </w:rPr>
            </w:pPr>
            <w:r>
              <w:rPr>
                <w:rFonts w:ascii="Arial" w:cs="Arial" w:eastAsia="Arial" w:hAnsi="Arial"/>
                <w:sz w:val="14"/>
                <w:szCs w:val="14"/>
                <w:color w:val="0000FF"/>
              </w:rPr>
              <w:t>CITY</w:t>
            </w:r>
          </w:p>
        </w:tc>
        <w:tc>
          <w:tcPr>
            <w:tcW w:w="60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9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gridSpan w:val="2"/>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gridSpan w:val="3"/>
          </w:tcPr>
          <w:p>
            <w:pPr>
              <w:spacing w:after="0"/>
              <w:rPr>
                <w:sz w:val="11"/>
                <w:szCs w:val="11"/>
                <w:color w:val="auto"/>
              </w:rPr>
            </w:pPr>
          </w:p>
        </w:tc>
        <w:tc>
          <w:tcPr>
            <w:tcW w:w="31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18"/>
          </w:tcPr>
          <w:p>
            <w:pPr>
              <w:jc w:val="center"/>
              <w:ind w:right="33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8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4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w w:val="95"/>
              </w:rPr>
              <w:t>Price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4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w w:val="97"/>
              </w:rPr>
              <w:t>12/02/2014</w:t>
            </w: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5,000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gridSpan w:val="4"/>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20.36</w:t>
            </w:r>
            <w:r>
              <w:rPr>
                <w:rFonts w:ascii="Arial" w:cs="Arial" w:eastAsia="Arial" w:hAnsi="Arial"/>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65,600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580" w:type="dxa"/>
            <w:vAlign w:val="bottom"/>
            <w:tcBorders>
              <w:top w:val="single" w:sz="8" w:color="2C2C2C"/>
            </w:tcBorders>
            <w:gridSpan w:val="18"/>
          </w:tcPr>
          <w:p>
            <w:pPr>
              <w:jc w:val="center"/>
              <w:ind w:right="31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0" w:type="dxa"/>
            <w:vAlign w:val="bottom"/>
            <w:gridSpan w:val="15"/>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1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$20.22 to $20.48, inclusive. The reporting person undertakes to provide to NN, Inc., any security holder of NN, Inc., or the staff of the Securities and Exchange Commission, upon request, full information regarding the number of shares sold at each separate price within the range set forth in this footnote.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William C. Kelly, Jr. by</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12/04/2014</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560" w:type="dxa"/>
            <w:vAlign w:val="bottom"/>
            <w:tcBorders>
              <w:top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829"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2019-12-17T06:20:52Z</dcterms:created>
  <dcterms:modified xsi:type="dcterms:W3CDTF">2019-12-17T06:20:52Z</dcterms:modified>
</cp:coreProperties>
</file>