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147320</wp:posOffset>
            </wp:positionH>
            <wp:positionV relativeFrom="page">
              <wp:posOffset>109220</wp:posOffset>
            </wp:positionV>
            <wp:extent cx="72669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35560"/>
                    </a:xfrm>
                    <a:prstGeom prst="rect">
                      <a:avLst/>
                    </a:prstGeom>
                    <a:noFill/>
                  </pic:spPr>
                </pic:pic>
              </a:graphicData>
            </a:graphic>
          </wp:anchor>
        </w:drawing>
        <w:t>UNITED STATES</w:t>
      </w:r>
    </w:p>
    <w:p>
      <w:pPr>
        <w:spacing w:after="0" w:line="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Washington, D. C. 20549</w:t>
      </w:r>
    </w:p>
    <w:p>
      <w:pPr>
        <w:spacing w:after="0" w:line="17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3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(Rule 14a-10)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INFORMATION REQUIRED IN PROXY STATEMENT</w:t>
      </w:r>
    </w:p>
    <w:p>
      <w:pPr>
        <w:spacing w:after="0" w:line="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SCHEDULE 14A INFORMATION</w:t>
      </w:r>
    </w:p>
    <w:p>
      <w:pPr>
        <w:spacing w:after="0" w:line="19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Proxy Statement Pursuant to Section 14(a) of the Securities</w:t>
      </w:r>
    </w:p>
    <w:p>
      <w:pPr>
        <w:spacing w:after="0" w:line="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Exchange Act of 1934 (Amendment No. __)</w:t>
      </w:r>
    </w:p>
    <w:p>
      <w:pPr>
        <w:spacing w:after="0" w:line="200" w:lineRule="exact"/>
        <w:rPr>
          <w:sz w:val="24"/>
          <w:szCs w:val="24"/>
          <w:color w:val="auto"/>
        </w:rPr>
      </w:pP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Filed by the Registrant x</w:t>
      </w:r>
    </w:p>
    <w:p>
      <w:pPr>
        <w:spacing w:after="0" w:line="23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Filed by a Party other than the Registrant o</w:t>
      </w:r>
    </w:p>
    <w:p>
      <w:pPr>
        <w:spacing w:after="0" w:line="23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35" w:lineRule="exact"/>
        <w:rPr>
          <w:sz w:val="24"/>
          <w:szCs w:val="24"/>
          <w:color w:val="auto"/>
        </w:rPr>
      </w:pPr>
    </w:p>
    <w:p>
      <w:pPr>
        <w:ind w:left="144" w:hanging="144"/>
        <w:spacing w:after="0"/>
        <w:tabs>
          <w:tab w:leader="none" w:pos="14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Proxy Statement</w:t>
      </w:r>
    </w:p>
    <w:p>
      <w:pPr>
        <w:spacing w:after="0" w:line="235" w:lineRule="exact"/>
        <w:rPr>
          <w:rFonts w:ascii="Times New Roman" w:cs="Times New Roman" w:eastAsia="Times New Roman" w:hAnsi="Times New Roman"/>
          <w:sz w:val="14"/>
          <w:szCs w:val="14"/>
          <w:color w:val="auto"/>
        </w:rPr>
      </w:pPr>
    </w:p>
    <w:p>
      <w:pPr>
        <w:ind w:left="4" w:right="6640" w:hanging="4"/>
        <w:spacing w:after="0" w:line="590" w:lineRule="auto"/>
        <w:tabs>
          <w:tab w:leader="none" w:pos="1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for use of the Commission only (as permitted by Rule 14a-6(e)(2)) x Definitive Proxy Statement</w:t>
      </w:r>
    </w:p>
    <w:p>
      <w:pPr>
        <w:spacing w:after="0" w:line="1" w:lineRule="exact"/>
        <w:rPr>
          <w:rFonts w:ascii="Times New Roman" w:cs="Times New Roman" w:eastAsia="Times New Roman" w:hAnsi="Times New Roman"/>
          <w:sz w:val="14"/>
          <w:szCs w:val="14"/>
          <w:color w:val="auto"/>
        </w:rPr>
      </w:pPr>
    </w:p>
    <w:p>
      <w:pPr>
        <w:ind w:left="144" w:hanging="144"/>
        <w:spacing w:after="0"/>
        <w:tabs>
          <w:tab w:leader="none" w:pos="14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Definitive Additional Materials</w:t>
      </w:r>
    </w:p>
    <w:p>
      <w:pPr>
        <w:spacing w:after="0" w:line="235" w:lineRule="exact"/>
        <w:rPr>
          <w:rFonts w:ascii="Times New Roman" w:cs="Times New Roman" w:eastAsia="Times New Roman" w:hAnsi="Times New Roman"/>
          <w:sz w:val="14"/>
          <w:szCs w:val="14"/>
          <w:color w:val="auto"/>
        </w:rPr>
      </w:pPr>
    </w:p>
    <w:p>
      <w:pPr>
        <w:ind w:left="144" w:hanging="144"/>
        <w:spacing w:after="0"/>
        <w:tabs>
          <w:tab w:leader="none" w:pos="14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Soliciting Material Pursuant to Rule 14a-12</w:t>
      </w:r>
    </w:p>
    <w:p>
      <w:pPr>
        <w:spacing w:after="0" w:line="2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8"/>
          <w:szCs w:val="38"/>
          <w:b w:val="1"/>
          <w:bCs w:val="1"/>
          <w:color w:val="auto"/>
        </w:rPr>
        <w:t>NN, INC.</w:t>
      </w:r>
    </w:p>
    <w:p>
      <w:pPr>
        <w:spacing w:after="0" w:line="4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(Name of Registrant as Specified in Its Charter)</w:t>
      </w:r>
    </w:p>
    <w:p>
      <w:pPr>
        <w:spacing w:after="0" w:line="19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(Name of Person(s) Filing Proxy Statement, if Other Than the Registrant)</w:t>
      </w:r>
    </w:p>
    <w:p>
      <w:pPr>
        <w:spacing w:after="0" w:line="19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9"/>
          <w:szCs w:val="19"/>
          <w:color w:val="auto"/>
        </w:rPr>
        <w:t>Payment of Filing Fee (Check the appropriate box):</w:t>
      </w:r>
    </w:p>
    <w:p>
      <w:pPr>
        <w:spacing w:after="0" w:line="21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9"/>
          <w:szCs w:val="19"/>
          <w:color w:val="auto"/>
        </w:rPr>
        <w:t>x No fee required.</w:t>
      </w:r>
    </w:p>
    <w:p>
      <w:pPr>
        <w:spacing w:after="0" w:line="21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9"/>
          <w:szCs w:val="19"/>
          <w:color w:val="auto"/>
        </w:rPr>
        <w:t>o  Fee computed on table below per Exchange Act Rules 14a-6(i)(1) and 0-11.</w:t>
      </w:r>
    </w:p>
    <w:p>
      <w:pPr>
        <w:spacing w:after="0" w:line="214" w:lineRule="exact"/>
        <w:rPr>
          <w:sz w:val="24"/>
          <w:szCs w:val="24"/>
          <w:color w:val="auto"/>
        </w:rPr>
      </w:pPr>
    </w:p>
    <w:p>
      <w:pPr>
        <w:ind w:left="324" w:hanging="324"/>
        <w:spacing w:after="0"/>
        <w:tabs>
          <w:tab w:leader="none" w:pos="32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Title of each class of securities to which transaction applies:</w:t>
      </w:r>
    </w:p>
    <w:p>
      <w:pPr>
        <w:spacing w:after="0" w:line="19" w:lineRule="exact"/>
        <w:rPr>
          <w:rFonts w:ascii="Times New Roman" w:cs="Times New Roman" w:eastAsia="Times New Roman" w:hAnsi="Times New Roman"/>
          <w:sz w:val="19"/>
          <w:szCs w:val="19"/>
          <w:color w:val="auto"/>
        </w:rPr>
      </w:pPr>
    </w:p>
    <w:p>
      <w:pPr>
        <w:ind w:left="324" w:hanging="324"/>
        <w:spacing w:after="0" w:line="237" w:lineRule="auto"/>
        <w:tabs>
          <w:tab w:leader="none" w:pos="32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Aggregate number of securities to which transaction applies:</w:t>
      </w:r>
    </w:p>
    <w:p>
      <w:pPr>
        <w:ind w:left="4" w:right="160" w:hanging="4"/>
        <w:spacing w:after="0" w:line="237" w:lineRule="auto"/>
        <w:tabs>
          <w:tab w:leader="none" w:pos="32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 unit price or other underlying value of transaction computed pursuant to Exchange Act Rule 0-11 (set forth the amount on which the filing fee is calculated and state how it was determined):</w:t>
      </w:r>
    </w:p>
    <w:p>
      <w:pPr>
        <w:ind w:left="324" w:hanging="324"/>
        <w:spacing w:after="0" w:line="237" w:lineRule="auto"/>
        <w:tabs>
          <w:tab w:leader="none" w:pos="32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Proposed maximum aggregate value of transaction:</w:t>
      </w:r>
    </w:p>
    <w:p>
      <w:pPr>
        <w:ind w:left="324" w:hanging="324"/>
        <w:spacing w:after="0"/>
        <w:tabs>
          <w:tab w:leader="none" w:pos="32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fee paid:</w:t>
      </w:r>
    </w:p>
    <w:p>
      <w:pPr>
        <w:spacing w:after="0" w:line="192" w:lineRule="exact"/>
        <w:rPr>
          <w:sz w:val="24"/>
          <w:szCs w:val="24"/>
          <w:color w:val="auto"/>
        </w:rPr>
      </w:pPr>
    </w:p>
    <w:p>
      <w:pPr>
        <w:ind w:left="184" w:hanging="184"/>
        <w:spacing w:after="0"/>
        <w:tabs>
          <w:tab w:leader="none" w:pos="18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Fee paid previously with preliminary materials:</w:t>
      </w:r>
    </w:p>
    <w:p>
      <w:pPr>
        <w:spacing w:after="0" w:line="213" w:lineRule="exact"/>
        <w:rPr>
          <w:rFonts w:ascii="Times New Roman" w:cs="Times New Roman" w:eastAsia="Times New Roman" w:hAnsi="Times New Roman"/>
          <w:sz w:val="19"/>
          <w:szCs w:val="19"/>
          <w:color w:val="auto"/>
        </w:rPr>
      </w:pPr>
    </w:p>
    <w:p>
      <w:pPr>
        <w:ind w:left="4" w:hanging="4"/>
        <w:spacing w:after="0" w:line="273" w:lineRule="auto"/>
        <w:tabs>
          <w:tab w:leader="none" w:pos="196"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2" w:lineRule="exact"/>
        <w:rPr>
          <w:sz w:val="24"/>
          <w:szCs w:val="24"/>
          <w:color w:val="auto"/>
        </w:rPr>
      </w:pPr>
    </w:p>
    <w:p>
      <w:pPr>
        <w:ind w:left="264" w:hanging="264"/>
        <w:spacing w:after="0"/>
        <w:tabs>
          <w:tab w:leader="none" w:pos="26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 previously paid:</w:t>
      </w:r>
    </w:p>
    <w:p>
      <w:pPr>
        <w:spacing w:after="0" w:line="19" w:lineRule="exact"/>
        <w:rPr>
          <w:rFonts w:ascii="Times New Roman" w:cs="Times New Roman" w:eastAsia="Times New Roman" w:hAnsi="Times New Roman"/>
          <w:sz w:val="19"/>
          <w:szCs w:val="19"/>
          <w:color w:val="auto"/>
        </w:rPr>
      </w:pPr>
    </w:p>
    <w:p>
      <w:pPr>
        <w:ind w:left="264" w:hanging="264"/>
        <w:spacing w:after="0" w:line="237" w:lineRule="auto"/>
        <w:tabs>
          <w:tab w:leader="none" w:pos="26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Schedule or Registration Statement no.:</w:t>
      </w:r>
    </w:p>
    <w:p>
      <w:pPr>
        <w:ind w:left="264" w:hanging="264"/>
        <w:spacing w:after="0" w:line="237" w:lineRule="auto"/>
        <w:tabs>
          <w:tab w:leader="none" w:pos="26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Filing party:</w:t>
      </w:r>
    </w:p>
    <w:p>
      <w:pPr>
        <w:ind w:left="264" w:hanging="264"/>
        <w:spacing w:after="0"/>
        <w:tabs>
          <w:tab w:leader="none" w:pos="26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694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940" cy="40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494030</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498"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1309370</wp:posOffset>
            </wp:positionV>
            <wp:extent cx="503555" cy="495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0355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9"/>
          <w:szCs w:val="29"/>
          <w:b w:val="1"/>
          <w:bCs w:val="1"/>
          <w:color w:val="auto"/>
        </w:rPr>
        <w:t>NN, Inc.</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19"/>
                <w:szCs w:val="19"/>
                <w:color w:val="auto"/>
              </w:rPr>
            </w:pPr>
          </w:p>
        </w:tc>
        <w:tc>
          <w:tcPr>
            <w:tcW w:w="1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Corporate Office</w:t>
            </w:r>
          </w:p>
        </w:tc>
        <w:tc>
          <w:tcPr>
            <w:tcW w:w="1420" w:type="dxa"/>
            <w:vAlign w:val="bottom"/>
            <w:tcBorders>
              <w:bottom w:val="single" w:sz="8" w:color="auto"/>
            </w:tcBorders>
          </w:tcPr>
          <w:p>
            <w:pPr>
              <w:spacing w:after="0"/>
              <w:rPr>
                <w:sz w:val="19"/>
                <w:szCs w:val="19"/>
                <w:color w:val="auto"/>
              </w:rPr>
            </w:pPr>
          </w:p>
        </w:tc>
        <w:tc>
          <w:tcPr>
            <w:tcW w:w="7540" w:type="dxa"/>
            <w:vAlign w:val="bottom"/>
            <w:tcBorders>
              <w:bottom w:val="single" w:sz="8" w:color="auto"/>
            </w:tcBorders>
          </w:tcPr>
          <w:p>
            <w:pPr>
              <w:ind w:left="5240"/>
              <w:spacing w:after="0"/>
              <w:rPr>
                <w:sz w:val="20"/>
                <w:szCs w:val="20"/>
                <w:color w:val="auto"/>
              </w:rPr>
            </w:pPr>
            <w:r>
              <w:rPr>
                <w:rFonts w:ascii="Times New Roman" w:cs="Times New Roman" w:eastAsia="Times New Roman" w:hAnsi="Times New Roman"/>
                <w:sz w:val="19"/>
                <w:szCs w:val="19"/>
                <w:color w:val="auto"/>
              </w:rPr>
              <w:t>www.nnbr.com</w:t>
            </w:r>
          </w:p>
        </w:tc>
      </w:tr>
      <w:tr>
        <w:trPr>
          <w:trHeight w:val="240"/>
        </w:trPr>
        <w:tc>
          <w:tcPr>
            <w:tcW w:w="800" w:type="dxa"/>
            <w:vAlign w:val="bottom"/>
          </w:tcPr>
          <w:p>
            <w:pPr>
              <w:spacing w:after="0"/>
              <w:rPr>
                <w:sz w:val="20"/>
                <w:szCs w:val="20"/>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2000 Waters Edge Drive</w:t>
            </w:r>
          </w:p>
        </w:tc>
        <w:tc>
          <w:tcPr>
            <w:tcW w:w="1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Building C, Suite 12</w:t>
            </w:r>
          </w:p>
        </w:tc>
        <w:tc>
          <w:tcPr>
            <w:tcW w:w="7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Johnson City, TN 37604</w:t>
            </w:r>
          </w:p>
        </w:tc>
      </w:tr>
      <w:tr>
        <w:trPr>
          <w:trHeight w:val="140"/>
        </w:trPr>
        <w:tc>
          <w:tcPr>
            <w:tcW w:w="800" w:type="dxa"/>
            <w:vAlign w:val="bottom"/>
          </w:tcPr>
          <w:p>
            <w:pPr>
              <w:spacing w:after="0"/>
              <w:rPr>
                <w:sz w:val="12"/>
                <w:szCs w:val="12"/>
                <w:color w:val="auto"/>
              </w:rPr>
            </w:pPr>
          </w:p>
        </w:tc>
        <w:tc>
          <w:tcPr>
            <w:tcW w:w="1680" w:type="dxa"/>
            <w:vAlign w:val="bottom"/>
          </w:tcPr>
          <w:p>
            <w:pPr>
              <w:spacing w:after="0" w:line="14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ind w:left="40"/>
              <w:spacing w:after="0" w:line="140" w:lineRule="exact"/>
              <w:rPr>
                <w:sz w:val="20"/>
                <w:szCs w:val="20"/>
                <w:color w:val="auto"/>
              </w:rPr>
            </w:pPr>
            <w:r>
              <w:rPr>
                <w:rFonts w:ascii="Times New Roman" w:cs="Times New Roman" w:eastAsia="Times New Roman" w:hAnsi="Times New Roman"/>
                <w:sz w:val="16"/>
                <w:szCs w:val="16"/>
                <w:color w:val="auto"/>
              </w:rPr>
              <w:t>•</w:t>
            </w:r>
          </w:p>
        </w:tc>
        <w:tc>
          <w:tcPr>
            <w:tcW w:w="7540" w:type="dxa"/>
            <w:vAlign w:val="bottom"/>
          </w:tcPr>
          <w:p>
            <w:pPr>
              <w:spacing w:after="0"/>
              <w:rPr>
                <w:sz w:val="12"/>
                <w:szCs w:val="12"/>
                <w:color w:val="auto"/>
              </w:rPr>
            </w:pPr>
          </w:p>
        </w:tc>
      </w:tr>
      <w:tr>
        <w:trPr>
          <w:trHeight w:val="221"/>
        </w:trPr>
        <w:tc>
          <w:tcPr>
            <w:tcW w:w="24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423-743-9151</w:t>
            </w:r>
          </w:p>
        </w:tc>
        <w:tc>
          <w:tcPr>
            <w:tcW w:w="1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fax 423-743-2670</w:t>
            </w:r>
          </w:p>
        </w:tc>
        <w:tc>
          <w:tcPr>
            <w:tcW w:w="7540" w:type="dxa"/>
            <w:vAlign w:val="bottom"/>
          </w:tcPr>
          <w:p>
            <w:pPr>
              <w:spacing w:after="0"/>
              <w:rPr>
                <w:sz w:val="19"/>
                <w:szCs w:val="19"/>
                <w:color w:val="auto"/>
              </w:rPr>
            </w:pPr>
          </w:p>
        </w:tc>
      </w:tr>
      <w:tr>
        <w:trPr>
          <w:trHeight w:val="625"/>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20, 2009</w:t>
            </w:r>
          </w:p>
        </w:tc>
        <w:tc>
          <w:tcPr>
            <w:tcW w:w="142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408"/>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Dear Shareholder:</w:t>
            </w:r>
          </w:p>
        </w:tc>
        <w:tc>
          <w:tcPr>
            <w:tcW w:w="1420" w:type="dxa"/>
            <w:vAlign w:val="bottom"/>
          </w:tcPr>
          <w:p>
            <w:pPr>
              <w:spacing w:after="0"/>
              <w:rPr>
                <w:sz w:val="24"/>
                <w:szCs w:val="24"/>
                <w:color w:val="auto"/>
              </w:rPr>
            </w:pPr>
          </w:p>
        </w:tc>
        <w:tc>
          <w:tcPr>
            <w:tcW w:w="7540" w:type="dxa"/>
            <w:vAlign w:val="bottom"/>
          </w:tcPr>
          <w:p>
            <w:pPr>
              <w:spacing w:after="0"/>
              <w:rPr>
                <w:sz w:val="24"/>
                <w:szCs w:val="24"/>
                <w:color w:val="auto"/>
              </w:rPr>
            </w:pPr>
          </w:p>
        </w:tc>
      </w:tr>
    </w:tbl>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You are cordially invited to attend the 2009 Annual Meeting of NN, Inc., which will be held on May 21, 2009, at 10:00 a.m., local time, at the Renaissance Suites Charlotte Hotel, 2800 Coliseum Centre Drive, Charlotte, North Carolina 28217.</w:t>
      </w:r>
    </w:p>
    <w:p>
      <w:pPr>
        <w:spacing w:after="0" w:line="1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6"/>
          <w:szCs w:val="16"/>
          <w:color w:val="auto"/>
        </w:rPr>
        <w:t>The business to be conducted at the Annual Meeting is described in the attached Notice of Meeting and Proxy Statement. You are urged to read the Proxy Statement carefully before completing the enclosed proxy card.</w:t>
      </w:r>
    </w:p>
    <w:p>
      <w:pPr>
        <w:spacing w:after="0" w:line="1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6"/>
          <w:szCs w:val="16"/>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 Management will not conduct a formal presentation at this year’s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/s/Roderick R. Baty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Roderick R. Baty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642620</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2000 Waters Edge Drive, Building C, Suite 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Johnson City, TN 37604</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OF ANNUAL MEETING OF SHAREHOLDERS</w:t>
      </w:r>
    </w:p>
    <w:p>
      <w:pPr>
        <w:spacing w:after="0" w:line="200" w:lineRule="exact"/>
        <w:rPr>
          <w:sz w:val="20"/>
          <w:szCs w:val="20"/>
          <w:color w:val="auto"/>
        </w:rPr>
      </w:pPr>
    </w:p>
    <w:p>
      <w:pPr>
        <w:spacing w:after="0" w:line="24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6"/>
          <w:szCs w:val="16"/>
          <w:color w:val="auto"/>
        </w:rPr>
        <w:t>Notice is hereby given that the Annual Meeting of Shareholders of NN, Inc., a Delaware corporation, will be held on May 21, 2009, at 10:00 a.m., local time, at Renaissance Suites Charlotte Hotel, 2800 Coliseum Centre Drive, Charlotte, North Carolina 28217, for the following purposes:</w:t>
      </w:r>
    </w:p>
    <w:p>
      <w:pPr>
        <w:spacing w:after="0" w:line="168" w:lineRule="exact"/>
        <w:rPr>
          <w:sz w:val="20"/>
          <w:szCs w:val="20"/>
          <w:color w:val="auto"/>
        </w:rPr>
      </w:pPr>
    </w:p>
    <w:p>
      <w:pPr>
        <w:ind w:left="1140" w:hanging="257"/>
        <w:spacing w:after="0"/>
        <w:tabs>
          <w:tab w:leader="none" w:pos="114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two Class II directors, to serve for a term of three years;</w:t>
      </w:r>
    </w:p>
    <w:p>
      <w:pPr>
        <w:spacing w:after="0" w:line="24" w:lineRule="exact"/>
        <w:rPr>
          <w:rFonts w:ascii="Times New Roman" w:cs="Times New Roman" w:eastAsia="Times New Roman" w:hAnsi="Times New Roman"/>
          <w:sz w:val="16"/>
          <w:szCs w:val="16"/>
          <w:color w:val="auto"/>
        </w:rPr>
      </w:pPr>
    </w:p>
    <w:p>
      <w:pPr>
        <w:ind w:left="1120" w:hanging="273"/>
        <w:spacing w:after="0" w:line="250" w:lineRule="auto"/>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PricewaterhouseCoopers LLP as the Company’s registered independent public accounting firm for the fiscal year ending December 31, 2009; and</w:t>
      </w:r>
    </w:p>
    <w:p>
      <w:pPr>
        <w:spacing w:after="0" w:line="1" w:lineRule="exact"/>
        <w:rPr>
          <w:rFonts w:ascii="Times New Roman" w:cs="Times New Roman" w:eastAsia="Times New Roman" w:hAnsi="Times New Roman"/>
          <w:sz w:val="16"/>
          <w:szCs w:val="16"/>
          <w:color w:val="auto"/>
        </w:rPr>
      </w:pPr>
    </w:p>
    <w:p>
      <w:pPr>
        <w:ind w:left="1120" w:hanging="273"/>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conduct such other business as properly may come before the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 RECOMMENDS A VOTE FOR THESE PROPOSALS.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regarding these matters are contained in the accompanying Proxy Statement.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of record of Common Stock at the close of business on March 25, 2009, are entitled to notice of and to vote at the Annual Meeting.</w:t>
      </w:r>
    </w:p>
    <w:p>
      <w:pPr>
        <w:spacing w:after="0" w:line="22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6"/>
          <w:szCs w:val="16"/>
          <w:color w:val="auto"/>
        </w:rPr>
        <w:t>Please mark, date and sign the enclosed proxy card and return it in the envelope provided. You may revoke your proxy at any time before the votes are cast at the Annual Meeting in accordance with the instructions given in the accompanying Proxy Statement.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/s/William C. Kelly, Jr.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William C. Kelly, Jr.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Secretary, and Chief Administrative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Johnson City, Tennessee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26694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NN, INC.</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PROXY STATEMENT</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2009 ANNUAL MEETING OF SHAREHOLDERS</w:t>
      </w:r>
    </w:p>
    <w:p>
      <w:pPr>
        <w:spacing w:after="0" w:line="200" w:lineRule="exact"/>
        <w:rPr>
          <w:sz w:val="20"/>
          <w:szCs w:val="20"/>
          <w:color w:val="auto"/>
        </w:rPr>
      </w:pPr>
    </w:p>
    <w:p>
      <w:pPr>
        <w:spacing w:after="0" w:line="2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 xml:space="preserve">Proxies are being solicited by the board of directors of NN, Inc. (the "Company"), in connection with the annual meeting of shareholders to be held on May 21, 2009 at the </w:t>
      </w:r>
      <w:r>
        <w:rPr>
          <w:rFonts w:ascii="Times New Roman" w:cs="Times New Roman" w:eastAsia="Times New Roman" w:hAnsi="Times New Roman"/>
          <w:sz w:val="16"/>
          <w:szCs w:val="16"/>
          <w:b w:val="1"/>
          <w:bCs w:val="1"/>
          <w:color w:val="auto"/>
        </w:rPr>
        <w:t xml:space="preserve">Renaissance Charlotte Suites Hotel, 2800 Coliseum Centre Drive, Charlotte, North Carolina 28217 </w:t>
      </w:r>
      <w:r>
        <w:rPr>
          <w:rFonts w:ascii="Times New Roman" w:cs="Times New Roman" w:eastAsia="Times New Roman" w:hAnsi="Times New Roman"/>
          <w:sz w:val="16"/>
          <w:szCs w:val="16"/>
          <w:color w:val="auto"/>
        </w:rPr>
        <w:t>(the "Annual Meeting"), for the purpose of considering and acting upon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matters set forth in the foregoing Notice of Annual Meeting of Shareholders (the "Notice"). Shareholders of record of the Company's common stock, par value $0.01 per share ("Common Stock"), as of the close of business on March 25, 2009, will be entitled to vote at the meeting. On March 25, 2009 (the "Record Date"), 16,267,924 shares of Common Stock were issued and outstanding.</w:t>
      </w:r>
    </w:p>
    <w:p>
      <w:pPr>
        <w:spacing w:after="0" w:line="188" w:lineRule="exact"/>
        <w:rPr>
          <w:sz w:val="20"/>
          <w:szCs w:val="20"/>
          <w:color w:val="auto"/>
        </w:rPr>
      </w:pPr>
    </w:p>
    <w:p>
      <w:pPr>
        <w:ind w:right="580"/>
        <w:spacing w:after="0" w:line="292" w:lineRule="auto"/>
        <w:rPr>
          <w:sz w:val="20"/>
          <w:szCs w:val="20"/>
          <w:color w:val="auto"/>
        </w:rPr>
      </w:pPr>
      <w:r>
        <w:rPr>
          <w:rFonts w:ascii="Times New Roman" w:cs="Times New Roman" w:eastAsia="Times New Roman" w:hAnsi="Times New Roman"/>
          <w:sz w:val="15"/>
          <w:szCs w:val="15"/>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6"/>
          <w:szCs w:val="16"/>
          <w:color w:val="auto"/>
        </w:rPr>
        <w:t>The mailing address of the Company's executive office is 2000 Waters Edge Drive, Building C, Suite 12, Johnson City, Tennessee 37604. This Proxy Statement and the form of proxy were mailed to shareholders on or about April 20, 2009.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Quorum; Proxies</w:t>
      </w:r>
    </w:p>
    <w:p>
      <w:pPr>
        <w:spacing w:after="0" w:line="2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Each share of Common Stock outstanding on the Record Date is entitled to one vote on each matter submitted to a vote of shareholders at the Annual Meeting. A quorum for the conduct of business is established when the holders of at least a majority of the outstanding shares of Common Stock entitled to vote in the election of directors is present at the meeting or is represented by proxy. Representatives of the Company will serve as inspectors of election for the Annual Meeting.</w:t>
      </w:r>
    </w:p>
    <w:p>
      <w:pPr>
        <w:spacing w:after="0" w:line="1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6"/>
          <w:szCs w:val="16"/>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named herein and for the proposal to ratify the selection of PricewaterhouseCoopers LLP to serve as the Company's registered independent public accounting firm for 2009.</w:t>
      </w:r>
    </w:p>
    <w:p>
      <w:pPr>
        <w:spacing w:after="0" w:line="1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A proxy may be revoked at any time before it is exercised by delivery to the Secretary of the Company of a written revocation or a subsequently dated proxy and will be deemed revoked if the shareholder votes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755650</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46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Required Vote</w:t>
      </w:r>
    </w:p>
    <w:p>
      <w:pPr>
        <w:spacing w:after="0" w:line="248"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 xml:space="preserve">Proposal I: </w:t>
      </w:r>
      <w:r>
        <w:rPr>
          <w:rFonts w:ascii="Times New Roman" w:cs="Times New Roman" w:eastAsia="Times New Roman" w:hAnsi="Times New Roman"/>
          <w:sz w:val="16"/>
          <w:szCs w:val="16"/>
          <w:i w:val="1"/>
          <w:iCs w:val="1"/>
          <w:color w:val="auto"/>
        </w:rPr>
        <w:t>Election of Directors.</w:t>
      </w:r>
      <w:r>
        <w:rPr>
          <w:rFonts w:ascii="Times New Roman" w:cs="Times New Roman" w:eastAsia="Times New Roman" w:hAnsi="Times New Roman"/>
          <w:sz w:val="16"/>
          <w:szCs w:val="16"/>
          <w:color w:val="auto"/>
        </w:rPr>
        <w:t xml:space="preserve"> Directors are elected by a plurality of the votes cast in person or by proxy. Abstentions and broker non-votes will not be taken into account in determining the outcome of the election.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 xml:space="preserve">Proposal II: </w:t>
      </w:r>
      <w:r>
        <w:rPr>
          <w:rFonts w:ascii="Times New Roman" w:cs="Times New Roman" w:eastAsia="Times New Roman" w:hAnsi="Times New Roman"/>
          <w:sz w:val="16"/>
          <w:szCs w:val="16"/>
          <w:i w:val="1"/>
          <w:iCs w:val="1"/>
          <w:color w:val="auto"/>
        </w:rPr>
        <w:t>Ratification of Registered Independent Public Accounting Firm.</w:t>
      </w:r>
      <w:r>
        <w:rPr>
          <w:rFonts w:ascii="Times New Roman" w:cs="Times New Roman" w:eastAsia="Times New Roman" w:hAnsi="Times New Roman"/>
          <w:sz w:val="16"/>
          <w:szCs w:val="16"/>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not be considered present and will not be entitled to vote on non-routine items and will have no impact on the vote for this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Submission of Shareholder Proposals</w:t>
      </w:r>
    </w:p>
    <w:p>
      <w:pPr>
        <w:spacing w:after="0" w:line="2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Any shareholder proposal intended to be presented at next year's Annual Meeting must be received by the Company at its executive offices not later than December 15, 2009 in order to be considered for inclusion in the Company's proxy statement and form of proxy for such meeting. These proposals should be sent to NN, Inc., Attention: Secretary, 2000 Waters Edge Drive, Building C, Suite 12, Johnson City, Tennessee 37604. Proposals of shareholders not intended for inclusion in the Company’s 2010 proxy statement must be received by the Company in writing no later than February 28, 2010 in order to preclude the Company’s use of its discretionary proxy voting authority to vote on the proposal or nominee if the proponent is present at the 2010 annual meeting.</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469" w:right="2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Election of Directors</w:t>
      </w:r>
    </w:p>
    <w:p>
      <w:pPr>
        <w:spacing w:after="0" w:line="2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Nominees</w:t>
      </w:r>
    </w:p>
    <w:p>
      <w:pPr>
        <w:spacing w:after="0" w:line="2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Two Class II directors will be elected to the board of directors at the Annual Meeting. The Company has nominated for election Roderick R. Baty and Robert M. Aiken, Jr., each a current director of the Company. The nominees have both indicated a willingness to continue to serve as directors if elected, but if either of them should decline or be unable to serve, the persons named as proxies intend to vote all shares in favor of the election of such other persons who may be nominated as replacements by the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BOARD OF DIRECTORS RECOMMENDS A VOTE “FOR” THIS PROPOSAL</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72771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1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Ratification of Selection of Registered Independent Public Accounting Firm</w:t>
      </w:r>
    </w:p>
    <w:p>
      <w:pPr>
        <w:spacing w:after="0" w:line="2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The firm of PricewaterhouseCoopers LLP has been selected by the Audit Committee of the board of directors as the Company's registered independent public accounting firm for 2009. Although it is not required to do so, the Board has determined that it is desirable to seek shareholders' ratification of the selection of PricewaterhouseCoopers LLP. If the shareholders should not ratify the appointment of PricewaterhouseCoopers LLP, the Audit Committee will reconsider the appointment.</w:t>
      </w:r>
    </w:p>
    <w:p>
      <w:pPr>
        <w:spacing w:after="0" w:line="1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6"/>
          <w:szCs w:val="16"/>
          <w:color w:val="auto"/>
        </w:rPr>
        <w:t>A representative of PricewaterhouseCoopers LLP is expected to be present at the Annual Meeting and will have an opportunity to make a statement, if he or she so desires, and will be available to respond to appropriate questions.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BOARD OF DIRECTORS RECOMMENDS A VOTE “FOR” THIS PROPOSAL</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72771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1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469" w:right="2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Information about the Directors</w:t>
      </w:r>
    </w:p>
    <w:p>
      <w:pPr>
        <w:spacing w:after="0" w:line="2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6"/>
          <w:szCs w:val="16"/>
          <w:color w:val="auto"/>
        </w:rPr>
        <w:t>The board of directors consists of 6 directors. The board has determined that each of the directors, with the exception of Mr. Baty, qualifies as “independent” as defined by the Nasdaq rules. In making this determination, the board has concluded that none of these members has a relationship which, in the opinion of the board, would interfere with the exercise of independent judgment in carrying out the responsibilities of a director.</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98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7"/>
              </w:rPr>
              <w:t>Term</w:t>
            </w:r>
          </w:p>
        </w:tc>
        <w:tc>
          <w:tcPr>
            <w:tcW w:w="4180" w:type="dxa"/>
            <w:vAlign w:val="bottom"/>
          </w:tcPr>
          <w:p>
            <w:pPr>
              <w:spacing w:after="0"/>
              <w:rPr>
                <w:sz w:val="16"/>
                <w:szCs w:val="16"/>
                <w:color w:val="auto"/>
              </w:rPr>
            </w:pPr>
          </w:p>
        </w:tc>
      </w:tr>
      <w:tr>
        <w:trPr>
          <w:trHeight w:val="213"/>
        </w:trPr>
        <w:tc>
          <w:tcPr>
            <w:tcW w:w="1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Name</w:t>
            </w:r>
          </w:p>
        </w:tc>
        <w:tc>
          <w:tcPr>
            <w:tcW w:w="106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color w:val="auto"/>
              </w:rPr>
              <w:t>Age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Since</w:t>
            </w:r>
          </w:p>
        </w:tc>
        <w:tc>
          <w:tcPr>
            <w:tcW w:w="98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color w:val="auto"/>
                <w:w w:val="98"/>
              </w:rPr>
              <w:t>Expires</w:t>
            </w:r>
          </w:p>
        </w:tc>
        <w:tc>
          <w:tcPr>
            <w:tcW w:w="41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Positions with the Company</w:t>
            </w:r>
          </w:p>
        </w:tc>
      </w:tr>
      <w:tr>
        <w:trPr>
          <w:trHeight w:val="368"/>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Roderick R. Baty</w:t>
            </w:r>
          </w:p>
        </w:tc>
        <w:tc>
          <w:tcPr>
            <w:tcW w:w="106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55</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1995</w:t>
            </w:r>
          </w:p>
        </w:tc>
        <w:tc>
          <w:tcPr>
            <w:tcW w:w="98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2009</w:t>
            </w:r>
          </w:p>
        </w:tc>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Chairman of the Board, Chief Executive Officer, President</w:t>
            </w:r>
          </w:p>
        </w:tc>
      </w:tr>
      <w:tr>
        <w:trPr>
          <w:trHeight w:val="192"/>
        </w:trPr>
        <w:tc>
          <w:tcPr>
            <w:tcW w:w="1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Director – nominee for re-election</w:t>
            </w:r>
          </w:p>
        </w:tc>
      </w:tr>
      <w:tr>
        <w:trPr>
          <w:trHeight w:val="192"/>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Robert M. Aiken, Jr.</w:t>
            </w:r>
          </w:p>
        </w:tc>
        <w:tc>
          <w:tcPr>
            <w:tcW w:w="106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66</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2003</w:t>
            </w:r>
          </w:p>
        </w:tc>
        <w:tc>
          <w:tcPr>
            <w:tcW w:w="98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2009</w:t>
            </w:r>
          </w:p>
        </w:tc>
        <w:tc>
          <w:tcPr>
            <w:tcW w:w="4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 – nominee for re-election</w:t>
            </w:r>
          </w:p>
        </w:tc>
      </w:tr>
      <w:tr>
        <w:trPr>
          <w:trHeight w:val="192"/>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Richard G. Fanelli</w:t>
            </w:r>
          </w:p>
        </w:tc>
        <w:tc>
          <w:tcPr>
            <w:tcW w:w="106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70</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2005</w:t>
            </w:r>
          </w:p>
        </w:tc>
        <w:tc>
          <w:tcPr>
            <w:tcW w:w="98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2010</w:t>
            </w:r>
          </w:p>
        </w:tc>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w:t>
            </w:r>
          </w:p>
        </w:tc>
      </w:tr>
      <w:tr>
        <w:trPr>
          <w:trHeight w:val="192"/>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Michael E. Werner</w:t>
            </w:r>
          </w:p>
        </w:tc>
        <w:tc>
          <w:tcPr>
            <w:tcW w:w="106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64</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1995</w:t>
            </w:r>
          </w:p>
        </w:tc>
        <w:tc>
          <w:tcPr>
            <w:tcW w:w="98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2010</w:t>
            </w:r>
          </w:p>
        </w:tc>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w:t>
            </w:r>
          </w:p>
        </w:tc>
      </w:tr>
      <w:tr>
        <w:trPr>
          <w:trHeight w:val="192"/>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G. Ronald Morris</w:t>
            </w:r>
          </w:p>
        </w:tc>
        <w:tc>
          <w:tcPr>
            <w:tcW w:w="106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72</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1994</w:t>
            </w:r>
          </w:p>
        </w:tc>
        <w:tc>
          <w:tcPr>
            <w:tcW w:w="98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2011</w:t>
            </w:r>
          </w:p>
        </w:tc>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Steven T. Warshaw</w:t>
            </w:r>
          </w:p>
        </w:tc>
        <w:tc>
          <w:tcPr>
            <w:tcW w:w="106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60</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1997</w:t>
            </w:r>
          </w:p>
        </w:tc>
        <w:tc>
          <w:tcPr>
            <w:tcW w:w="98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2011</w:t>
            </w:r>
          </w:p>
        </w:tc>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200" w:lineRule="exact"/>
        <w:rPr>
          <w:sz w:val="20"/>
          <w:szCs w:val="20"/>
          <w:color w:val="auto"/>
        </w:rPr>
      </w:pPr>
    </w:p>
    <w:p>
      <w:pPr>
        <w:ind w:right="140" w:firstLine="713"/>
        <w:spacing w:after="0" w:line="261" w:lineRule="auto"/>
        <w:rPr>
          <w:sz w:val="20"/>
          <w:szCs w:val="20"/>
          <w:color w:val="auto"/>
        </w:rPr>
      </w:pPr>
      <w:r>
        <w:rPr>
          <w:rFonts w:ascii="Times New Roman" w:cs="Times New Roman" w:eastAsia="Times New Roman" w:hAnsi="Times New Roman"/>
          <w:sz w:val="16"/>
          <w:szCs w:val="16"/>
          <w:color w:val="auto"/>
        </w:rPr>
        <w:t>Roderick R. Baty became President and Chief Executive Officer in July 1997 and was elected Chairman of the Board in September 2001.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Group from 1985 to 1990.</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Robert M. Aiken, Jr. retired in December 2003 as President of RMA Consulting, Inc., a management consulting firm he founded in 1998. Prior to this position, Mr. Aiken served as Executive Vice President and Chief Financial Officer of Sunoco, an independent refiner and marketer of petroleum and petrochemical products. Mr. Aiken held this position from 1996 and served as Senior Vice President and Chief Financial Officer from 1990 to 1996. From 1970 to 1990 Mr. Aiken held various financial positions within Sunoco, Inc. Prior to Mr. Aiken joining Sunoco, he held positions with Coopers and Lybrand and earlier with Hershey Foods.</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Richard G. Fanelli retired in 2000 from Enthone-OMI, Inc., where he spent the majority of his career. Enthone-OMI, Inc. is a global specialty chemical company that develops, produces and markets high performance coatings for metals and plastics for the electronics, automotive, aerospace and telecommunications industries. Mr. Fanelli served as President and Chief Executive Officer of Enthone-OMI, Inc. from 1992 to his retirement in 2000. Prior to this position, Mr. Fanelli served as President of Enthone-OMI – Europe from 1991 to 1992. From 1989 to 1991, he served as Executive Vice President and Chief Operating Officer of Enthone-OMI– North America. Prior to this position, Mr. Fanelli held a variety of positions within Enthone-OMI, Inc. including positions in sales and marketing and general management.</w:t>
      </w:r>
    </w:p>
    <w:p>
      <w:pPr>
        <w:spacing w:after="0" w:line="18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6"/>
          <w:szCs w:val="16"/>
          <w:color w:val="auto"/>
        </w:rPr>
        <w:t>Michael E. Werner is a management consultant with Werner &amp; Associates, a management consulting 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69" w:right="219" w:bottom="1440" w:gutter="0" w:footer="0" w:header="0"/>
        </w:sectPr>
      </w:pPr>
    </w:p>
    <w:bookmarkStart w:id="7" w:name="page8"/>
    <w:bookmarkEnd w:id="7"/>
    <w:p>
      <w:pPr>
        <w:ind w:right="60"/>
        <w:spacing w:after="0" w:line="257" w:lineRule="auto"/>
        <w:rPr>
          <w:sz w:val="20"/>
          <w:szCs w:val="20"/>
          <w:color w:val="auto"/>
        </w:rPr>
      </w:pPr>
      <w:r>
        <w:rPr>
          <w:rFonts w:ascii="Times New Roman" w:cs="Times New Roman" w:eastAsia="Times New Roman" w:hAnsi="Times New Roman"/>
          <w:sz w:val="16"/>
          <w:szCs w:val="16"/>
          <w:color w:val="auto"/>
        </w:rPr>
        <w:t>Steven T. Warshaw retired during 2005 from M Cubed Technologies, a developer and manufacturer of advanced composite materials and ultra-precise electronic components and modules. Mr. Warshaw had served as President and Chief Executive Officer of M Cubed Technologies since July 2002.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Mr. Warshaw serves on the board of directors of Park Electrochemical Corp., a publicly held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of Directors</w:t>
      </w:r>
    </w:p>
    <w:p>
      <w:pPr>
        <w:spacing w:after="0" w:line="2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Directors who are not employees of the Company are paid an annual retainer of $25,000 and a fee of $1,000 for each board meeting attended, $750 for each committee meeting attended and $500 for each teleconference meeting attended. Additionally, committee chairs are paid an annual retainer of $3,250. Directors who are employees of the Company do not receive any compensation for their service as directors. Directors may elect to defer some or all of the compensation they are provided by the Company. Additionally, the Compensation Committee has from time to time granted options to the non-employee directors. The Company also reimburses all directors for out-of-pocket expenses incurred in attending board and committee meetings. Director compensation is reviewed and approved by the Compensation Committee.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provides information about the compensation our directors received during 2008.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Director Compensation Table For 2008</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90"/>
        </w:trPr>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20" w:type="dxa"/>
            <w:vAlign w:val="bottom"/>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2"/>
        </w:trPr>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20" w:type="dxa"/>
            <w:vAlign w:val="bottom"/>
          </w:tcPr>
          <w:p>
            <w:pPr>
              <w:jc w:val="center"/>
              <w:ind w:left="220"/>
              <w:spacing w:after="0"/>
              <w:rPr>
                <w:sz w:val="20"/>
                <w:szCs w:val="20"/>
                <w:color w:val="auto"/>
              </w:rPr>
            </w:pPr>
            <w:r>
              <w:rPr>
                <w:rFonts w:ascii="Times New Roman" w:cs="Times New Roman" w:eastAsia="Times New Roman" w:hAnsi="Times New Roman"/>
                <w:sz w:val="16"/>
                <w:szCs w:val="16"/>
                <w:b w:val="1"/>
                <w:bCs w:val="1"/>
                <w:color w:val="auto"/>
                <w:w w:val="98"/>
              </w:rPr>
              <w:t>Pension Value</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1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20" w:type="dxa"/>
            <w:vAlign w:val="bottom"/>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and</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1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Earned</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420" w:type="dxa"/>
            <w:vAlign w:val="bottom"/>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Nonqualified</w:t>
            </w: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All</w:t>
            </w:r>
          </w:p>
        </w:tc>
        <w:tc>
          <w:tcPr>
            <w:tcW w:w="840" w:type="dxa"/>
            <w:vAlign w:val="bottom"/>
          </w:tcPr>
          <w:p>
            <w:pPr>
              <w:spacing w:after="0"/>
              <w:rPr>
                <w:sz w:val="16"/>
                <w:szCs w:val="16"/>
                <w:color w:val="auto"/>
              </w:rPr>
            </w:pPr>
          </w:p>
        </w:tc>
      </w:tr>
      <w:tr>
        <w:trPr>
          <w:trHeight w:val="192"/>
        </w:trPr>
        <w:tc>
          <w:tcPr>
            <w:tcW w:w="1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Paid</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2080" w:type="dxa"/>
            <w:vAlign w:val="bottom"/>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1420" w:type="dxa"/>
            <w:vAlign w:val="bottom"/>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40" w:type="dxa"/>
            <w:vAlign w:val="bottom"/>
          </w:tcPr>
          <w:p>
            <w:pPr>
              <w:spacing w:after="0"/>
              <w:rPr>
                <w:sz w:val="16"/>
                <w:szCs w:val="16"/>
                <w:color w:val="auto"/>
              </w:rPr>
            </w:pPr>
          </w:p>
        </w:tc>
      </w:tr>
      <w:tr>
        <w:trPr>
          <w:trHeight w:val="192"/>
        </w:trPr>
        <w:tc>
          <w:tcPr>
            <w:tcW w:w="1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Cash</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9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080" w:type="dxa"/>
            <w:vAlign w:val="bottom"/>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Compensa-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CompensationCompen-</w:t>
            </w:r>
          </w:p>
        </w:tc>
        <w:tc>
          <w:tcPr>
            <w:tcW w:w="840" w:type="dxa"/>
            <w:vAlign w:val="bottom"/>
          </w:tcPr>
          <w:p>
            <w:pPr>
              <w:spacing w:after="0"/>
              <w:rPr>
                <w:sz w:val="16"/>
                <w:szCs w:val="16"/>
                <w:color w:val="auto"/>
              </w:rPr>
            </w:pPr>
          </w:p>
        </w:tc>
      </w:tr>
      <w:tr>
        <w:trPr>
          <w:trHeight w:val="215"/>
        </w:trPr>
        <w:tc>
          <w:tcPr>
            <w:tcW w:w="15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w:t>
            </w:r>
          </w:p>
        </w:tc>
        <w:tc>
          <w:tcPr>
            <w:tcW w:w="208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tion ($)</w:t>
            </w:r>
          </w:p>
        </w:tc>
        <w:tc>
          <w:tcPr>
            <w:tcW w:w="2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Earnings ($) sation ($)</w:t>
            </w:r>
          </w:p>
        </w:tc>
        <w:tc>
          <w:tcPr>
            <w:tcW w:w="8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368"/>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Robert M. Aiken, Jr.</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42,500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21,840</w:t>
            </w:r>
          </w:p>
        </w:tc>
        <w:tc>
          <w:tcPr>
            <w:tcW w:w="2080" w:type="dxa"/>
            <w:vAlign w:val="bottom"/>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w w:val="93"/>
              </w:rPr>
              <w:t>--</w:t>
            </w:r>
          </w:p>
        </w:tc>
        <w:tc>
          <w:tcPr>
            <w:tcW w:w="1420" w:type="dxa"/>
            <w:vAlign w:val="bottom"/>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3"/>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64,340</w:t>
            </w:r>
          </w:p>
        </w:tc>
      </w:tr>
      <w:tr>
        <w:trPr>
          <w:trHeight w:val="192"/>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Richard G. Fanelli</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37,750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21,840</w:t>
            </w:r>
          </w:p>
        </w:tc>
        <w:tc>
          <w:tcPr>
            <w:tcW w:w="2080" w:type="dxa"/>
            <w:vAlign w:val="bottom"/>
          </w:tcPr>
          <w:p>
            <w:pPr>
              <w:jc w:val="center"/>
              <w:ind w:left="300"/>
              <w:spacing w:after="0"/>
              <w:rPr>
                <w:sz w:val="20"/>
                <w:szCs w:val="20"/>
                <w:color w:val="auto"/>
              </w:rPr>
            </w:pPr>
            <w:r>
              <w:rPr>
                <w:rFonts w:ascii="Times New Roman" w:cs="Times New Roman" w:eastAsia="Times New Roman" w:hAnsi="Times New Roman"/>
                <w:sz w:val="16"/>
                <w:szCs w:val="16"/>
                <w:color w:val="auto"/>
                <w:w w:val="93"/>
              </w:rPr>
              <w:t>--</w:t>
            </w:r>
          </w:p>
        </w:tc>
        <w:tc>
          <w:tcPr>
            <w:tcW w:w="1420" w:type="dxa"/>
            <w:vAlign w:val="bottom"/>
          </w:tcPr>
          <w:p>
            <w:pPr>
              <w:jc w:val="center"/>
              <w:ind w:left="360"/>
              <w:spacing w:after="0"/>
              <w:rPr>
                <w:sz w:val="20"/>
                <w:szCs w:val="20"/>
                <w:color w:val="auto"/>
              </w:rPr>
            </w:pPr>
            <w:r>
              <w:rPr>
                <w:rFonts w:ascii="Times New Roman" w:cs="Times New Roman" w:eastAsia="Times New Roman" w:hAnsi="Times New Roman"/>
                <w:sz w:val="16"/>
                <w:szCs w:val="16"/>
                <w:color w:val="auto"/>
                <w:w w:val="98"/>
              </w:rPr>
              <w:t>(32,539)</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27,051</w:t>
            </w:r>
          </w:p>
        </w:tc>
      </w:tr>
      <w:tr>
        <w:trPr>
          <w:trHeight w:val="192"/>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G. Ronald</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Morris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21,840</w:t>
            </w:r>
          </w:p>
        </w:tc>
        <w:tc>
          <w:tcPr>
            <w:tcW w:w="2080" w:type="dxa"/>
            <w:vAlign w:val="bottom"/>
          </w:tcPr>
          <w:p>
            <w:pPr>
              <w:jc w:val="center"/>
              <w:ind w:left="300"/>
              <w:spacing w:after="0"/>
              <w:rPr>
                <w:sz w:val="20"/>
                <w:szCs w:val="20"/>
                <w:color w:val="auto"/>
              </w:rPr>
            </w:pPr>
            <w:r>
              <w:rPr>
                <w:rFonts w:ascii="Times New Roman" w:cs="Times New Roman" w:eastAsia="Times New Roman" w:hAnsi="Times New Roman"/>
                <w:sz w:val="16"/>
                <w:szCs w:val="16"/>
                <w:color w:val="auto"/>
                <w:w w:val="93"/>
              </w:rPr>
              <w:t>--</w:t>
            </w:r>
          </w:p>
        </w:tc>
        <w:tc>
          <w:tcPr>
            <w:tcW w:w="1420" w:type="dxa"/>
            <w:vAlign w:val="bottom"/>
          </w:tcPr>
          <w:p>
            <w:pPr>
              <w:jc w:val="center"/>
              <w:ind w:left="280"/>
              <w:spacing w:after="0"/>
              <w:rPr>
                <w:sz w:val="20"/>
                <w:szCs w:val="20"/>
                <w:color w:val="auto"/>
              </w:rPr>
            </w:pPr>
            <w:r>
              <w:rPr>
                <w:rFonts w:ascii="Times New Roman" w:cs="Times New Roman" w:eastAsia="Times New Roman" w:hAnsi="Times New Roman"/>
                <w:sz w:val="16"/>
                <w:szCs w:val="16"/>
                <w:color w:val="auto"/>
                <w:w w:val="98"/>
              </w:rPr>
              <w:t>(195,786)</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(133,946)</w:t>
            </w:r>
          </w:p>
        </w:tc>
      </w:tr>
      <w:tr>
        <w:trPr>
          <w:trHeight w:val="192"/>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Steven T. Warshaw</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45,500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21,840</w:t>
            </w:r>
          </w:p>
        </w:tc>
        <w:tc>
          <w:tcPr>
            <w:tcW w:w="2080" w:type="dxa"/>
            <w:vAlign w:val="bottom"/>
          </w:tcPr>
          <w:p>
            <w:pPr>
              <w:jc w:val="center"/>
              <w:ind w:left="300"/>
              <w:spacing w:after="0"/>
              <w:rPr>
                <w:sz w:val="20"/>
                <w:szCs w:val="20"/>
                <w:color w:val="auto"/>
              </w:rPr>
            </w:pPr>
            <w:r>
              <w:rPr>
                <w:rFonts w:ascii="Times New Roman" w:cs="Times New Roman" w:eastAsia="Times New Roman" w:hAnsi="Times New Roman"/>
                <w:sz w:val="16"/>
                <w:szCs w:val="16"/>
                <w:color w:val="auto"/>
                <w:w w:val="93"/>
              </w:rPr>
              <w:t>--</w:t>
            </w:r>
          </w:p>
        </w:tc>
        <w:tc>
          <w:tcPr>
            <w:tcW w:w="1420" w:type="dxa"/>
            <w:vAlign w:val="bottom"/>
          </w:tcPr>
          <w:p>
            <w:pPr>
              <w:jc w:val="center"/>
              <w:ind w:left="360"/>
              <w:spacing w:after="0"/>
              <w:rPr>
                <w:sz w:val="20"/>
                <w:szCs w:val="20"/>
                <w:color w:val="auto"/>
              </w:rPr>
            </w:pPr>
            <w:r>
              <w:rPr>
                <w:rFonts w:ascii="Times New Roman" w:cs="Times New Roman" w:eastAsia="Times New Roman" w:hAnsi="Times New Roman"/>
                <w:sz w:val="16"/>
                <w:szCs w:val="16"/>
                <w:color w:val="auto"/>
                <w:w w:val="93"/>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67,340</w:t>
            </w:r>
          </w:p>
        </w:tc>
      </w:tr>
      <w:tr>
        <w:trPr>
          <w:trHeight w:val="192"/>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Michael E.</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9"/>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Werner</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21,840</w:t>
            </w:r>
          </w:p>
        </w:tc>
        <w:tc>
          <w:tcPr>
            <w:tcW w:w="2080" w:type="dxa"/>
            <w:vAlign w:val="bottom"/>
          </w:tcPr>
          <w:p>
            <w:pPr>
              <w:jc w:val="center"/>
              <w:ind w:left="300"/>
              <w:spacing w:after="0"/>
              <w:rPr>
                <w:sz w:val="20"/>
                <w:szCs w:val="20"/>
                <w:color w:val="auto"/>
              </w:rPr>
            </w:pPr>
            <w:r>
              <w:rPr>
                <w:rFonts w:ascii="Times New Roman" w:cs="Times New Roman" w:eastAsia="Times New Roman" w:hAnsi="Times New Roman"/>
                <w:sz w:val="16"/>
                <w:szCs w:val="16"/>
                <w:color w:val="auto"/>
                <w:w w:val="93"/>
              </w:rPr>
              <w:t>--</w:t>
            </w:r>
          </w:p>
        </w:tc>
        <w:tc>
          <w:tcPr>
            <w:tcW w:w="1420" w:type="dxa"/>
            <w:vAlign w:val="bottom"/>
          </w:tcPr>
          <w:p>
            <w:pPr>
              <w:jc w:val="center"/>
              <w:ind w:left="360"/>
              <w:spacing w:after="0"/>
              <w:rPr>
                <w:sz w:val="20"/>
                <w:szCs w:val="20"/>
                <w:color w:val="auto"/>
              </w:rPr>
            </w:pPr>
            <w:r>
              <w:rPr>
                <w:rFonts w:ascii="Times New Roman" w:cs="Times New Roman" w:eastAsia="Times New Roman" w:hAnsi="Times New Roman"/>
                <w:sz w:val="16"/>
                <w:szCs w:val="16"/>
                <w:color w:val="auto"/>
                <w:w w:val="98"/>
              </w:rPr>
              <w:t>(13,982)</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w:t>
            </w: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48,858</w:t>
            </w:r>
          </w:p>
        </w:tc>
      </w:tr>
    </w:tbl>
    <w:p>
      <w:pPr>
        <w:spacing w:after="0" w:line="200" w:lineRule="exact"/>
        <w:rPr>
          <w:sz w:val="20"/>
          <w:szCs w:val="20"/>
          <w:color w:val="auto"/>
        </w:rPr>
      </w:pPr>
    </w:p>
    <w:p>
      <w:pPr>
        <w:ind w:left="580" w:hanging="274"/>
        <w:spacing w:after="0" w:line="282"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economic conditions the Company experienced in the fourth quarter of 2008 and expects to continue throughout 2009, the Company’s board of directors have voluntarily elected to reduce the annual retainer and meeting fees by 20% starting in 2009.</w:t>
      </w:r>
    </w:p>
    <w:p>
      <w:pPr>
        <w:spacing w:after="0" w:line="168" w:lineRule="exact"/>
        <w:rPr>
          <w:rFonts w:ascii="Times New Roman" w:cs="Times New Roman" w:eastAsia="Times New Roman" w:hAnsi="Times New Roman"/>
          <w:sz w:val="16"/>
          <w:szCs w:val="16"/>
          <w:color w:val="auto"/>
        </w:rPr>
      </w:pPr>
    </w:p>
    <w:p>
      <w:pPr>
        <w:jc w:val="both"/>
        <w:ind w:left="580" w:hanging="274"/>
        <w:spacing w:after="0" w:line="258"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market value, as calculated under the provisions of FAS 123(R), of 7,500 shares of stock options awarded Messrs. Aiken, Fanelli, Morris, Warshaw and Werner. On March 6, 2008, the Company awarded 160,000 options to purchase the Company’s stock to five non-employee directors and twelve executive officers and other key employees. The market value of these shares on the date of grant was $9.36 per share. The shares granted to non-employee directors vest 100% on the first anniversary of the date of grant and are exercisable at the closing market price of the date of grant. The aggregate amount of vested stock options held by Messrs. Aiken, Fanelli, Morris, Warshaw and Werner on December 31, 2008 was 45,000, 15,000, 63,000, 58,000 and 63,000, respectively.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t>The following table sets forth information with respect to nonqualified deferred compensation during 2008.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320" w:type="dxa"/>
            <w:vAlign w:val="bottom"/>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Nonqualified Deferred Compensation For 2008</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90"/>
        </w:trPr>
        <w:tc>
          <w:tcPr>
            <w:tcW w:w="1580" w:type="dxa"/>
            <w:vAlign w:val="bottom"/>
          </w:tcPr>
          <w:p>
            <w:pPr>
              <w:spacing w:after="0"/>
              <w:rPr>
                <w:sz w:val="24"/>
                <w:szCs w:val="24"/>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134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60" w:type="dxa"/>
            <w:vAlign w:val="bottom"/>
          </w:tcPr>
          <w:p>
            <w:pPr>
              <w:spacing w:after="0"/>
              <w:rPr>
                <w:sz w:val="24"/>
                <w:szCs w:val="24"/>
                <w:color w:val="auto"/>
              </w:rPr>
            </w:pPr>
          </w:p>
        </w:tc>
        <w:tc>
          <w:tcPr>
            <w:tcW w:w="14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92"/>
        </w:trPr>
        <w:tc>
          <w:tcPr>
            <w:tcW w:w="1580" w:type="dxa"/>
            <w:vAlign w:val="bottom"/>
          </w:tcPr>
          <w:p>
            <w:pPr>
              <w:spacing w:after="0"/>
              <w:rPr>
                <w:sz w:val="16"/>
                <w:szCs w:val="16"/>
                <w:color w:val="auto"/>
              </w:rPr>
            </w:pPr>
          </w:p>
        </w:tc>
        <w:tc>
          <w:tcPr>
            <w:tcW w:w="15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146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13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Earnings in</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Withdrawals/Distri-</w:t>
            </w:r>
          </w:p>
        </w:tc>
        <w:tc>
          <w:tcPr>
            <w:tcW w:w="260" w:type="dxa"/>
            <w:vAlign w:val="bottom"/>
          </w:tcPr>
          <w:p>
            <w:pPr>
              <w:spacing w:after="0"/>
              <w:rPr>
                <w:sz w:val="16"/>
                <w:szCs w:val="16"/>
                <w:color w:val="auto"/>
              </w:rPr>
            </w:pPr>
          </w:p>
        </w:tc>
        <w:tc>
          <w:tcPr>
            <w:tcW w:w="14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Balance at Last</w:t>
            </w:r>
          </w:p>
        </w:tc>
      </w:tr>
      <w:tr>
        <w:trPr>
          <w:trHeight w:val="215"/>
        </w:trPr>
        <w:tc>
          <w:tcPr>
            <w:tcW w:w="1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in Last FY ($)</w:t>
            </w:r>
          </w:p>
        </w:tc>
        <w:tc>
          <w:tcPr>
            <w:tcW w:w="14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in Last FY ($)</w:t>
            </w:r>
          </w:p>
        </w:tc>
        <w:tc>
          <w:tcPr>
            <w:tcW w:w="13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Last FY ($)</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butions ($)</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FYE ($)</w:t>
            </w:r>
          </w:p>
        </w:tc>
      </w:tr>
      <w:tr>
        <w:trPr>
          <w:trHeight w:val="368"/>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Robert M. Aiken, Jr.</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24"/>
                <w:szCs w:val="24"/>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Richard G. Fanelli</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37,421</w:t>
            </w: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(32,539)</w:t>
            </w:r>
          </w:p>
        </w:tc>
        <w:tc>
          <w:tcPr>
            <w:tcW w:w="1520" w:type="dxa"/>
            <w:vAlign w:val="bottom"/>
          </w:tcPr>
          <w:p>
            <w:pPr>
              <w:spacing w:after="0"/>
              <w:rPr>
                <w:sz w:val="16"/>
                <w:szCs w:val="16"/>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50,377</w:t>
            </w:r>
          </w:p>
        </w:tc>
      </w:tr>
      <w:tr>
        <w:trPr>
          <w:trHeight w:val="192"/>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G. Ronald Morris</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39,670</w:t>
            </w: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(195,786)</w:t>
            </w:r>
          </w:p>
        </w:tc>
        <w:tc>
          <w:tcPr>
            <w:tcW w:w="1520" w:type="dxa"/>
            <w:vAlign w:val="bottom"/>
          </w:tcPr>
          <w:p>
            <w:pPr>
              <w:spacing w:after="0"/>
              <w:rPr>
                <w:sz w:val="16"/>
                <w:szCs w:val="16"/>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237,123</w:t>
            </w:r>
          </w:p>
        </w:tc>
      </w:tr>
      <w:tr>
        <w:trPr>
          <w:trHeight w:val="192"/>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Steven T. Warshaw</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6"/>
                <w:szCs w:val="16"/>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Michael E. Werner</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(13,982)</w:t>
            </w:r>
          </w:p>
        </w:tc>
        <w:tc>
          <w:tcPr>
            <w:tcW w:w="1520" w:type="dxa"/>
            <w:vAlign w:val="bottom"/>
          </w:tcPr>
          <w:p>
            <w:pPr>
              <w:spacing w:after="0"/>
              <w:rPr>
                <w:sz w:val="18"/>
                <w:szCs w:val="18"/>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310,219</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2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i w:val="1"/>
          <w:iCs w:val="1"/>
          <w:color w:val="auto"/>
        </w:rPr>
        <w:t>Audit Committee</w:t>
      </w:r>
      <w:r>
        <w:rPr>
          <w:rFonts w:ascii="Times New Roman" w:cs="Times New Roman" w:eastAsia="Times New Roman" w:hAnsi="Times New Roman"/>
          <w:sz w:val="16"/>
          <w:szCs w:val="16"/>
          <w:color w:val="auto"/>
        </w:rPr>
        <w:t>. The Audit Committee consists of Robert M. Aiken, Jr., G. Ronald Morris and Steven T. Warshaw. All members of the Audit Committee are independent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defined in the Nasdaq rules and Mr. Aiken has been designated as the “audit committee financial expert” as defined by Item 407(d) of Regulation S-K. Among other matters described in its charter, the Audit Committee is responsible for engaging the registered independent public accounting firm to conduct the annual audit of the books and accounts of the Company and for reviewing the effectiveness of the internal auditing, accounting and financial controls of the Company with the registered independent public accounting firm and the Company's internal financial and accounting staff. The Audit Committee originally adopted a written charter in June 2000. This charter, which has been amended, is subject to review and reassessment at least annually. This revised charter is included on the Company's website at </w:t>
      </w:r>
      <w:r>
        <w:rPr>
          <w:rFonts w:ascii="Times New Roman" w:cs="Times New Roman" w:eastAsia="Times New Roman" w:hAnsi="Times New Roman"/>
          <w:sz w:val="16"/>
          <w:szCs w:val="16"/>
          <w:i w:val="1"/>
          <w:iCs w:val="1"/>
          <w:color w:val="auto"/>
        </w:rPr>
        <w:t>www.nnbr.com</w:t>
      </w:r>
      <w:r>
        <w:rPr>
          <w:rFonts w:ascii="Times New Roman" w:cs="Times New Roman" w:eastAsia="Times New Roman" w:hAnsi="Times New Roman"/>
          <w:sz w:val="16"/>
          <w:szCs w:val="16"/>
          <w:color w:val="auto"/>
        </w:rPr>
        <w:t>. The Audit Committee met seven times in 2008.</w:t>
      </w:r>
    </w:p>
    <w:p>
      <w:pPr>
        <w:spacing w:after="0" w:line="38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i w:val="1"/>
          <w:iCs w:val="1"/>
          <w:color w:val="auto"/>
        </w:rPr>
        <w:t>Compensation Committee</w:t>
      </w:r>
      <w:r>
        <w:rPr>
          <w:rFonts w:ascii="Times New Roman" w:cs="Times New Roman" w:eastAsia="Times New Roman" w:hAnsi="Times New Roman"/>
          <w:sz w:val="16"/>
          <w:szCs w:val="16"/>
          <w:color w:val="auto"/>
        </w:rPr>
        <w:t>. The Compensation Committee consists of Steven T. Warshaw, Michael E Werner and Richard G. Fanelli. All members of the Compensation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Committee are independent as defined by Nasdaq rules. The Compensation Committee annually reviews and approves corporate goals and objectives relative to the Chief Executive Officer evaluation, compensation and performance. Additionally, the Compensation Committee is responsible for reviewing and approving the Company's executive compensation policies and practices and supervising the administration of the Company's employee benefit plans, including the NN, Inc. Incentive Plan. In April 2003, the Compensation Committee presented to the board and the board approved a written charter. This charter, which has been amended, is subject to review and reassessment at least annually. This revised charter is included on the Company's website at </w:t>
      </w:r>
      <w:r>
        <w:rPr>
          <w:rFonts w:ascii="Times New Roman" w:cs="Times New Roman" w:eastAsia="Times New Roman" w:hAnsi="Times New Roman"/>
          <w:sz w:val="16"/>
          <w:szCs w:val="16"/>
          <w:i w:val="1"/>
          <w:iCs w:val="1"/>
          <w:color w:val="auto"/>
        </w:rPr>
        <w:t>www.nnbr.com.</w:t>
      </w:r>
      <w:r>
        <w:rPr>
          <w:rFonts w:ascii="Times New Roman" w:cs="Times New Roman" w:eastAsia="Times New Roman" w:hAnsi="Times New Roman"/>
          <w:sz w:val="16"/>
          <w:szCs w:val="16"/>
          <w:color w:val="auto"/>
        </w:rPr>
        <w:t xml:space="preserve"> The functions of the Compensation Committee are discussed in further detail in the section entitled "Report of the Compensation Committee" herein. The Compensation Committee met four times in 2008.</w:t>
      </w:r>
    </w:p>
    <w:p>
      <w:pPr>
        <w:spacing w:after="0" w:line="188" w:lineRule="exact"/>
        <w:rPr>
          <w:sz w:val="20"/>
          <w:szCs w:val="20"/>
          <w:color w:val="auto"/>
        </w:rPr>
      </w:pPr>
    </w:p>
    <w:p>
      <w:pPr>
        <w:ind w:right="580"/>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Governance Committee. </w:t>
      </w:r>
      <w:r>
        <w:rPr>
          <w:rFonts w:ascii="Times New Roman" w:cs="Times New Roman" w:eastAsia="Times New Roman" w:hAnsi="Times New Roman"/>
          <w:sz w:val="16"/>
          <w:szCs w:val="16"/>
          <w:color w:val="auto"/>
        </w:rPr>
        <w:t>The Governance Committee was formed in 2002. The Committee consists of Michael E. Werner, G. Ronald Morris and Richard G. Fanelli.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members of the Governance Committee are independent as defined by Nasdaq rules.</w:t>
      </w:r>
    </w:p>
    <w:p>
      <w:pPr>
        <w:spacing w:after="0" w:line="16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provided in its charter, the Governance Committee is responsible for reviewing and recommending qualified candidates for membership on the board of directors. The Committee seeks input from the Chairman of the board, other board members, and professional search firms, if applicable. The Committee will also consider and evaluate any qualified candidates recommended by shareholders. In accordance with the board's governance principles, the Committee seeks to establish a board that will bring to the Company a broad range of experience, knowledge and professional judgment. The Committee believes that the board should have collective competency, knowledge and experience with respect to corporate governance, business, finance and accounting, economics, industry knowledge, manufacturing, technology, legal and government affairs, and international operations, among other things.</w:t>
      </w:r>
    </w:p>
    <w:p>
      <w:pPr>
        <w:spacing w:after="0" w:line="18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6"/>
          <w:szCs w:val="16"/>
          <w:color w:val="auto"/>
        </w:rPr>
        <w:t>A candidate's competencies, experience and knowledge should enable him or her to contribute significantly to the governance of a complex, multi-million dollar business enterprise. The candidate should be independent in judgment and not represent the interests of particular constituencies. The Committee will review a candidate's qualifications and any potential conflicts they may have with the Company's interests. In evaluating director nominees, including candidates submitted by shareholders, the Governance Committee will consider the candidate's experience, integrity, ability to make independent analytical inquiries, understanding of the Company's business environment and willingness to devote adequate time to board duties. The Governance Committee will also consider whether a candidate meets the definition of "independent director" under Nasdaq rules.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9" w:name="page10"/>
    <w:bookmarkEnd w:id="9"/>
    <w:p>
      <w:pPr>
        <w:spacing w:after="0" w:line="255" w:lineRule="auto"/>
        <w:rPr>
          <w:sz w:val="20"/>
          <w:szCs w:val="20"/>
          <w:color w:val="auto"/>
        </w:rPr>
      </w:pPr>
      <w:r>
        <w:rPr>
          <w:rFonts w:ascii="Times New Roman" w:cs="Times New Roman" w:eastAsia="Times New Roman" w:hAnsi="Times New Roman"/>
          <w:sz w:val="16"/>
          <w:szCs w:val="16"/>
          <w:color w:val="auto"/>
        </w:rPr>
        <w:t xml:space="preserve">Shareholders who wish to recommend director candidates for the 2010 Annual Meeting of Shareholders should notify the Secretary in writing at NN, Inc., 2000 Waters Edge Drive, Building C, Suite 12, Johnson City, Tennessee 37604. This notification must be received by the Company by December 15, 2009 and must provide information about the nominee's qualifications for board membership. This requirement does not apply to the deadline for submitting shareholder proposals for inclusion in the Proxy Statement (see "Submission of Shareholder Proposals" on page 2), nor does it apply to questions a shareholder may want to ask at the Annual Meeting. The Governance Committee Charter lists the qualifications against which a nominee will be judged. A copy of the Charter can be obtained by writing to the Secretary at the address set forth above. Alternatively, a copy of the Charter is available on the Company's website, </w:t>
      </w:r>
      <w:r>
        <w:rPr>
          <w:rFonts w:ascii="Times New Roman" w:cs="Times New Roman" w:eastAsia="Times New Roman" w:hAnsi="Times New Roman"/>
          <w:sz w:val="16"/>
          <w:szCs w:val="16"/>
          <w:i w:val="1"/>
          <w:iCs w:val="1"/>
          <w:color w:val="auto"/>
        </w:rPr>
        <w:t>www.nnbr.com</w:t>
      </w:r>
      <w:r>
        <w:rPr>
          <w:rFonts w:ascii="Times New Roman" w:cs="Times New Roman" w:eastAsia="Times New Roman" w:hAnsi="Times New Roman"/>
          <w:sz w:val="16"/>
          <w:szCs w:val="16"/>
          <w:color w:val="auto"/>
        </w:rPr>
        <w:t>. The Committee will evaluate any director candidate nominated by shareholders according to the criteria discussed above and, based on the results of that evaluation, will determine whether to include the candidate in its recommended slate of director nominees in the Proxy Statement.</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Company retains discretion to vote proxies it receives with respect to director nominations or any other business proposals received after December 15, 2009. The Company retains discretion to vote proxies it receives with respect to such proposals received prior to December 15, 2009 provided (a) the Company includes in its proxy statement advice on the nature of the proposal and how it intends to exercise its voting discretion, and (b) the proponent does not issue its own proxy statement.</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The Company has not paid any third party a fee to assist in the process of identifying or evaluating director candidates. No shareholder or group of shareholders who beneficially owned more than 5% of the Common Stock for at least one year at the time of such recommendation have recommended candidates for election to the board of directors.</w:t>
      </w:r>
    </w:p>
    <w:p>
      <w:pPr>
        <w:spacing w:after="0" w:line="16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5"/>
          <w:szCs w:val="15"/>
          <w:color w:val="auto"/>
        </w:rPr>
        <w:t xml:space="preserve">Additionally, the Governance Committee is responsible for overseeing the process of providing information to the board, developing corporate governance principles applicable to the Company and oversight and annual evaluation of the board of directors. In October 2002, the Governance Committee adopted a statement of Principles of Corporate Governance. In April 2003, the Governance Committee presented to the board and the board approved a written charter. This charter, which has been amended, is subject to review and reassessment at least annually. This revised charter is included on the Company's website at </w:t>
      </w:r>
      <w:r>
        <w:rPr>
          <w:rFonts w:ascii="Times New Roman" w:cs="Times New Roman" w:eastAsia="Times New Roman" w:hAnsi="Times New Roman"/>
          <w:sz w:val="15"/>
          <w:szCs w:val="15"/>
          <w:i w:val="1"/>
          <w:iCs w:val="1"/>
          <w:color w:val="auto"/>
        </w:rPr>
        <w:t>www.nnbr.com</w:t>
      </w:r>
      <w:r>
        <w:rPr>
          <w:rFonts w:ascii="Times New Roman" w:cs="Times New Roman" w:eastAsia="Times New Roman" w:hAnsi="Times New Roman"/>
          <w:sz w:val="15"/>
          <w:szCs w:val="15"/>
          <w:color w:val="auto"/>
        </w:rPr>
        <w:t>. The Governance Committee met two times in 2008.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Attendance at Board and Committee Meetings</w:t>
      </w:r>
    </w:p>
    <w:p>
      <w:pPr>
        <w:spacing w:after="0" w:line="22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6"/>
          <w:szCs w:val="16"/>
          <w:color w:val="auto"/>
        </w:rPr>
        <w:t>The board of directors held twelve meetings in 2008. All current directors attended at least 75% of the aggregate of the total number of meetings of the Board and the total number of meetings held by all committees of the board on which they served. While the Company does not have a policy requiring attendance by members of the board of directors at the Annual Meeting, all of the current directors attended the 2008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Communicating with the Board</w:t>
      </w:r>
    </w:p>
    <w:p>
      <w:pPr>
        <w:spacing w:after="0" w:line="2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6"/>
          <w:szCs w:val="16"/>
          <w:color w:val="auto"/>
        </w:rPr>
        <w:t>Interested parties may contact the board of directors by sending correspondence to the attention of the Secretary, NN, Inc., 2000 Waters Edge Drive, Building C, Suite 12, Johnson City, Tennessee 37604. Any mail received by the Secretary with the exception of improper commercial solicitations will be forwarded to the members of the board of directors (or committee members, as appropriate) for their further action, if necessary.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Beneficial Ownership of Common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Security Ownership of Management</w:t>
      </w:r>
    </w:p>
    <w:p>
      <w:pPr>
        <w:spacing w:after="0" w:line="226"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5"/>
          <w:szCs w:val="15"/>
          <w:color w:val="auto"/>
        </w:rPr>
        <w:t>The following table shows, as of March 25, 2009, the beneficial ownership of Common Stock by each director and nominee, each executive officer named in the Summary Compensation Table (the "Named Executive Officers"), and all directors and executive officers as a group, in each case as reported to the Company by such persons.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20" w:type="dxa"/>
            <w:vAlign w:val="bottom"/>
          </w:tcPr>
          <w:p>
            <w:pPr>
              <w:jc w:val="center"/>
              <w:ind w:left="200"/>
              <w:spacing w:after="0"/>
              <w:rPr>
                <w:sz w:val="20"/>
                <w:szCs w:val="20"/>
                <w:color w:val="auto"/>
              </w:rPr>
            </w:pPr>
            <w:r>
              <w:rPr>
                <w:rFonts w:ascii="Times New Roman" w:cs="Times New Roman" w:eastAsia="Times New Roman" w:hAnsi="Times New Roman"/>
                <w:sz w:val="16"/>
                <w:szCs w:val="16"/>
                <w:b w:val="1"/>
                <w:bCs w:val="1"/>
                <w:color w:val="auto"/>
                <w:w w:val="99"/>
              </w:rPr>
              <w:t>Name and Address of</w:t>
            </w:r>
          </w:p>
        </w:tc>
        <w:tc>
          <w:tcPr>
            <w:tcW w:w="254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2160" w:type="dxa"/>
            <w:vAlign w:val="bottom"/>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5"/>
        </w:trPr>
        <w:tc>
          <w:tcPr>
            <w:tcW w:w="20" w:type="dxa"/>
            <w:vAlign w:val="bottom"/>
          </w:tcPr>
          <w:p>
            <w:pPr>
              <w:spacing w:after="0"/>
              <w:rPr>
                <w:sz w:val="18"/>
                <w:szCs w:val="18"/>
                <w:color w:val="auto"/>
              </w:rPr>
            </w:pPr>
          </w:p>
        </w:tc>
        <w:tc>
          <w:tcPr>
            <w:tcW w:w="442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6"/>
                <w:szCs w:val="16"/>
                <w:b w:val="1"/>
                <w:bCs w:val="1"/>
                <w:color w:val="auto"/>
              </w:rPr>
              <w:t>Beneficial Owner (1)</w:t>
            </w:r>
          </w:p>
        </w:tc>
        <w:tc>
          <w:tcPr>
            <w:tcW w:w="2540" w:type="dxa"/>
            <w:vAlign w:val="bottom"/>
            <w:tcBorders>
              <w:bottom w:val="single" w:sz="8" w:color="auto"/>
            </w:tcBorders>
            <w:gridSpan w:val="2"/>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rPr>
              <w:t>Beneficially Owned (2)</w:t>
            </w:r>
          </w:p>
        </w:tc>
        <w:tc>
          <w:tcPr>
            <w:tcW w:w="21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Beneficially Owned (2)</w:t>
            </w:r>
          </w:p>
        </w:tc>
      </w:tr>
      <w:tr>
        <w:trPr>
          <w:trHeight w:val="176"/>
        </w:trPr>
        <w:tc>
          <w:tcPr>
            <w:tcW w:w="20" w:type="dxa"/>
            <w:vAlign w:val="bottom"/>
          </w:tcPr>
          <w:p>
            <w:pPr>
              <w:spacing w:after="0"/>
              <w:rPr>
                <w:sz w:val="15"/>
                <w:szCs w:val="15"/>
                <w:color w:val="auto"/>
              </w:rPr>
            </w:pPr>
          </w:p>
        </w:tc>
        <w:tc>
          <w:tcPr>
            <w:tcW w:w="44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Roderick R. Baty</w:t>
            </w:r>
          </w:p>
        </w:tc>
        <w:tc>
          <w:tcPr>
            <w:tcW w:w="1900" w:type="dxa"/>
            <w:vAlign w:val="bottom"/>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278,695</w:t>
            </w:r>
          </w:p>
        </w:tc>
        <w:tc>
          <w:tcPr>
            <w:tcW w:w="640" w:type="dxa"/>
            <w:vAlign w:val="bottom"/>
          </w:tcPr>
          <w:p>
            <w:pPr>
              <w:jc w:val="center"/>
              <w:ind w:right="60"/>
              <w:spacing w:after="0" w:line="176" w:lineRule="exact"/>
              <w:rPr>
                <w:sz w:val="20"/>
                <w:szCs w:val="20"/>
                <w:color w:val="auto"/>
              </w:rPr>
            </w:pPr>
            <w:r>
              <w:rPr>
                <w:rFonts w:ascii="Times New Roman" w:cs="Times New Roman" w:eastAsia="Times New Roman" w:hAnsi="Times New Roman"/>
                <w:sz w:val="16"/>
                <w:szCs w:val="16"/>
                <w:color w:val="auto"/>
                <w:w w:val="96"/>
              </w:rPr>
              <w:t>(3)</w:t>
            </w:r>
          </w:p>
        </w:tc>
        <w:tc>
          <w:tcPr>
            <w:tcW w:w="2160" w:type="dxa"/>
            <w:vAlign w:val="bottom"/>
          </w:tcPr>
          <w:p>
            <w:pPr>
              <w:jc w:val="right"/>
              <w:ind w:right="860"/>
              <w:spacing w:after="0" w:line="176" w:lineRule="exact"/>
              <w:rPr>
                <w:sz w:val="20"/>
                <w:szCs w:val="20"/>
                <w:color w:val="auto"/>
              </w:rPr>
            </w:pPr>
            <w:r>
              <w:rPr>
                <w:rFonts w:ascii="Times New Roman" w:cs="Times New Roman" w:eastAsia="Times New Roman" w:hAnsi="Times New Roman"/>
                <w:sz w:val="16"/>
                <w:szCs w:val="16"/>
                <w:color w:val="auto"/>
              </w:rPr>
              <w:t>1.7%</w:t>
            </w:r>
          </w:p>
        </w:tc>
      </w:tr>
      <w:tr>
        <w:trPr>
          <w:trHeight w:val="192"/>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H. Dorton</w:t>
            </w:r>
          </w:p>
        </w:tc>
        <w:tc>
          <w:tcPr>
            <w:tcW w:w="1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37,000</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6"/>
              </w:rPr>
              <w:t>(4)</w:t>
            </w:r>
          </w:p>
        </w:tc>
        <w:tc>
          <w:tcPr>
            <w:tcW w:w="216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Nicola Trombetti</w:t>
            </w:r>
          </w:p>
        </w:tc>
        <w:tc>
          <w:tcPr>
            <w:tcW w:w="1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60,334</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6"/>
              </w:rPr>
              <w:t>(5)</w:t>
            </w:r>
          </w:p>
        </w:tc>
        <w:tc>
          <w:tcPr>
            <w:tcW w:w="216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Frank T. Gentry III</w:t>
            </w:r>
          </w:p>
        </w:tc>
        <w:tc>
          <w:tcPr>
            <w:tcW w:w="1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81,561</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6"/>
              </w:rPr>
              <w:t>(6)</w:t>
            </w:r>
          </w:p>
        </w:tc>
        <w:tc>
          <w:tcPr>
            <w:tcW w:w="216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O. Anderson</w:t>
            </w:r>
          </w:p>
        </w:tc>
        <w:tc>
          <w:tcPr>
            <w:tcW w:w="1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27,666</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6"/>
              </w:rPr>
              <w:t>(7)</w:t>
            </w:r>
          </w:p>
        </w:tc>
        <w:tc>
          <w:tcPr>
            <w:tcW w:w="216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E. Werner</w:t>
            </w:r>
          </w:p>
        </w:tc>
        <w:tc>
          <w:tcPr>
            <w:tcW w:w="1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76,287</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6"/>
              </w:rPr>
              <w:t>(8)</w:t>
            </w:r>
          </w:p>
        </w:tc>
        <w:tc>
          <w:tcPr>
            <w:tcW w:w="216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 Ronald Morris</w:t>
            </w:r>
          </w:p>
        </w:tc>
        <w:tc>
          <w:tcPr>
            <w:tcW w:w="1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76,000</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6"/>
              </w:rPr>
              <w:t>(9)</w:t>
            </w:r>
          </w:p>
        </w:tc>
        <w:tc>
          <w:tcPr>
            <w:tcW w:w="216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Steven T. Warshaw</w:t>
            </w:r>
          </w:p>
        </w:tc>
        <w:tc>
          <w:tcPr>
            <w:tcW w:w="1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68,000</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7"/>
              </w:rPr>
              <w:t>(10)</w:t>
            </w:r>
          </w:p>
        </w:tc>
        <w:tc>
          <w:tcPr>
            <w:tcW w:w="216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M. Aiken, Jr.</w:t>
            </w:r>
          </w:p>
        </w:tc>
        <w:tc>
          <w:tcPr>
            <w:tcW w:w="1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56,000</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7"/>
              </w:rPr>
              <w:t>(11)</w:t>
            </w:r>
          </w:p>
        </w:tc>
        <w:tc>
          <w:tcPr>
            <w:tcW w:w="216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Richard G. Fanelli</w:t>
            </w:r>
          </w:p>
        </w:tc>
        <w:tc>
          <w:tcPr>
            <w:tcW w:w="1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25,000</w:t>
            </w:r>
          </w:p>
        </w:tc>
        <w:tc>
          <w:tcPr>
            <w:tcW w:w="64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7"/>
              </w:rPr>
              <w:t>(12)</w:t>
            </w:r>
          </w:p>
        </w:tc>
        <w:tc>
          <w:tcPr>
            <w:tcW w:w="216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 directors and executive officers as a group (13 persons)</w:t>
            </w:r>
          </w:p>
        </w:tc>
        <w:tc>
          <w:tcPr>
            <w:tcW w:w="1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891,485</w:t>
            </w:r>
          </w:p>
        </w:tc>
        <w:tc>
          <w:tcPr>
            <w:tcW w:w="640" w:type="dxa"/>
            <w:vAlign w:val="bottom"/>
          </w:tcPr>
          <w:p>
            <w:pPr>
              <w:spacing w:after="0"/>
              <w:rPr>
                <w:sz w:val="16"/>
                <w:szCs w:val="16"/>
                <w:color w:val="auto"/>
              </w:rPr>
            </w:pPr>
          </w:p>
        </w:tc>
        <w:tc>
          <w:tcPr>
            <w:tcW w:w="216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rPr>
              <w:t>5.5%</w:t>
            </w:r>
          </w:p>
        </w:tc>
      </w:tr>
      <w:tr>
        <w:trPr>
          <w:trHeight w:val="209"/>
        </w:trPr>
        <w:tc>
          <w:tcPr>
            <w:tcW w:w="444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_______________________________</w:t>
            </w:r>
          </w:p>
        </w:tc>
        <w:tc>
          <w:tcPr>
            <w:tcW w:w="1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ind w:left="1800" w:hanging="523"/>
        <w:spacing w:after="0"/>
        <w:tabs>
          <w:tab w:leader="none" w:pos="18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07"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the beneficial owner is c/o NN, Inc., 2000 Waters Edge Drive, Building C, Suite 12, Johnson City, Tennessee 37604.</w:t>
      </w:r>
    </w:p>
    <w:p>
      <w:pPr>
        <w:spacing w:after="0" w:line="224" w:lineRule="exact"/>
        <w:rPr>
          <w:rFonts w:ascii="Times New Roman" w:cs="Times New Roman" w:eastAsia="Times New Roman" w:hAnsi="Times New Roman"/>
          <w:sz w:val="16"/>
          <w:szCs w:val="16"/>
          <w:color w:val="auto"/>
        </w:rPr>
      </w:pPr>
    </w:p>
    <w:p>
      <w:pPr>
        <w:ind w:left="580" w:hanging="274"/>
        <w:spacing w:after="0" w:line="282"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Computed in accordance with Rule 13d-3 of the Securities Exchange Act of 1934, as amended. Includes shares of Common Stock subject to options exercisable within 60 days of March 25, 2009.</w:t>
      </w:r>
    </w:p>
    <w:p>
      <w:pPr>
        <w:spacing w:after="0" w:line="168"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261,300 shares of Common Stock subject to presently exercisable options.</w:t>
      </w:r>
    </w:p>
    <w:p>
      <w:pPr>
        <w:spacing w:after="0" w:line="224"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34,000 shares of Common Stock subject to presently exercisable options.</w:t>
      </w:r>
    </w:p>
    <w:p>
      <w:pPr>
        <w:spacing w:after="0" w:line="224"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57,000 shares of Common Stock subject to presently exercisable options.</w:t>
      </w:r>
    </w:p>
    <w:p>
      <w:pPr>
        <w:spacing w:after="0" w:line="224"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50,000 shares of Common Stock subject to presently exercisable options.</w:t>
      </w:r>
    </w:p>
    <w:p>
      <w:pPr>
        <w:spacing w:after="0" w:line="224"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24,666 shares of Common Stock subject to presently exercisable options.</w:t>
      </w:r>
    </w:p>
    <w:p>
      <w:pPr>
        <w:spacing w:after="0" w:line="224"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71,000 shares of Common Stock subject to presently exercisable options and 5,287 shares of Common stock owned by Mr. Werner’s spouse.</w:t>
      </w:r>
    </w:p>
    <w:p>
      <w:pPr>
        <w:spacing w:after="0" w:line="224"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71,000 shares of Common Stock subject to presently exercisable options.</w:t>
      </w:r>
    </w:p>
    <w:p>
      <w:pPr>
        <w:spacing w:after="0" w:line="224" w:lineRule="exact"/>
        <w:rPr>
          <w:rFonts w:ascii="Times New Roman" w:cs="Times New Roman" w:eastAsia="Times New Roman" w:hAnsi="Times New Roman"/>
          <w:sz w:val="16"/>
          <w:szCs w:val="16"/>
          <w:color w:val="auto"/>
        </w:rPr>
      </w:pPr>
    </w:p>
    <w:p>
      <w:pPr>
        <w:ind w:left="580" w:hanging="35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66,000 shares of Common Stock subject to presently exercisable options.</w:t>
      </w:r>
    </w:p>
    <w:p>
      <w:pPr>
        <w:spacing w:after="0" w:line="224" w:lineRule="exact"/>
        <w:rPr>
          <w:rFonts w:ascii="Times New Roman" w:cs="Times New Roman" w:eastAsia="Times New Roman" w:hAnsi="Times New Roman"/>
          <w:sz w:val="16"/>
          <w:szCs w:val="16"/>
          <w:color w:val="auto"/>
        </w:rPr>
      </w:pPr>
    </w:p>
    <w:p>
      <w:pPr>
        <w:ind w:left="580" w:hanging="348"/>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53,000 shares of Common Stock subject to presently exercisable options.</w:t>
      </w:r>
    </w:p>
    <w:p>
      <w:pPr>
        <w:spacing w:after="0" w:line="224" w:lineRule="exact"/>
        <w:rPr>
          <w:rFonts w:ascii="Times New Roman" w:cs="Times New Roman" w:eastAsia="Times New Roman" w:hAnsi="Times New Roman"/>
          <w:sz w:val="16"/>
          <w:szCs w:val="16"/>
          <w:color w:val="auto"/>
        </w:rPr>
      </w:pPr>
    </w:p>
    <w:p>
      <w:pPr>
        <w:ind w:left="580" w:hanging="354"/>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23,000 shares of Common Stock subject to presently exercisable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w:t>
      </w:r>
    </w:p>
    <w:p>
      <w:pPr>
        <w:spacing w:after="0" w:line="2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6"/>
          <w:szCs w:val="16"/>
          <w:color w:val="auto"/>
        </w:rPr>
        <w:t>The following table sets forth the number of shares of the Company's Common Stock beneficially owned by the only parties known to the Company's management to own more than 5% of the Company's Common Stock, based on 16,267,924 shares of Common Stock outstanding on March 25, 2009.</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ind w:left="1280"/>
              <w:spacing w:after="0"/>
              <w:rPr>
                <w:sz w:val="20"/>
                <w:szCs w:val="20"/>
                <w:color w:val="auto"/>
              </w:rPr>
            </w:pPr>
            <w:r>
              <w:rPr>
                <w:rFonts w:ascii="Times New Roman" w:cs="Times New Roman" w:eastAsia="Times New Roman" w:hAnsi="Times New Roman"/>
                <w:sz w:val="16"/>
                <w:szCs w:val="16"/>
                <w:b w:val="1"/>
                <w:bCs w:val="1"/>
                <w:color w:val="auto"/>
              </w:rPr>
              <w:t>Name and Address of</w:t>
            </w:r>
          </w:p>
        </w:tc>
        <w:tc>
          <w:tcPr>
            <w:tcW w:w="242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720" w:type="dxa"/>
            <w:vAlign w:val="bottom"/>
          </w:tcPr>
          <w:p>
            <w:pPr>
              <w:spacing w:after="0"/>
              <w:rPr>
                <w:sz w:val="16"/>
                <w:szCs w:val="16"/>
                <w:color w:val="auto"/>
              </w:rPr>
            </w:pPr>
          </w:p>
        </w:tc>
        <w:tc>
          <w:tcPr>
            <w:tcW w:w="226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215"/>
        </w:trPr>
        <w:tc>
          <w:tcPr>
            <w:tcW w:w="374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6"/>
                <w:szCs w:val="16"/>
                <w:b w:val="1"/>
                <w:bCs w:val="1"/>
                <w:color w:val="auto"/>
              </w:rPr>
              <w:t>Beneficial Owner</w:t>
            </w:r>
          </w:p>
        </w:tc>
        <w:tc>
          <w:tcPr>
            <w:tcW w:w="24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7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Beneficially Owned</w:t>
            </w:r>
          </w:p>
        </w:tc>
      </w:tr>
      <w:tr>
        <w:trPr>
          <w:trHeight w:val="392"/>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Wells Capital Management Incorporated</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92"/>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525 Market Street</w:t>
            </w:r>
          </w:p>
        </w:tc>
        <w:tc>
          <w:tcPr>
            <w:tcW w:w="2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192"/>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10th Floor</w:t>
            </w:r>
          </w:p>
        </w:tc>
        <w:tc>
          <w:tcPr>
            <w:tcW w:w="2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09"/>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Francisco, CA 94104</w:t>
            </w:r>
          </w:p>
        </w:tc>
        <w:tc>
          <w:tcPr>
            <w:tcW w:w="24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1,357,720</w:t>
            </w:r>
          </w:p>
        </w:tc>
        <w:tc>
          <w:tcPr>
            <w:tcW w:w="7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w:t>
            </w:r>
          </w:p>
        </w:tc>
        <w:tc>
          <w:tcPr>
            <w:tcW w:w="226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rPr>
              <w:t>8.4%</w:t>
            </w:r>
          </w:p>
        </w:tc>
      </w:tr>
      <w:tr>
        <w:trPr>
          <w:trHeight w:val="392"/>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Dimensional Fund Advisors LP</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92"/>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1299 Ocean Avenue</w:t>
            </w:r>
          </w:p>
        </w:tc>
        <w:tc>
          <w:tcPr>
            <w:tcW w:w="2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09"/>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Santa Monica, CA 90401</w:t>
            </w:r>
          </w:p>
        </w:tc>
        <w:tc>
          <w:tcPr>
            <w:tcW w:w="24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1,327,816</w:t>
            </w:r>
          </w:p>
        </w:tc>
        <w:tc>
          <w:tcPr>
            <w:tcW w:w="7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w:t>
            </w:r>
          </w:p>
        </w:tc>
        <w:tc>
          <w:tcPr>
            <w:tcW w:w="226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rPr>
              <w:t>8.2%</w:t>
            </w:r>
          </w:p>
        </w:tc>
      </w:tr>
      <w:tr>
        <w:trPr>
          <w:trHeight w:val="392"/>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Royce &amp; Associates, LLC</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92"/>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1414 Avenue of the Americas</w:t>
            </w:r>
          </w:p>
        </w:tc>
        <w:tc>
          <w:tcPr>
            <w:tcW w:w="2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09"/>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New York, NY 10019</w:t>
            </w:r>
          </w:p>
        </w:tc>
        <w:tc>
          <w:tcPr>
            <w:tcW w:w="24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1,228,308</w:t>
            </w:r>
          </w:p>
        </w:tc>
        <w:tc>
          <w:tcPr>
            <w:tcW w:w="7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(3)</w:t>
            </w:r>
          </w:p>
        </w:tc>
        <w:tc>
          <w:tcPr>
            <w:tcW w:w="226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rPr>
              <w:t>7.6%</w:t>
            </w:r>
          </w:p>
        </w:tc>
      </w:tr>
      <w:tr>
        <w:trPr>
          <w:trHeight w:val="392"/>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Barclays Global Investors, N.A.</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92"/>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400 Howard Street</w:t>
            </w:r>
          </w:p>
        </w:tc>
        <w:tc>
          <w:tcPr>
            <w:tcW w:w="2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09"/>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Francisco, CA 94105</w:t>
            </w:r>
          </w:p>
        </w:tc>
        <w:tc>
          <w:tcPr>
            <w:tcW w:w="24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1,203,224</w:t>
            </w:r>
          </w:p>
        </w:tc>
        <w:tc>
          <w:tcPr>
            <w:tcW w:w="7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(4)</w:t>
            </w:r>
          </w:p>
        </w:tc>
        <w:tc>
          <w:tcPr>
            <w:tcW w:w="226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rPr>
              <w:t>7.4%</w:t>
            </w:r>
          </w:p>
        </w:tc>
      </w:tr>
    </w:tbl>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224" w:lineRule="exact"/>
        <w:rPr>
          <w:sz w:val="20"/>
          <w:szCs w:val="20"/>
          <w:color w:val="auto"/>
        </w:rPr>
      </w:pPr>
    </w:p>
    <w:p>
      <w:pPr>
        <w:ind w:left="580" w:hanging="274"/>
        <w:spacing w:after="0" w:line="282"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based on Schedule 13G filed on January 21, 2009 with the Securities and Exchange Commission by Wells Fargo &amp; Company, on behalf of Wells Capital Management Incorporated, Wells Fargo Funds Management, LLC and Wells Fargo Bank, National Association, its subsidiaries.</w:t>
      </w:r>
    </w:p>
    <w:p>
      <w:pPr>
        <w:spacing w:after="0" w:line="168"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based on Schedule 13G filed on February 9, 2009 with the Securities and Exchange Commission by Dimensional Fund Advisors LP.</w:t>
      </w:r>
    </w:p>
    <w:p>
      <w:pPr>
        <w:spacing w:after="0" w:line="224"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based on Schedule 13G filed on January 27, 2009 with the Securities and Exchange Commission by Royce &amp; Associates, LLC.</w:t>
      </w:r>
    </w:p>
    <w:p>
      <w:pPr>
        <w:spacing w:after="0" w:line="224"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based on Schedule 13G filed on February 5, 2009 with the Securities and Exchange Commission by Barclays Global Investors, N.A.</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Section 16(a) Beneficial Ownership Reporting Compliance</w:t>
      </w:r>
    </w:p>
    <w:p>
      <w:pPr>
        <w:spacing w:after="0" w:line="2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6"/>
          <w:szCs w:val="16"/>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These persons also are required by SEC regulations to furnish the Company with copies of all filed reports.</w:t>
      </w:r>
    </w:p>
    <w:p>
      <w:pPr>
        <w:spacing w:after="0" w:line="18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6"/>
          <w:szCs w:val="16"/>
          <w:color w:val="auto"/>
        </w:rPr>
        <w:t>Based solely on its review of the copies of these reports furnished to the Company for the year ended December 31, 2008, the Company is not aware of any instance of noncompliance with Section 16(a) by its directors, executive officers or owners of more than 10% of the Common Stock.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Principles</w:t>
      </w:r>
    </w:p>
    <w:p>
      <w:pPr>
        <w:spacing w:after="0" w:line="2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6"/>
          <w:szCs w:val="16"/>
          <w:color w:val="auto"/>
        </w:rPr>
        <w:t>The goal of the Company is to structure its compensation arrangements for executive officers in a manner that will promote the Company's profitability and enhance shareholder value. In designing its compensation arrangements to achieve this goal, the Company is guided by the following objectives:</w:t>
      </w:r>
    </w:p>
    <w:p>
      <w:pPr>
        <w:spacing w:after="0" w:line="168" w:lineRule="exact"/>
        <w:rPr>
          <w:sz w:val="20"/>
          <w:szCs w:val="20"/>
          <w:color w:val="auto"/>
        </w:rPr>
      </w:pPr>
    </w:p>
    <w:p>
      <w:pPr>
        <w:ind w:left="1140" w:hanging="111"/>
        <w:spacing w:after="0"/>
        <w:tabs>
          <w:tab w:leader="none" w:pos="1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and retaining qualified and dedicated executives who are essential to the long-term success of the Company;</w:t>
      </w:r>
    </w:p>
    <w:p>
      <w:pPr>
        <w:spacing w:after="0" w:line="224" w:lineRule="exact"/>
        <w:rPr>
          <w:rFonts w:ascii="Times New Roman" w:cs="Times New Roman" w:eastAsia="Times New Roman" w:hAnsi="Times New Roman"/>
          <w:sz w:val="16"/>
          <w:szCs w:val="16"/>
          <w:color w:val="auto"/>
        </w:rPr>
      </w:pPr>
    </w:p>
    <w:p>
      <w:pPr>
        <w:ind w:left="1140" w:hanging="111"/>
        <w:spacing w:after="0" w:line="282" w:lineRule="auto"/>
        <w:tabs>
          <w:tab w:leader="none" w:pos="1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compensation packages that are competitive with the compensation arrangements offered by comparable companies, including the Company's competitors;</w:t>
      </w:r>
    </w:p>
    <w:p>
      <w:pPr>
        <w:spacing w:after="0" w:line="168" w:lineRule="exact"/>
        <w:rPr>
          <w:rFonts w:ascii="Times New Roman" w:cs="Times New Roman" w:eastAsia="Times New Roman" w:hAnsi="Times New Roman"/>
          <w:sz w:val="16"/>
          <w:szCs w:val="16"/>
          <w:color w:val="auto"/>
        </w:rPr>
      </w:pPr>
    </w:p>
    <w:p>
      <w:pPr>
        <w:ind w:left="1140" w:hanging="111"/>
        <w:spacing w:after="0"/>
        <w:tabs>
          <w:tab w:leader="none" w:pos="1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tying a significant portion of an executive officer's compensation to the Company's and the individual's performance; and</w:t>
      </w:r>
    </w:p>
    <w:p>
      <w:pPr>
        <w:spacing w:after="0" w:line="224" w:lineRule="exact"/>
        <w:rPr>
          <w:rFonts w:ascii="Times New Roman" w:cs="Times New Roman" w:eastAsia="Times New Roman" w:hAnsi="Times New Roman"/>
          <w:sz w:val="16"/>
          <w:szCs w:val="16"/>
          <w:color w:val="auto"/>
        </w:rPr>
      </w:pPr>
    </w:p>
    <w:p>
      <w:pPr>
        <w:ind w:left="1140" w:hanging="111"/>
        <w:spacing w:after="0"/>
        <w:tabs>
          <w:tab w:leader="none" w:pos="1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aligning the interests of management with the interests of the shareholders through stock-based compensation arrangements.</w:t>
      </w:r>
    </w:p>
    <w:p>
      <w:pPr>
        <w:spacing w:after="0" w:line="22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6"/>
          <w:szCs w:val="16"/>
          <w:color w:val="auto"/>
        </w:rPr>
        <w:t>In 2008, the components of the Company's executive compensation arrangements consisted of salary, cash bonus, stock option award opportunities, restricted stock opportunities and long-term incentive plan opportunities pursuant to the Incentive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 Compensation</w:t>
      </w:r>
    </w:p>
    <w:p>
      <w:pPr>
        <w:spacing w:after="0" w:line="2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The Company believes the interests of the Company and its shareholders are best served by developing and maintaining compensation policies that are consistent and competitive with peer group companies. The Company, therefore, periodically retains the services of an outside compensation consulting firm to conduct peer group benchmarking of public industrial companies of similar size, manufacturing capabilities and market segments and utilizes this information to aid in establishing a competitive compensation program for the Company. The following criteria are utilized as a basis for this program: performance (revenue growth, earnings per share growth, return on net assets, return on equity and total shareholder return), executive pay, annual incentive/bonus, benefits, stock option award opportunities and long-term incentive plan opportunities. The most recent benchmarking study conducted by Mercer, an outside consulting firm, in August 2007 included the following companies: Central Steel and Wire Co., Astec Industries, Inc., Cascade Corporation, Esco Technologies, Keystone Consolidated Industries, Haynes International, Kaydon, WHX Corporation, Northwest Pipe Company, Claymont Steel Holdings, Hardinge Inc., RBC Bearings, Gorman-Rupp Company, Webco Industries and Universal Stainless &amp; Alloy Products. Additionally, the study utilized relevant published compensation surveys to develop total market data for executive management positions within the Company.</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6"/>
          <w:szCs w:val="16"/>
          <w:color w:val="auto"/>
        </w:rPr>
        <w:t>The current executive compensation structure includes a formal salary grade structure that establishes five levels of executive compensation within the Company. In addition, a formal annual incentive bonus plan includes threshold, target and maximum awards based upon pre-established financial performance criteria.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Salary</w:t>
      </w:r>
    </w:p>
    <w:p>
      <w:pPr>
        <w:spacing w:after="0" w:line="22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5"/>
          <w:szCs w:val="15"/>
          <w:color w:val="auto"/>
        </w:rPr>
        <w:t>The salary levels for the Company’s executive officers and managers are reviewed and determined annually by the Compensation Committee. Salaries are established and adjusted based upon three factors: individual performance, financial performance of the Company and peer group and total market data established by the compensation studies</w:t>
      </w:r>
    </w:p>
    <w:p>
      <w:pPr>
        <w:spacing w:after="0" w:line="1" w:lineRule="exact"/>
        <w:rPr>
          <w:sz w:val="20"/>
          <w:szCs w:val="20"/>
          <w:color w:val="auto"/>
        </w:rPr>
      </w:pPr>
    </w:p>
    <w:p>
      <w:pPr>
        <w:ind w:right="360"/>
        <w:spacing w:after="0" w:line="193" w:lineRule="auto"/>
        <w:rPr>
          <w:sz w:val="20"/>
          <w:szCs w:val="20"/>
          <w:color w:val="auto"/>
        </w:rPr>
      </w:pPr>
      <w:r>
        <w:rPr>
          <w:rFonts w:ascii="Times New Roman" w:cs="Times New Roman" w:eastAsia="Times New Roman" w:hAnsi="Times New Roman"/>
          <w:sz w:val="16"/>
          <w:szCs w:val="16"/>
          <w:color w:val="auto"/>
        </w:rPr>
        <w:t>performed by an outside compensation consulting firm. It is the policy of the Company to compensate executives in a targeted range of approximately the 50</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16"/>
          <w:szCs w:val="16"/>
          <w:color w:val="auto"/>
        </w:rPr>
        <w:t xml:space="preserve"> percentile of market of total direct compensation. Direct compensation is defined as base salary, bonus, stock option award opportunities and long-term incentive plan opportunities.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Annual Bonus</w:t>
      </w:r>
    </w:p>
    <w:p>
      <w:pPr>
        <w:spacing w:after="0" w:line="2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Annual bonus payments are made contingent on achieving certain goals and objectives as defined in a formalized plan. At the beginning of each fiscal year, the Compensation Committee establishes net income goals for each operating business unit and the consolidated results of the Company based upon the Board of Director approved annual business plan. The Committee then sets certain threshold, target and maximum bonus payment percentages for each executive officer dependent upon the executive’s salary level and base compensation. The Compensation Committee, at its discretion, may make adjustments to the net income goals and set additional strategic goals based on certain factors as it feels appropriate and may grant bonuses using other criteria at its sole discretion.</w:t>
      </w:r>
    </w:p>
    <w:p>
      <w:pPr>
        <w:spacing w:after="0" w:line="18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5"/>
          <w:szCs w:val="15"/>
          <w:color w:val="auto"/>
        </w:rPr>
        <w:t>For the fiscal years 2007 and 2008, the Company’s formal bonus plan established consolidated threshold net income at $16.0 million and $13.7 million, respectively, consolidated target net income at $17.3 million and $15.2 million, respectively, and consolidated maximum net income at $22.4 million and $18.2 million, respectively. Beginning for fiscal year 2008, the Company’s formal bonus plan included working capital improvement goals. Improvements in accounts receivable and inventory levels of consolidated threshold reductions of $4.0 million and $2.0 million, respectively, consolidated target reductions of $4.4 million and $2.2 million, respectively, and consolidated maximum reductions of $5.4 million and $2.6 million, respectively. Net income goals and working capital improvement goals accounted for 80% and 20% of the total bonus opportunity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bonuses paid to Named Executive Officers for 2007 and 2008 are set forth in the Summary Compensation Table.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Incentive Plan</w:t>
      </w:r>
    </w:p>
    <w:p>
      <w:pPr>
        <w:spacing w:after="0" w:line="22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6"/>
          <w:szCs w:val="16"/>
          <w:color w:val="auto"/>
        </w:rPr>
        <w:t>The Incentive Plan which was adopted by the board of directors on April 8, 2005 and approved by the shareholders on May 18, 2005 reserves 1.0 million shares of Common Stock for the issuance of options and stock appreciation rights and 300,000 shares of restricted stock, restricted stock units, performance shares and stock awards to directors, executive officers and other key employees. This Incentive Plan replaced the NN, Inc. Stock Incentive Plan which was adopted on March 2, 1994 and expired on March 2, 2004. Stock options granted under the former plan prior to its expiration are exercisable upon vesting for a period of ten years after the date of grant.</w:t>
      </w:r>
    </w:p>
    <w:p>
      <w:pPr>
        <w:spacing w:after="0" w:line="1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Stock options and restricted share grants to the Company’s executive officers and managers are generally reviewed and determined annually by the Compensation Committee. With respect to options and restricted shares awarded, the Committee utilizes a structure based upon the following: recommendations from the independent compensation review, Mr. Baty’s recommendations (other than for himself) and rewards to officers and other key employees for superior performance and to provide financial incentives for officers and employees to continue to perform in a superior manner. The Company awarded 160,000 options to fifteen directors, executive officers and other key employees during 2008.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of the Chief Executive Officer</w:t>
      </w:r>
    </w:p>
    <w:p>
      <w:pPr>
        <w:spacing w:after="0" w:line="22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color w:val="auto"/>
        </w:rPr>
        <w:t>The Company's decisions regarding compensation of its Chief Executive Officer are guided by the same policies and considerations that govern compensation of the Company's other executive officers. Mr. Baty’s salary is established and adjusted based upon three factors: individual performance, financial performance of the Company and peer group and total market data established by compensation studies performed by an outside compensation consulting firm. The Compensation Committee reviews and evaluates Mr. Baty’s individual performance annually on the basis of his actual performance in comparison to written financial and strategic objectives established at the beginning of the year by Mr. Baty and the Committee. The Compensation Committee also evaluates Mr. Baty based upon the financial performance of the Company as compared to the Company’s annual business plan and compares Mr. Baty’s compensation to the peer companies at the 50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color w:val="auto"/>
        </w:rPr>
        <w:t xml:space="preserve"> percentile of market of total direct compensation. Direct compensation is defined as base salary, bonus, stock option award opportunities and long-term incentive plan opportunities. Additionally, on an annual basis, Mr. Baty prepares a written succession plan that is reviewed by the Compensation Committee. This plan includes a plan of succession for Mr. Baty and the executive management of the Company.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Compliance with Internal Revenue Code Section 162(m)</w:t>
      </w:r>
    </w:p>
    <w:p>
      <w:pPr>
        <w:spacing w:after="0" w:line="2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No compensation paid to the executive officers in 2008 exceeded the limit imposed by Section 162(m).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2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6"/>
          <w:szCs w:val="16"/>
          <w:color w:val="auto"/>
        </w:rPr>
        <w:t>The following table sets forth for the year ended December 31, 2008 information concerning the compensation paid for services rendered in all capacities by the Company to its Chief Executive Officer and Chief Financial Officer and to each of the other three most highly compensated executive officers of the Company whose annual salary and bonus in 2008 exceeded $100,000.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Summary Compensation Table for 2008</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606"/>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2"/>
        </w:trPr>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Nonqualified</w:t>
            </w: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Pr>
          <w:p>
            <w:pPr>
              <w:spacing w:after="0"/>
              <w:rPr>
                <w:sz w:val="16"/>
                <w:szCs w:val="16"/>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Compen-</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6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80" w:type="dxa"/>
            <w:vAlign w:val="bottom"/>
          </w:tcPr>
          <w:p>
            <w:pPr>
              <w:spacing w:after="0"/>
              <w:rPr>
                <w:sz w:val="16"/>
                <w:szCs w:val="16"/>
                <w:color w:val="auto"/>
              </w:rPr>
            </w:pPr>
          </w:p>
        </w:tc>
      </w:tr>
      <w:tr>
        <w:trPr>
          <w:trHeight w:val="192"/>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5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7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Awards Awards ($)</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6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5"/>
        </w:trPr>
        <w:tc>
          <w:tcPr>
            <w:tcW w:w="17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5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7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Bonus ($)</w:t>
            </w:r>
          </w:p>
        </w:tc>
        <w:tc>
          <w:tcPr>
            <w:tcW w:w="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($)(4)(5)(6)(7)</w:t>
            </w: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68"/>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Roderick R. Baty</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2"/>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Chairman/Chief</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420,774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14,942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542,556</w:t>
            </w:r>
          </w:p>
        </w:tc>
      </w:tr>
      <w:tr>
        <w:trPr>
          <w:trHeight w:val="209"/>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Executive Officer</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430,080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16,490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560,758</w:t>
            </w:r>
          </w:p>
        </w:tc>
      </w:tr>
      <w:tr>
        <w:trPr>
          <w:trHeight w:val="368"/>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James H. Dorton</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2"/>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-Chief</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14,327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307,643</w:t>
            </w:r>
          </w:p>
        </w:tc>
      </w:tr>
      <w:tr>
        <w:trPr>
          <w:trHeight w:val="209"/>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Financial Officer</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219,738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14,737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283,413</w:t>
            </w:r>
          </w:p>
        </w:tc>
      </w:tr>
      <w:tr>
        <w:trPr>
          <w:trHeight w:val="368"/>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Nicola Trombetti</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2"/>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w:t>
            </w: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Managing Director,</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397,126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43,821</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4,851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478,558</w:t>
            </w:r>
          </w:p>
        </w:tc>
      </w:tr>
      <w:tr>
        <w:trPr>
          <w:trHeight w:val="209"/>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NN Europe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366,341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118,381</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5,951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539,611</w:t>
            </w:r>
          </w:p>
        </w:tc>
      </w:tr>
      <w:tr>
        <w:trPr>
          <w:trHeight w:val="368"/>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Frank T. Gentry III</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2"/>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w:t>
            </w: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Manager,</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90,640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14,209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356,409</w:t>
            </w:r>
          </w:p>
        </w:tc>
      </w:tr>
      <w:tr>
        <w:trPr>
          <w:trHeight w:val="209"/>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U.S. Ball &amp; Roller Div.</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207,009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76,720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14,796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347,463</w:t>
            </w:r>
          </w:p>
        </w:tc>
      </w:tr>
      <w:tr>
        <w:trPr>
          <w:trHeight w:val="368"/>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James O. Anderson</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2"/>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Vice President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12,585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268,945</w:t>
            </w:r>
          </w:p>
        </w:tc>
      </w:tr>
      <w:tr>
        <w:trPr>
          <w:trHeight w:val="209"/>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Plastics &amp; Rubber Div.</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64,500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12,628</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311,834</w:t>
            </w:r>
          </w:p>
        </w:tc>
      </w:tr>
    </w:tbl>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______________________________</w:t>
      </w:r>
    </w:p>
    <w:p>
      <w:pPr>
        <w:spacing w:after="0" w:line="224" w:lineRule="exact"/>
        <w:rPr>
          <w:sz w:val="20"/>
          <w:szCs w:val="20"/>
          <w:color w:val="auto"/>
        </w:rPr>
      </w:pPr>
    </w:p>
    <w:p>
      <w:pPr>
        <w:jc w:val="both"/>
        <w:ind w:left="580" w:hanging="274"/>
        <w:spacing w:after="0" w:line="261"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economic conditions the Company experienced in the fourth quarter of 2008 and expects to continue throughout 2009, the Company’s executive management has voluntarily elected to reduce their base salaries. Mr. Baty’s base salary was reduced by 20% effective November 17, 2008. Base salaries for Messrs. Dorton, Trombetti, Gentry and Anderson were reduced by 15% effective February 9, 2009. Salaries for executive management will remain frozen at these levels until economic conditions improve or until a time deemed appropriate by the Company’s board of directors.</w:t>
      </w:r>
    </w:p>
    <w:p>
      <w:pPr>
        <w:spacing w:after="0" w:line="184" w:lineRule="exact"/>
        <w:rPr>
          <w:rFonts w:ascii="Times New Roman" w:cs="Times New Roman" w:eastAsia="Times New Roman" w:hAnsi="Times New Roman"/>
          <w:sz w:val="16"/>
          <w:szCs w:val="16"/>
          <w:color w:val="auto"/>
        </w:rPr>
      </w:pPr>
    </w:p>
    <w:p>
      <w:pPr>
        <w:jc w:val="both"/>
        <w:ind w:left="580" w:right="20" w:hanging="274"/>
        <w:spacing w:after="0" w:line="261"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Bonuses that were earned in fiscal 2007 were paid during the second fiscal quarter of 2008. Because of the current economic environment and the resulting efforts of the Company to conserve cash during this time, the payment of bonuses earned in fiscal 2008 have been deferred until economic conditions improve or until a time deemed appropriate by the Company’s board of directors. For 2008, with the exception of Mr. Gentry, all earned bonuses for the above Named Executives relate to achievement of established working capital objectives. Mr. Gentry achieved both net income and working capital objectives.</w:t>
      </w:r>
    </w:p>
    <w:p>
      <w:pPr>
        <w:spacing w:after="0" w:line="184" w:lineRule="exact"/>
        <w:rPr>
          <w:rFonts w:ascii="Times New Roman" w:cs="Times New Roman" w:eastAsia="Times New Roman" w:hAnsi="Times New Roman"/>
          <w:sz w:val="16"/>
          <w:szCs w:val="16"/>
          <w:color w:val="auto"/>
        </w:rPr>
      </w:pPr>
    </w:p>
    <w:p>
      <w:pPr>
        <w:jc w:val="both"/>
        <w:ind w:left="580" w:right="20" w:hanging="274"/>
        <w:spacing w:after="0" w:line="256"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market value, as calculated under the provisions of FAS 123(R), of 30,000 shares of stock options awarded Mr. Baty and 12,000 shares each awarded Messrs. Dorton, Trombetti, Gentry and Anderson. On March 6, 2008, the Company awarded 160,000 options to purchase the Company’s stock to five non-employee directors and ten executive officers and other key employees. The market value of these shares on the date of grant was $9.36 per share. The shares granted to officers and other key employees vest over a period of three years beginning on the first anniversary of the date of grant and are exercisable at the closing market price of the date of grant. The shares granted to non-employee directors vest 100% on the anniversary date of the grant and are exercisable at the closing market price of the date of grant. The assumptions used to calculate the value of these option awards are set forth under Note 9 of the Notes to Consolidated Financial Statements included in the Company’s Annual Report on Form 10-K for the year ended December 31, 2008 filed with the Commission on March 31, 2009.</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 w:name="page16"/>
    <w:bookmarkEnd w:id="15"/>
    <w:p>
      <w:pPr>
        <w:ind w:left="580" w:hanging="274"/>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$9,000 for a car allowance for each of Messrs. Baty, Dorton, Gentry and Anderson.</w:t>
      </w:r>
    </w:p>
    <w:p>
      <w:pPr>
        <w:spacing w:after="0" w:line="224" w:lineRule="exact"/>
        <w:rPr>
          <w:rFonts w:ascii="Times New Roman" w:cs="Times New Roman" w:eastAsia="Times New Roman" w:hAnsi="Times New Roman"/>
          <w:sz w:val="16"/>
          <w:szCs w:val="16"/>
          <w:color w:val="auto"/>
        </w:rPr>
      </w:pPr>
    </w:p>
    <w:p>
      <w:pPr>
        <w:ind w:left="580" w:hanging="274"/>
        <w:spacing w:after="0" w:line="282"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$4,600, $4,600, $4,556 and $3,360 in Company matching contributions under a “401(k)” savings plan for Messrs. Baty, Dorton, Gentry and Anderson, respectively. This plan is open to substantially all of the Company’s U.S. employees and officers who have met certain service and age requirements.</w:t>
      </w:r>
    </w:p>
    <w:p>
      <w:pPr>
        <w:spacing w:after="0" w:line="168" w:lineRule="exact"/>
        <w:rPr>
          <w:rFonts w:ascii="Times New Roman" w:cs="Times New Roman" w:eastAsia="Times New Roman" w:hAnsi="Times New Roman"/>
          <w:sz w:val="16"/>
          <w:szCs w:val="16"/>
          <w:color w:val="auto"/>
        </w:rPr>
      </w:pPr>
    </w:p>
    <w:p>
      <w:pPr>
        <w:ind w:left="580" w:hanging="274"/>
        <w:spacing w:after="0" w:line="282"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$1,342, $727, $653 and $225 in premiums paid by the Company for supplemental life insurance for the benefit of Messrs. Baty, Dorton, Gentry and Anderson, respectively.</w:t>
      </w:r>
    </w:p>
    <w:p>
      <w:pPr>
        <w:spacing w:after="0" w:line="168"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$4,851 for a travel indemnity paid to Mr. Trombetti by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with respect to options granted during 2008 to the Named Executive Officers.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Grants of Plan-Based Awards For 2008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Future payouts</w:t>
            </w:r>
          </w:p>
        </w:tc>
        <w:tc>
          <w:tcPr>
            <w:tcW w:w="1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Future Payouts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10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60" w:type="dxa"/>
            <w:vAlign w:val="bottom"/>
            <w:gridSpan w:val="3"/>
            <w:vMerge w:val="continue"/>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Under Non-Equity</w:t>
            </w:r>
          </w:p>
        </w:tc>
        <w:tc>
          <w:tcPr>
            <w:tcW w:w="1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 Equity Incentive Plan</w:t>
            </w:r>
          </w:p>
        </w:tc>
        <w:tc>
          <w:tcPr>
            <w:tcW w:w="9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60" w:type="dxa"/>
            <w:vAlign w:val="bottom"/>
            <w:gridSpan w:val="3"/>
            <w:vMerge w:val="continue"/>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96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74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 Base</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Incentive Plan Awards</w:t>
            </w:r>
          </w:p>
        </w:tc>
        <w:tc>
          <w:tcPr>
            <w:tcW w:w="660" w:type="dxa"/>
            <w:vAlign w:val="bottom"/>
          </w:tcPr>
          <w:p>
            <w:pPr>
              <w:spacing w:after="0"/>
              <w:rPr>
                <w:sz w:val="9"/>
                <w:szCs w:val="9"/>
                <w:color w:val="auto"/>
              </w:rPr>
            </w:pPr>
          </w:p>
        </w:tc>
        <w:tc>
          <w:tcPr>
            <w:tcW w:w="74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5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gridSpan w:val="3"/>
            <w:vMerge w:val="continue"/>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96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4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Price of</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Thres-</w:t>
            </w:r>
          </w:p>
        </w:tc>
        <w:tc>
          <w:tcPr>
            <w:tcW w:w="6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Maxi-</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Thres-</w:t>
            </w:r>
          </w:p>
        </w:tc>
        <w:tc>
          <w:tcPr>
            <w:tcW w:w="7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Maxi-</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hold</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mum</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hold</w:t>
            </w: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mum</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or</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15"/>
        </w:trPr>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7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Units (#)(2)</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Options (#)</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(1)</w:t>
            </w:r>
          </w:p>
        </w:tc>
        <w:tc>
          <w:tcPr>
            <w:tcW w:w="0" w:type="dxa"/>
            <w:vAlign w:val="bottom"/>
          </w:tcPr>
          <w:p>
            <w:pPr>
              <w:spacing w:after="0"/>
              <w:rPr>
                <w:sz w:val="1"/>
                <w:szCs w:val="1"/>
                <w:color w:val="auto"/>
              </w:rPr>
            </w:pPr>
          </w:p>
        </w:tc>
      </w:tr>
      <w:tr>
        <w:trPr>
          <w:trHeight w:val="36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Mr. Baty</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81,900</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Mr. Dorton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32,760</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Mr. Trombetti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32,760</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Mr. Gentry</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32,760</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Mr. Anderson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32,760</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580" w:hanging="274"/>
        <w:spacing w:after="0" w:line="258"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market value, as calculated under the provisions of FAS 123(R), of 30,000 shares, 12,000 shares, 12,000 shares, 12,000 shares and 12,000 shares of stock options awarded Messrs. Baty, Dorton, Trombetti, Gentry and Anderson, respectively. On March 6, 2008, the Company awarded 160,000 options to purchase the Company’s stock to five non-employee directors and twelve executive officers and other key employees. The market value of these shares on the date of grant was $9.36 per share. The shares granted to officers and other key employees vest over a period of three years beginning on the first anniversary of the date of grant and are exercisable at the closing market price of the date of grant.</w:t>
      </w:r>
    </w:p>
    <w:p>
      <w:pPr>
        <w:spacing w:after="0" w:line="188" w:lineRule="exact"/>
        <w:rPr>
          <w:rFonts w:ascii="Times New Roman" w:cs="Times New Roman" w:eastAsia="Times New Roman" w:hAnsi="Times New Roman"/>
          <w:sz w:val="16"/>
          <w:szCs w:val="16"/>
          <w:color w:val="auto"/>
        </w:rPr>
      </w:pPr>
    </w:p>
    <w:p>
      <w:pPr>
        <w:ind w:left="580" w:hanging="274"/>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23, 20008, the Company’s board of directors voted to terminate the 2007 long-term incentive plan.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color w:val="auto"/>
        </w:rPr>
        <w:t>The following table sets forth information with respect to outstanding equity awards as of December 31, 2008.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4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Year-End 2008</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12"/>
        </w:trPr>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Option Rewards</w:t>
            </w: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Stock Rewards</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20" w:type="dxa"/>
            <w:vAlign w:val="bottom"/>
          </w:tcPr>
          <w:p>
            <w:pPr>
              <w:spacing w:after="0"/>
              <w:rPr>
                <w:sz w:val="15"/>
                <w:szCs w:val="15"/>
                <w:color w:val="auto"/>
              </w:rPr>
            </w:pPr>
          </w:p>
        </w:tc>
      </w:tr>
      <w:tr>
        <w:trPr>
          <w:trHeight w:val="192"/>
        </w:trPr>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Incentive</w:t>
            </w:r>
          </w:p>
        </w:tc>
      </w:tr>
      <w:tr>
        <w:trPr>
          <w:trHeight w:val="192"/>
        </w:trPr>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Plan</w:t>
            </w:r>
          </w:p>
        </w:tc>
      </w:tr>
      <w:tr>
        <w:trPr>
          <w:trHeight w:val="192"/>
        </w:trPr>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Awards:</w:t>
            </w:r>
          </w:p>
        </w:tc>
      </w:tr>
      <w:tr>
        <w:trPr>
          <w:trHeight w:val="192"/>
        </w:trPr>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Market or</w:t>
            </w:r>
          </w:p>
        </w:tc>
      </w:tr>
      <w:tr>
        <w:trPr>
          <w:trHeight w:val="192"/>
        </w:trPr>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Payout</w:t>
            </w:r>
          </w:p>
        </w:tc>
      </w:tr>
      <w:tr>
        <w:trPr>
          <w:trHeight w:val="192"/>
        </w:trPr>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Unearned</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192"/>
        </w:trPr>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of Shares Shares or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Unearned</w:t>
            </w:r>
          </w:p>
        </w:tc>
      </w:tr>
      <w:tr>
        <w:trPr>
          <w:trHeight w:val="192"/>
        </w:trPr>
        <w:tc>
          <w:tcPr>
            <w:tcW w:w="9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Units</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Units or</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192"/>
        </w:trPr>
        <w:tc>
          <w:tcPr>
            <w:tcW w:w="9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Units or</w:t>
            </w:r>
          </w:p>
        </w:tc>
      </w:tr>
      <w:tr>
        <w:trPr>
          <w:trHeight w:val="192"/>
        </w:trPr>
        <w:tc>
          <w:tcPr>
            <w:tcW w:w="9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That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That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2"/>
        </w:trPr>
        <w:tc>
          <w:tcPr>
            <w:tcW w:w="9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Have Not Have Not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That Have</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Rights That</w:t>
            </w:r>
          </w:p>
        </w:tc>
      </w:tr>
      <w:tr>
        <w:trPr>
          <w:trHeight w:val="192"/>
        </w:trPr>
        <w:tc>
          <w:tcPr>
            <w:tcW w:w="9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Options (#)</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Not Vested</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Have Not</w:t>
            </w:r>
          </w:p>
        </w:tc>
      </w:tr>
      <w:tr>
        <w:trPr>
          <w:trHeight w:val="215"/>
        </w:trPr>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Exercisable(1)</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Unexercisable(1)</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Price ($)</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20" w:type="dxa"/>
            <w:vAlign w:val="bottom"/>
          </w:tcPr>
          <w:p>
            <w:pPr>
              <w:spacing w:after="0"/>
              <w:rPr>
                <w:sz w:val="18"/>
                <w:szCs w:val="18"/>
                <w:color w:val="auto"/>
              </w:rPr>
            </w:pP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Mr. Baty</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10/10/2010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9/17/2011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3/1/2014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8/19/2015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8/14/2016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5/25/2017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3/6/2018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Mr. Dorton</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8/19/2015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8/14/2016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5/25/2017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3/6/2018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Mr. Trombetti</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5/28/2013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3/1/2014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8/19/2015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8/14/2016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5/25/2017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3/6/2018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Mr. Gentry</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3/1/2014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8/19/2015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8/14/2016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5/25/2017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3/6/02018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Mr. Anderson</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8/19/2015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8/14/2016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9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5/25/2017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3/6/2018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ind w:left="580" w:hanging="274"/>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vest by one-third on each anniversary date over a three-year period beginning on the first anniversary date of grant.</w:t>
      </w:r>
    </w:p>
    <w:p>
      <w:pPr>
        <w:spacing w:after="0" w:line="200" w:lineRule="exact"/>
        <w:rPr>
          <w:rFonts w:ascii="Times New Roman" w:cs="Times New Roman" w:eastAsia="Times New Roman" w:hAnsi="Times New Roman"/>
          <w:sz w:val="16"/>
          <w:szCs w:val="16"/>
          <w:color w:val="auto"/>
        </w:rPr>
      </w:pPr>
    </w:p>
    <w:p>
      <w:pPr>
        <w:spacing w:after="0" w:line="372" w:lineRule="exact"/>
        <w:rPr>
          <w:rFonts w:ascii="Times New Roman" w:cs="Times New Roman" w:eastAsia="Times New Roman" w:hAnsi="Times New Roman"/>
          <w:sz w:val="16"/>
          <w:szCs w:val="16"/>
          <w:color w:val="auto"/>
        </w:rPr>
      </w:pPr>
    </w:p>
    <w:p>
      <w:pPr>
        <w:ind w:left="5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47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auto"/>
        </w:rPr>
        <w:t>The following table sets forth information with respect to option exercises and stock vesting as of December 31, 2008.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Option Exercises and Stock Vested During 2008</w:t>
            </w:r>
          </w:p>
        </w:tc>
        <w:tc>
          <w:tcPr>
            <w:tcW w:w="1620" w:type="dxa"/>
            <w:vAlign w:val="bottom"/>
          </w:tcPr>
          <w:p>
            <w:pPr>
              <w:spacing w:after="0"/>
              <w:rPr>
                <w:sz w:val="18"/>
                <w:szCs w:val="18"/>
                <w:color w:val="auto"/>
              </w:rPr>
            </w:pPr>
          </w:p>
        </w:tc>
      </w:tr>
      <w:tr>
        <w:trPr>
          <w:trHeight w:val="412"/>
        </w:trPr>
        <w:tc>
          <w:tcPr>
            <w:tcW w:w="2140" w:type="dxa"/>
            <w:vAlign w:val="bottom"/>
          </w:tcPr>
          <w:p>
            <w:pPr>
              <w:spacing w:after="0"/>
              <w:rPr>
                <w:sz w:val="24"/>
                <w:szCs w:val="24"/>
                <w:color w:val="auto"/>
              </w:rPr>
            </w:pPr>
          </w:p>
        </w:tc>
        <w:tc>
          <w:tcPr>
            <w:tcW w:w="3640" w:type="dxa"/>
            <w:vAlign w:val="bottom"/>
            <w:tcBorders>
              <w:bottom w:val="single" w:sz="8" w:color="auto"/>
            </w:tcBorders>
            <w:gridSpan w:val="2"/>
          </w:tcPr>
          <w:p>
            <w:pPr>
              <w:jc w:val="right"/>
              <w:ind w:right="13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3360" w:type="dxa"/>
            <w:vAlign w:val="bottom"/>
            <w:tcBorders>
              <w:bottom w:val="single" w:sz="8" w:color="auto"/>
            </w:tcBorders>
            <w:gridSpan w:val="2"/>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174"/>
        </w:trPr>
        <w:tc>
          <w:tcPr>
            <w:tcW w:w="2140" w:type="dxa"/>
            <w:vAlign w:val="bottom"/>
          </w:tcPr>
          <w:p>
            <w:pPr>
              <w:spacing w:after="0"/>
              <w:rPr>
                <w:sz w:val="15"/>
                <w:szCs w:val="15"/>
                <w:color w:val="auto"/>
              </w:rPr>
            </w:pPr>
          </w:p>
        </w:tc>
        <w:tc>
          <w:tcPr>
            <w:tcW w:w="19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1720" w:type="dxa"/>
            <w:vAlign w:val="bottom"/>
          </w:tcPr>
          <w:p>
            <w:pPr>
              <w:spacing w:after="0"/>
              <w:rPr>
                <w:sz w:val="15"/>
                <w:szCs w:val="15"/>
                <w:color w:val="auto"/>
              </w:rPr>
            </w:pPr>
          </w:p>
        </w:tc>
        <w:tc>
          <w:tcPr>
            <w:tcW w:w="1740" w:type="dxa"/>
            <w:vAlign w:val="bottom"/>
          </w:tcPr>
          <w:p>
            <w:pPr>
              <w:jc w:val="center"/>
              <w:ind w:right="20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620" w:type="dxa"/>
            <w:vAlign w:val="bottom"/>
          </w:tcPr>
          <w:p>
            <w:pPr>
              <w:spacing w:after="0"/>
              <w:rPr>
                <w:sz w:val="15"/>
                <w:szCs w:val="15"/>
                <w:color w:val="auto"/>
              </w:rPr>
            </w:pPr>
          </w:p>
        </w:tc>
      </w:tr>
      <w:tr>
        <w:trPr>
          <w:trHeight w:val="192"/>
        </w:trPr>
        <w:tc>
          <w:tcPr>
            <w:tcW w:w="214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Acquired on</w:t>
            </w:r>
          </w:p>
        </w:tc>
        <w:tc>
          <w:tcPr>
            <w:tcW w:w="172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Value Realized</w:t>
            </w:r>
          </w:p>
        </w:tc>
        <w:tc>
          <w:tcPr>
            <w:tcW w:w="174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Shares Acquired</w:t>
            </w:r>
          </w:p>
        </w:tc>
        <w:tc>
          <w:tcPr>
            <w:tcW w:w="16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Value Realized on</w:t>
            </w:r>
          </w:p>
        </w:tc>
      </w:tr>
      <w:tr>
        <w:trPr>
          <w:trHeight w:val="215"/>
        </w:trPr>
        <w:tc>
          <w:tcPr>
            <w:tcW w:w="2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 (#)</w:t>
            </w:r>
          </w:p>
        </w:tc>
        <w:tc>
          <w:tcPr>
            <w:tcW w:w="17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on Exercise ($)</w:t>
            </w:r>
          </w:p>
        </w:tc>
        <w:tc>
          <w:tcPr>
            <w:tcW w:w="17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on Vesting (#)</w:t>
            </w:r>
          </w:p>
        </w:tc>
        <w:tc>
          <w:tcPr>
            <w:tcW w:w="16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Vesting ($)</w:t>
            </w:r>
          </w:p>
        </w:tc>
      </w:tr>
      <w:tr>
        <w:trPr>
          <w:trHeight w:val="368"/>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Mr. Baty</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1,202,056</w:t>
            </w:r>
          </w:p>
        </w:tc>
        <w:tc>
          <w:tcPr>
            <w:tcW w:w="1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5,000</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64,250</w:t>
            </w:r>
          </w:p>
        </w:tc>
      </w:tr>
      <w:tr>
        <w:trPr>
          <w:trHeight w:val="19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Mr. Dorton</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1,667</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21,434</w:t>
            </w:r>
          </w:p>
        </w:tc>
      </w:tr>
      <w:tr>
        <w:trPr>
          <w:trHeight w:val="19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Mr. Trombetti</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103,950</w:t>
            </w:r>
          </w:p>
        </w:tc>
        <w:tc>
          <w:tcPr>
            <w:tcW w:w="1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1,667</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21,443</w:t>
            </w:r>
          </w:p>
        </w:tc>
      </w:tr>
      <w:tr>
        <w:trPr>
          <w:trHeight w:val="19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Mr. Gentry</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1,667</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21,434</w:t>
            </w:r>
          </w:p>
        </w:tc>
      </w:tr>
      <w:tr>
        <w:trPr>
          <w:trHeight w:val="209"/>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Mr. Anderson</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6,060</w:t>
            </w:r>
          </w:p>
        </w:tc>
        <w:tc>
          <w:tcPr>
            <w:tcW w:w="1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12,850</w:t>
            </w:r>
          </w:p>
        </w:tc>
      </w:tr>
    </w:tbl>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Employment and Change of Control Agreements with Named Executive Officers</w:t>
      </w:r>
    </w:p>
    <w:p>
      <w:pPr>
        <w:spacing w:after="0" w:line="2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Messrs. Baty, Dorton, Trombetti, Gentry and Anderson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the executive would continue to receive his annual salary, paid on a monthly basis, for one year from the date of termination. Additionally, Messrs. Baty, Dorton, Trombetti, Gentry and Anderson have a written change of control agreement. These agreements state if an executive’s employment is terminated within two years following a change of control as defined in the document that each executive will receive a lump sum payment of a multiple of his annual salary. The multiple for each of the executive officers is as follows: Mr. Baty – 2.5, Mr. Dorton – 2.0, Mr. Gentry – 2.0 and Mr. Anderson – 2.0. Additionally, some benefits will continue to be paid by the Company to each executive officer for a period of time of 12 months. Each of Messrs. Baty, Dorton, Gentry and Anderson have also agreed to a non-competition agreement that ends two years after the conclusion of his employment with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compensation these officers would have received under the employment agreements had a change in control occurred as of December 31, 2008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368"/>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Mr. Baty</w:t>
            </w:r>
          </w:p>
        </w:tc>
        <w:tc>
          <w:tcPr>
            <w:tcW w:w="2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1,256,568</w:t>
            </w:r>
          </w:p>
        </w:tc>
      </w:tr>
      <w:tr>
        <w:trPr>
          <w:trHeight w:val="19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Mr. Dorton</w:t>
            </w:r>
          </w:p>
        </w:tc>
        <w:tc>
          <w:tcPr>
            <w:tcW w:w="2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577,027</w:t>
            </w:r>
          </w:p>
        </w:tc>
      </w:tr>
      <w:tr>
        <w:trPr>
          <w:trHeight w:val="19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Mr. Gentry</w:t>
            </w:r>
          </w:p>
        </w:tc>
        <w:tc>
          <w:tcPr>
            <w:tcW w:w="2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495,806</w:t>
            </w: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Mr. Anderson</w:t>
            </w:r>
          </w:p>
        </w:tc>
        <w:tc>
          <w:tcPr>
            <w:tcW w:w="2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458,670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Compensation Committee of the Board of Directors</w:t>
      </w:r>
    </w:p>
    <w:p>
      <w:pPr>
        <w:spacing w:after="0" w:line="224" w:lineRule="exact"/>
        <w:rPr>
          <w:sz w:val="20"/>
          <w:szCs w:val="20"/>
          <w:color w:val="auto"/>
        </w:rPr>
      </w:pPr>
    </w:p>
    <w:p>
      <w:pPr>
        <w:ind w:left="1140" w:hanging="111"/>
        <w:spacing w:after="0"/>
        <w:tabs>
          <w:tab w:leader="none" w:pos="11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reviewed and discussed the section in this proxy statement entitled “Compensation Discussion and Analysis” with management and</w:t>
      </w:r>
    </w:p>
    <w:p>
      <w:pPr>
        <w:spacing w:after="0" w:line="224" w:lineRule="exact"/>
        <w:rPr>
          <w:rFonts w:ascii="Times New Roman" w:cs="Times New Roman" w:eastAsia="Times New Roman" w:hAnsi="Times New Roman"/>
          <w:sz w:val="16"/>
          <w:szCs w:val="16"/>
          <w:color w:val="auto"/>
        </w:rPr>
      </w:pPr>
    </w:p>
    <w:p>
      <w:pPr>
        <w:ind w:left="1140" w:hanging="111"/>
        <w:spacing w:after="0" w:line="282" w:lineRule="auto"/>
        <w:tabs>
          <w:tab w:leader="none" w:pos="11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review and discussions referred to above, the Compensation Committee recommended to the Board of Directors that the Compensation Discussion and Analysis be included in this proxy statement.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Members of the Compensation Committee:</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Steven T. Warshaw</w:t>
      </w:r>
    </w:p>
    <w:p>
      <w:pPr>
        <w:spacing w:after="0" w:line="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Richard G. Fanelli</w:t>
      </w:r>
    </w:p>
    <w:p>
      <w:pPr>
        <w:spacing w:after="0" w:line="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Michael E. Werner</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2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All compensation decisions during the fiscal year ended December 31, 2008 for each of the Named Executive Officers were made by the Compensation Committee, consisting of Messrs. Warshaw, Fanelli and Werner, none of whom is or was an officer or employee of the Company during the last fiscal year.</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Audit Committee Report to Shareholders</w:t>
      </w:r>
    </w:p>
    <w:p>
      <w:pPr>
        <w:spacing w:after="0" w:line="2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In accordance with its written charter adopted by the board of directors, the Audit Committee assists the board in fulfilling its responsibility for oversight of the quality and integrity of the accounting, auditing and financial reporting practices of the Company. Management has responsibility for preparation of the Company’s financial statements and the registered independent public accounting firm has responsibility for the audit of those statements. Each of the members of the Audit Committee meets the independence requirements of the Nasdaq rules.</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The Audit Committee has reviewed and discussed with the Company’s management and PricewaterhouseCoopers LLP, the Company’s registered independent public accounting firm, the audited financial statements of the Company for 2008; has discussed with PricewaterhouseCoopers LLP matters required to be discussed by the Statement on Auditing Standards No. 61, as amended, as adopted by the Public Company Accounting Oversight Board in Rule 3200T; has received from the registered independent public accounting firm the written disclosures and letter required by PCAOP Rule 3526;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Company’s board of directors that the audited financial statements be included in the Company’s Annual Report on Form 10-K for the fiscal year ended December 31, 2008 for filing with the Securities and Exchange Commission.</w:t>
      </w:r>
    </w:p>
    <w:p>
      <w:pPr>
        <w:spacing w:after="0" w:line="18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6"/>
          <w:szCs w:val="16"/>
          <w:color w:val="auto"/>
        </w:rPr>
        <w:t>The Audit Committee originally adopted a written charter in June 2000. The Audit Committee reviews and approves the charter on an annual basis. In March 2008, the Audit Committee approved a revised charter.</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Members of the Audit Committee:</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Robert M. Aiken, Jr.</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G. Ronald Morris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Steven T. Warshaw</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Fees Paid to Independent Registered Accounting Firm</w:t>
      </w:r>
    </w:p>
    <w:p>
      <w:pPr>
        <w:spacing w:after="0" w:line="2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During 2008, PricewaterhouseCoopers LLP not only acted as the registered independent public accounting firm for the Company (work related to auditing the annual financial statements for fiscal year 2008 and reviewing the financial statements included in our Forms 10-Q) but also rendered on our behalf other services, including tax-related services and other accounting and auditing services. The following table sets forth the aggregate fees billed by PricewaterhouseCoopers LLP for audit services rendered in connection with the financial statements and reports for fiscal years 2008 and 2007 and for other services rendered during fiscal years 2007 and 2008 on our behalf, as well as all expenses incurred in connection with these services, which have been or will be billed to us.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2008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1,280,952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1,180,425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Audit Related Fees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65,197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44,645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Consulting and Compliance Fees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368,886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267,126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1,715,035</w:t>
            </w: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1,492,196</w:t>
            </w: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Pre-Approval Policies and Procedures</w:t>
      </w:r>
    </w:p>
    <w:p>
      <w:pPr>
        <w:spacing w:after="0" w:line="226" w:lineRule="exact"/>
        <w:rPr>
          <w:sz w:val="20"/>
          <w:szCs w:val="20"/>
          <w:color w:val="auto"/>
        </w:rPr>
      </w:pPr>
    </w:p>
    <w:p>
      <w:pPr>
        <w:ind w:right="40" w:firstLine="40"/>
        <w:spacing w:after="0" w:line="258" w:lineRule="auto"/>
        <w:rPr>
          <w:sz w:val="20"/>
          <w:szCs w:val="20"/>
          <w:color w:val="auto"/>
        </w:rPr>
      </w:pPr>
      <w:r>
        <w:rPr>
          <w:rFonts w:ascii="Times New Roman" w:cs="Times New Roman" w:eastAsia="Times New Roman" w:hAnsi="Times New Roman"/>
          <w:sz w:val="16"/>
          <w:szCs w:val="16"/>
          <w:color w:val="auto"/>
        </w:rPr>
        <w:t>The Audit Committee pre-approves all audit and permissible non-audit services to be provided to the Company by its registered independent public accounting firm prior to commencement of services. The Audit Committee Chairman has the authority to pre-approve such services up to a specified fee amount and these pre-approved decisions are presented to the full Audit Committee at its next scheduled meeting. Since the effective date of the Securities and Exchange Commission’s rules regarding strengthening auditor independence, all of the audit, audit-related and tax services by PricewaterhouseCoopers LLP were pre-approved in accordance with the Audit Committee’s policies and procedures.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469"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color w:val="auto"/>
        </w:rPr>
        <w:t>Certain Relationships and Related Transactions</w:t>
      </w:r>
    </w:p>
    <w:p>
      <w:pPr>
        <w:spacing w:after="0" w:line="2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Except as described below, the Company did not engage in any transaction with a related person as defined under the rules of the Securities and Exchange Commission. While the board of directors currently does not have a written policy with respect to approval of transactions with related parties, it is the policy of the board to approve any transactions with related persons. Any approvals would be reflected in the minutes of the meeting of the board of directors at which the board approved the transaction. Other than the transaction described below, the Company has not engaged in a related party transaction in the last six years.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As part of the board-approved acquisition of Whirlaway Corporation on November 30, 2006, the Company entered into operating leases covering two of the Whirlaway manufacturing facilities with a company owned by Thomas Zupan, who is now an executive officer of NN, Inc. The terms of the leases are at prevailing market rates of the rental market in which the facilities are located. The rent payments in 2007 and 2008 to Mr. Zupan were $0.6 million and $0.6 million, respectively. The total future rental payments will be $1.9 million over 3 years or $0.6 million per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Report</w:t>
      </w:r>
    </w:p>
    <w:p>
      <w:pPr>
        <w:spacing w:after="0" w:line="22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6"/>
          <w:szCs w:val="16"/>
          <w:color w:val="auto"/>
        </w:rPr>
        <w:t>The Company's 2008 Annual Report to Shareholders, which includes its Annual Report on Form 10-K for the year ended December 31, 2008, is being mailed together with this Proxy Statement. Exhibits to the Annual Report on Form 10-K may be obtained by contacting the Secretary of the Company at 2000 Waters Edge Drive, Building C, Suite 12, Johnson City, Tennessee 37604.</w:t>
      </w:r>
    </w:p>
    <w:p>
      <w:pPr>
        <w:spacing w:after="0" w:line="1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6"/>
          <w:szCs w:val="16"/>
          <w:color w:val="auto"/>
        </w:rPr>
        <w:t>Notwithstanding anything to the contrary set forth in the Company’s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39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6"/>
          <w:szCs w:val="16"/>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31115</wp:posOffset>
            </wp:positionV>
            <wp:extent cx="289877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15240"/>
                    </a:xfrm>
                    <a:prstGeom prst="rect">
                      <a:avLst/>
                    </a:prstGeom>
                    <a:noFill/>
                  </pic:spPr>
                </pic:pic>
              </a:graphicData>
            </a:graphic>
          </wp:anchor>
        </w:drawing>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color w:val="auto"/>
        </w:rPr>
        <w:t>Name: William C. Kelly, Jr.</w:t>
      </w:r>
    </w:p>
    <w:p>
      <w:pPr>
        <w:spacing w:after="0" w:line="2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color w:val="auto"/>
        </w:rPr>
        <w:t>Title: Vice President, Secretary and Chief Administrative Officer</w:t>
      </w:r>
    </w:p>
    <w:p>
      <w:pPr>
        <w:spacing w:after="0" w:line="398" w:lineRule="exact"/>
        <w:rPr>
          <w:sz w:val="20"/>
          <w:szCs w:val="20"/>
          <w:color w:val="auto"/>
        </w:rPr>
      </w:pPr>
    </w:p>
    <w:p>
      <w:pPr>
        <w:ind w:right="1300"/>
        <w:spacing w:after="0" w:line="285" w:lineRule="auto"/>
        <w:rPr>
          <w:sz w:val="20"/>
          <w:szCs w:val="20"/>
          <w:color w:val="auto"/>
        </w:rPr>
      </w:pPr>
      <w:r>
        <w:rPr>
          <w:rFonts w:ascii="Times New Roman" w:cs="Times New Roman" w:eastAsia="Times New Roman" w:hAnsi="Times New Roman"/>
          <w:sz w:val="16"/>
          <w:szCs w:val="16"/>
          <w:b w:val="1"/>
          <w:bCs w:val="1"/>
          <w:color w:val="auto"/>
        </w:rPr>
        <w:t>SHAREHOLDERS ARE REQUESTED TO MARK, DATE AND SIGN THE ENCLOSED PROXY CARD AND RETURN IT IN THE ENCLOSED ENVELOPE. YOUR PROMPT RESPONSE WILL BE HELPFUL, AND YOUR COOPERATION WILL BE APPRECIATED.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309880</wp:posOffset>
            </wp:positionV>
            <wp:extent cx="7320280" cy="9415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941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6102350" cy="60413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102350" cy="6041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o"/>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lvl w:ilvl="1">
      <w:lvlJc w:val="left"/>
      <w:lvlText w:val="(%2)"/>
      <w:numFmt w:val="decimal"/>
      <w:start w:val="1"/>
    </w:lvl>
  </w:abstractNum>
  <w:abstractNum w:abstractNumId="5">
    <w:nsid w:val="216231B"/>
    <w:multiLevelType w:val="hybridMultilevel"/>
    <w:lvl w:ilvl="0">
      <w:lvlJc w:val="left"/>
      <w:lvlText w:val="(%1)"/>
      <w:numFmt w:val="decimal"/>
      <w:start w:val="2"/>
    </w:lvl>
    <w:lvl w:ilvl="1">
      <w:lvlJc w:val="left"/>
      <w:lvlText w:val="%2"/>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lvl>
    <w:lvl w:ilvl="1">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4"/>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2019-12-14T02:34:06Z</dcterms:created>
  <dcterms:modified xsi:type="dcterms:W3CDTF">2019-12-14T02:34:06Z</dcterms:modified>
</cp:coreProperties>
</file>