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543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430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06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GENTRY FRANK 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053"/>
        <w:spacing w:after="0" w:line="410" w:lineRule="auto"/>
        <w:rPr>
          <w:sz w:val="20"/>
          <w:szCs w:val="20"/>
          <w:color w:val="auto"/>
        </w:rPr>
      </w:pPr>
      <w:r>
        <w:rPr>
          <w:rFonts w:ascii="Times New Roman" w:cs="Times New Roman" w:eastAsia="Times New Roman" w:hAnsi="Times New Roman"/>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ind w:left="367" w:hanging="367"/>
        <w:spacing w:after="0"/>
        <w:tabs>
          <w:tab w:leader="none" w:pos="367" w:val="left"/>
        </w:tabs>
        <w:numPr>
          <w:ilvl w:val="0"/>
          <w:numId w:val="1"/>
        </w:numPr>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00" w:lineRule="exact"/>
        <w:rPr>
          <w:sz w:val="24"/>
          <w:szCs w:val="24"/>
          <w:color w:val="auto"/>
        </w:rPr>
      </w:pPr>
    </w:p>
    <w:p>
      <w:pPr>
        <w:spacing w:after="0" w:line="223" w:lineRule="exact"/>
        <w:rPr>
          <w:sz w:val="24"/>
          <w:szCs w:val="24"/>
          <w:color w:val="auto"/>
        </w:rPr>
      </w:pPr>
    </w:p>
    <w:p>
      <w:pPr>
        <w:ind w:left="7"/>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0000FF"/>
        </w:rPr>
        <w:t>12/04/2013</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43"/>
        <w:spacing w:after="0"/>
        <w:rPr>
          <w:sz w:val="20"/>
          <w:szCs w:val="20"/>
          <w:color w:val="auto"/>
        </w:rPr>
      </w:pPr>
      <w:r>
        <w:rPr>
          <w:rFonts w:ascii="Times New Roman" w:cs="Times New Roman" w:eastAsia="Times New Roman" w:hAnsi="Times New Roman"/>
          <w:sz w:val="18"/>
          <w:szCs w:val="18"/>
          <w:color w:val="0000FF"/>
        </w:rPr>
        <w:t>SVP - Managing Director</w:t>
      </w:r>
    </w:p>
    <w:p>
      <w:pPr>
        <w:spacing w:after="0" w:line="560" w:lineRule="exact"/>
        <w:rPr>
          <w:sz w:val="24"/>
          <w:szCs w:val="24"/>
          <w:color w:val="auto"/>
        </w:rPr>
      </w:pPr>
    </w:p>
    <w:p>
      <w:pPr>
        <w:sectPr>
          <w:pgSz w:w="11900" w:h="16838" w:orient="portrait"/>
          <w:cols w:equalWidth="0" w:num="3">
            <w:col w:w="3353" w:space="720"/>
            <w:col w:w="3264" w:space="720"/>
            <w:col w:w="3463"/>
          </w:cols>
          <w:pgMar w:left="240" w:top="220" w:right="139" w:bottom="1068"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0000FF"/>
              </w:rPr>
              <w:t>JOHNSON</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0000FF"/>
              </w:rPr>
              <w:t>TN</w:t>
            </w:r>
          </w:p>
        </w:tc>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37604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CITY</w:t>
            </w:r>
          </w:p>
        </w:tc>
        <w:tc>
          <w:tcPr>
            <w:tcW w:w="10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494" w:lineRule="exact"/>
        <w:rPr>
          <w:sz w:val="24"/>
          <w:szCs w:val="24"/>
          <w:color w:val="auto"/>
        </w:rPr>
      </w:pPr>
    </w:p>
    <w:p>
      <w:pPr>
        <w:sectPr>
          <w:pgSz w:w="11900" w:h="16838" w:orient="portrait"/>
          <w:cols w:equalWidth="0" w:num="2">
            <w:col w:w="3920" w:space="160"/>
            <w:col w:w="7440"/>
          </w:cols>
          <w:pgMar w:left="240" w:top="220" w:right="139" w:bottom="106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jc w:val="center"/>
              <w:ind w:left="60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20" w:type="dxa"/>
            <w:vAlign w:val="bottom"/>
          </w:tcPr>
          <w:p>
            <w:pPr>
              <w:jc w:val="center"/>
              <w:ind w:left="624"/>
              <w:spacing w:after="0"/>
              <w:rPr>
                <w:sz w:val="20"/>
                <w:szCs w:val="20"/>
                <w:color w:val="auto"/>
              </w:rPr>
            </w:pPr>
            <w:r>
              <w:rPr>
                <w:rFonts w:ascii="Times New Roman" w:cs="Times New Roman" w:eastAsia="Times New Roman" w:hAnsi="Times New Roman"/>
                <w:sz w:val="18"/>
                <w:szCs w:val="18"/>
                <w:color w:val="0000FF"/>
                <w:w w:val="97"/>
              </w:rPr>
              <w:t>12/04/2013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Times New Roman" w:cs="Times New Roman" w:eastAsia="Times New Roman" w:hAnsi="Times New Roman"/>
                <w:sz w:val="14"/>
                <w:szCs w:val="14"/>
                <w:color w:val="0000FF"/>
                <w:w w:val="96"/>
              </w:rPr>
              <w:t>M</w:t>
            </w: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0000FF"/>
              </w:rPr>
              <w:t>6,000</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14.13</w:t>
            </w:r>
          </w:p>
        </w:tc>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45,100</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20" w:type="dxa"/>
            <w:vAlign w:val="bottom"/>
            <w:tcBorders>
              <w:bottom w:val="single" w:sz="8" w:color="2C2C2C"/>
            </w:tcBorders>
          </w:tcPr>
          <w:p>
            <w:pPr>
              <w:jc w:val="center"/>
              <w:ind w:left="624"/>
              <w:spacing w:after="0"/>
              <w:rPr>
                <w:sz w:val="20"/>
                <w:szCs w:val="20"/>
                <w:color w:val="auto"/>
              </w:rPr>
            </w:pPr>
            <w:r>
              <w:rPr>
                <w:rFonts w:ascii="Times New Roman" w:cs="Times New Roman" w:eastAsia="Times New Roman" w:hAnsi="Times New Roman"/>
                <w:sz w:val="18"/>
                <w:szCs w:val="18"/>
                <w:color w:val="0000FF"/>
                <w:w w:val="97"/>
              </w:rPr>
              <w:t>12/04/2013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Borders>
              <w:bottom w:val="single" w:sz="8" w:color="2C2C2C"/>
            </w:tcBorders>
          </w:tcPr>
          <w:p>
            <w:pPr>
              <w:jc w:val="right"/>
              <w:ind w:right="64"/>
              <w:spacing w:after="0"/>
              <w:rPr>
                <w:sz w:val="20"/>
                <w:szCs w:val="20"/>
                <w:color w:val="auto"/>
              </w:rPr>
            </w:pPr>
            <w:r>
              <w:rPr>
                <w:rFonts w:ascii="Times New Roman" w:cs="Times New Roman" w:eastAsia="Times New Roman" w:hAnsi="Times New Roman"/>
                <w:sz w:val="18"/>
                <w:szCs w:val="18"/>
                <w:color w:val="0000FF"/>
              </w:rPr>
              <w:t>6,000</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19.59</w:t>
            </w:r>
            <w:r>
              <w:rPr>
                <w:rFonts w:ascii="Times New Roman" w:cs="Times New Roman" w:eastAsia="Times New Roman" w:hAnsi="Times New Roman"/>
                <w:sz w:val="22"/>
                <w:szCs w:val="22"/>
                <w:color w:val="008000"/>
                <w:w w:val="91"/>
                <w:vertAlign w:val="superscript"/>
              </w:rPr>
              <w:t>(1)</w:t>
            </w:r>
          </w:p>
        </w:tc>
        <w:tc>
          <w:tcPr>
            <w:tcW w:w="11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39,100</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20" w:type="dxa"/>
            <w:vAlign w:val="bottom"/>
          </w:tcPr>
          <w:p>
            <w:pPr>
              <w:jc w:val="center"/>
              <w:ind w:left="624"/>
              <w:spacing w:after="0"/>
              <w:rPr>
                <w:sz w:val="20"/>
                <w:szCs w:val="20"/>
                <w:color w:val="auto"/>
              </w:rPr>
            </w:pPr>
            <w:r>
              <w:rPr>
                <w:rFonts w:ascii="Times New Roman" w:cs="Times New Roman" w:eastAsia="Times New Roman" w:hAnsi="Times New Roman"/>
                <w:sz w:val="18"/>
                <w:szCs w:val="18"/>
                <w:color w:val="0000FF"/>
                <w:w w:val="97"/>
              </w:rPr>
              <w:t>12/06/2013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Times New Roman" w:cs="Times New Roman" w:eastAsia="Times New Roman" w:hAnsi="Times New Roman"/>
                <w:sz w:val="14"/>
                <w:szCs w:val="14"/>
                <w:color w:val="0000FF"/>
                <w:w w:val="96"/>
              </w:rPr>
              <w:t>M</w:t>
            </w: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0000FF"/>
              </w:rPr>
              <w:t>2,000</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14.13</w:t>
            </w:r>
          </w:p>
        </w:tc>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41,100</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20" w:type="dxa"/>
            <w:vAlign w:val="bottom"/>
          </w:tcPr>
          <w:p>
            <w:pPr>
              <w:jc w:val="center"/>
              <w:ind w:left="624"/>
              <w:spacing w:after="0"/>
              <w:rPr>
                <w:sz w:val="20"/>
                <w:szCs w:val="20"/>
                <w:color w:val="auto"/>
              </w:rPr>
            </w:pPr>
            <w:r>
              <w:rPr>
                <w:rFonts w:ascii="Times New Roman" w:cs="Times New Roman" w:eastAsia="Times New Roman" w:hAnsi="Times New Roman"/>
                <w:sz w:val="18"/>
                <w:szCs w:val="18"/>
                <w:color w:val="0000FF"/>
                <w:w w:val="97"/>
              </w:rPr>
              <w:t>12/06/2013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0000FF"/>
              </w:rPr>
              <w:t>2,000</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19.51</w:t>
            </w:r>
          </w:p>
        </w:tc>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39,100</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256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14.13</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0000FF"/>
              </w:rPr>
              <w:t>12/04/2013</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780" w:type="dxa"/>
            <w:vAlign w:val="bottom"/>
          </w:tcPr>
          <w:p>
            <w:pPr>
              <w:ind w:left="400"/>
              <w:spacing w:after="0"/>
              <w:rPr>
                <w:sz w:val="20"/>
                <w:szCs w:val="20"/>
                <w:color w:val="auto"/>
              </w:rPr>
            </w:pPr>
            <w:r>
              <w:rPr>
                <w:rFonts w:ascii="Times New Roman" w:cs="Times New Roman" w:eastAsia="Times New Roman" w:hAnsi="Times New Roman"/>
                <w:sz w:val="14"/>
                <w:szCs w:val="14"/>
                <w:color w:val="0000FF"/>
              </w:rPr>
              <w:t>6,000</w:t>
            </w: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05/26/2021</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0000FF"/>
              </w:rPr>
              <w:t>6,000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6,000</w:t>
            </w:r>
          </w:p>
        </w:tc>
        <w:tc>
          <w:tcPr>
            <w:tcW w:w="76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720" w:type="dxa"/>
            <w:vAlign w:val="bottom"/>
          </w:tcPr>
          <w:p>
            <w:pPr>
              <w:ind w:left="60"/>
              <w:spacing w:after="0" w:line="95" w:lineRule="exact"/>
              <w:rPr>
                <w:sz w:val="20"/>
                <w:szCs w:val="20"/>
                <w:color w:val="auto"/>
              </w:rPr>
            </w:pPr>
            <w:r>
              <w:rPr>
                <w:rFonts w:ascii="Times New Roman" w:cs="Times New Roman" w:eastAsia="Times New Roman" w:hAnsi="Times New Roman"/>
                <w:sz w:val="11"/>
                <w:szCs w:val="11"/>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Times New Roman" w:cs="Times New Roman" w:eastAsia="Times New Roman" w:hAnsi="Times New Roman"/>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14.13</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0000FF"/>
              </w:rPr>
              <w:t>12/06/2013</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780" w:type="dxa"/>
            <w:vAlign w:val="bottom"/>
          </w:tcPr>
          <w:p>
            <w:pPr>
              <w:ind w:left="400"/>
              <w:spacing w:after="0"/>
              <w:rPr>
                <w:sz w:val="20"/>
                <w:szCs w:val="20"/>
                <w:color w:val="auto"/>
              </w:rPr>
            </w:pPr>
            <w:r>
              <w:rPr>
                <w:rFonts w:ascii="Times New Roman" w:cs="Times New Roman" w:eastAsia="Times New Roman" w:hAnsi="Times New Roman"/>
                <w:sz w:val="14"/>
                <w:szCs w:val="14"/>
                <w:color w:val="0000FF"/>
              </w:rPr>
              <w:t>2,000</w:t>
            </w: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05/26/2021</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0000FF"/>
              </w:rPr>
              <w:t>2,000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4,000</w:t>
            </w:r>
          </w:p>
        </w:tc>
        <w:tc>
          <w:tcPr>
            <w:tcW w:w="76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4"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sold in multiple transactions at prices ranging from $19.50 to $19.65, inclusive. The reporting person undertakes to provide to NN, Inc., any security holder of NN, Inc., or the staff of the Securities and Exchange Commission, upon request, full information regarding the number of shares sold at each separate price within the ranges set forth in this footnote.</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became exercisable in three annual installments beginning on May 26, 2012, which was the first anniversary of the date on which the option was granted.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William C. Kelly, Jr., by</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12/06/2013</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60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0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2019-12-17T05:51:12Z</dcterms:created>
  <dcterms:modified xsi:type="dcterms:W3CDTF">2019-12-17T05:51:12Z</dcterms:modified>
</cp:coreProperties>
</file>