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258445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3296285</wp:posOffset>
            </wp:positionH>
            <wp:positionV relativeFrom="paragraph">
              <wp:posOffset>73660</wp:posOffset>
            </wp:positionV>
            <wp:extent cx="663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35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 PURSUANT TO</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SECTION 13 OR 15(d) OF THE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 November 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3329305</wp:posOffset>
            </wp:positionH>
            <wp:positionV relativeFrom="paragraph">
              <wp:posOffset>14605</wp:posOffset>
            </wp:positionV>
            <wp:extent cx="598170" cy="598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170" cy="598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31"/>
          <w:szCs w:val="31"/>
          <w:b w:val="1"/>
          <w:bCs w:val="1"/>
          <w:u w:val="single" w:color="auto"/>
          <w:color w:val="auto"/>
        </w:rPr>
        <w:t>NN,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(Exact name of registrant as specified in its charter)</w:t>
      </w:r>
    </w:p>
    <w:p>
      <w:pPr>
        <w:spacing w:after="0" w:line="214" w:lineRule="exact"/>
        <w:rPr>
          <w:sz w:val="24"/>
          <w:szCs w:val="24"/>
          <w:color w:val="auto"/>
        </w:rPr>
      </w:pPr>
    </w:p>
    <w:tbl>
      <w:tblPr>
        <w:tblLayout w:type="fixed"/>
        <w:tblInd w:w="340" w:type="dxa"/>
        <w:tblCellMar>
          <w:top w:w="0" w:type="dxa"/>
          <w:left w:w="0" w:type="dxa"/>
          <w:bottom w:w="0" w:type="dxa"/>
          <w:right w:w="0" w:type="dxa"/>
        </w:tblCellMar>
      </w:tblPr>
      <w:tr>
        <w:trPr>
          <w:trHeight w:val="195"/>
        </w:trPr>
        <w:tc>
          <w:tcPr>
            <w:tcW w:w="1320" w:type="dxa"/>
            <w:vAlign w:val="bottom"/>
          </w:tcPr>
          <w:p>
            <w:pPr>
              <w:spacing w:after="0"/>
              <w:rPr>
                <w:sz w:val="16"/>
                <w:szCs w:val="16"/>
                <w:color w:val="auto"/>
              </w:rPr>
            </w:pPr>
          </w:p>
        </w:tc>
        <w:tc>
          <w:tcPr>
            <w:tcW w:w="2240" w:type="dxa"/>
            <w:vAlign w:val="bottom"/>
            <w:gridSpan w:val="3"/>
          </w:tcPr>
          <w:p>
            <w:pPr>
              <w:jc w:val="center"/>
              <w:ind w:right="1580"/>
              <w:spacing w:after="0"/>
              <w:rPr>
                <w:sz w:val="20"/>
                <w:szCs w:val="20"/>
                <w:color w:val="auto"/>
              </w:rPr>
            </w:pPr>
            <w:r>
              <w:rPr>
                <w:rFonts w:ascii="Arial" w:cs="Arial" w:eastAsia="Arial" w:hAnsi="Arial"/>
                <w:sz w:val="17"/>
                <w:szCs w:val="17"/>
                <w:color w:val="auto"/>
                <w:w w:val="91"/>
              </w:rPr>
              <w:t>Delaware</w:t>
            </w:r>
          </w:p>
        </w:tc>
        <w:tc>
          <w:tcPr>
            <w:tcW w:w="2460" w:type="dxa"/>
            <w:vAlign w:val="bottom"/>
            <w:gridSpan w:val="4"/>
          </w:tcPr>
          <w:p>
            <w:pPr>
              <w:jc w:val="right"/>
              <w:ind w:right="320"/>
              <w:spacing w:after="0"/>
              <w:rPr>
                <w:sz w:val="20"/>
                <w:szCs w:val="20"/>
                <w:color w:val="auto"/>
              </w:rPr>
            </w:pPr>
            <w:r>
              <w:rPr>
                <w:rFonts w:ascii="Arial" w:cs="Arial" w:eastAsia="Arial" w:hAnsi="Arial"/>
                <w:sz w:val="17"/>
                <w:szCs w:val="17"/>
                <w:color w:val="auto"/>
              </w:rPr>
              <w:t>0-23486</w:t>
            </w:r>
          </w:p>
        </w:tc>
        <w:tc>
          <w:tcPr>
            <w:tcW w:w="1560" w:type="dxa"/>
            <w:vAlign w:val="bottom"/>
          </w:tcPr>
          <w:p>
            <w:pPr>
              <w:spacing w:after="0"/>
              <w:rPr>
                <w:sz w:val="16"/>
                <w:szCs w:val="16"/>
                <w:color w:val="auto"/>
              </w:rPr>
            </w:pPr>
          </w:p>
        </w:tc>
        <w:tc>
          <w:tcPr>
            <w:tcW w:w="2800" w:type="dxa"/>
            <w:vAlign w:val="bottom"/>
            <w:gridSpan w:val="5"/>
          </w:tcPr>
          <w:p>
            <w:pPr>
              <w:jc w:val="right"/>
              <w:ind w:right="820"/>
              <w:spacing w:after="0"/>
              <w:rPr>
                <w:sz w:val="20"/>
                <w:szCs w:val="20"/>
                <w:color w:val="auto"/>
              </w:rPr>
            </w:pPr>
            <w:r>
              <w:rPr>
                <w:rFonts w:ascii="Arial" w:cs="Arial" w:eastAsia="Arial" w:hAnsi="Arial"/>
                <w:sz w:val="17"/>
                <w:szCs w:val="17"/>
                <w:color w:val="auto"/>
              </w:rPr>
              <w:t>62-1096725</w:t>
            </w:r>
          </w:p>
        </w:tc>
      </w:tr>
      <w:tr>
        <w:trPr>
          <w:trHeight w:val="20"/>
        </w:trPr>
        <w:tc>
          <w:tcPr>
            <w:tcW w:w="1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9"/>
        </w:trPr>
        <w:tc>
          <w:tcPr>
            <w:tcW w:w="3560" w:type="dxa"/>
            <w:vAlign w:val="bottom"/>
            <w:gridSpan w:val="4"/>
          </w:tcPr>
          <w:p>
            <w:pPr>
              <w:jc w:val="center"/>
              <w:ind w:right="240"/>
              <w:spacing w:after="0"/>
              <w:rPr>
                <w:sz w:val="20"/>
                <w:szCs w:val="20"/>
                <w:color w:val="auto"/>
              </w:rPr>
            </w:pPr>
            <w:r>
              <w:rPr>
                <w:rFonts w:ascii="Arial" w:cs="Arial" w:eastAsia="Arial" w:hAnsi="Arial"/>
                <w:sz w:val="17"/>
                <w:szCs w:val="17"/>
                <w:color w:val="auto"/>
                <w:w w:val="93"/>
              </w:rPr>
              <w:t>(State or Other Jurisdiction of Incorporation)</w:t>
            </w:r>
          </w:p>
        </w:tc>
        <w:tc>
          <w:tcPr>
            <w:tcW w:w="4020" w:type="dxa"/>
            <w:vAlign w:val="bottom"/>
            <w:gridSpan w:val="5"/>
          </w:tcPr>
          <w:p>
            <w:pPr>
              <w:jc w:val="center"/>
              <w:ind w:right="300"/>
              <w:spacing w:after="0"/>
              <w:rPr>
                <w:sz w:val="20"/>
                <w:szCs w:val="20"/>
                <w:color w:val="auto"/>
              </w:rPr>
            </w:pPr>
            <w:r>
              <w:rPr>
                <w:rFonts w:ascii="Arial" w:cs="Arial" w:eastAsia="Arial" w:hAnsi="Arial"/>
                <w:sz w:val="17"/>
                <w:szCs w:val="17"/>
                <w:color w:val="auto"/>
                <w:w w:val="94"/>
              </w:rPr>
              <w:t>(Commission File Number)</w:t>
            </w:r>
          </w:p>
        </w:tc>
        <w:tc>
          <w:tcPr>
            <w:tcW w:w="2800" w:type="dxa"/>
            <w:vAlign w:val="bottom"/>
            <w:gridSpan w:val="5"/>
          </w:tcPr>
          <w:p>
            <w:pPr>
              <w:jc w:val="center"/>
              <w:ind w:left="214"/>
              <w:spacing w:after="0"/>
              <w:rPr>
                <w:sz w:val="20"/>
                <w:szCs w:val="20"/>
                <w:color w:val="auto"/>
              </w:rPr>
            </w:pPr>
            <w:r>
              <w:rPr>
                <w:rFonts w:ascii="Arial" w:cs="Arial" w:eastAsia="Arial" w:hAnsi="Arial"/>
                <w:sz w:val="17"/>
                <w:szCs w:val="17"/>
                <w:color w:val="auto"/>
                <w:w w:val="95"/>
              </w:rPr>
              <w:t>(I.R.S. Employer Identification No.)</w:t>
            </w:r>
          </w:p>
        </w:tc>
      </w:tr>
      <w:tr>
        <w:trPr>
          <w:trHeight w:val="376"/>
        </w:trPr>
        <w:tc>
          <w:tcPr>
            <w:tcW w:w="3560" w:type="dxa"/>
            <w:vAlign w:val="bottom"/>
            <w:gridSpan w:val="4"/>
          </w:tcPr>
          <w:p>
            <w:pPr>
              <w:jc w:val="center"/>
              <w:ind w:right="100"/>
              <w:spacing w:after="0"/>
              <w:rPr>
                <w:sz w:val="20"/>
                <w:szCs w:val="20"/>
                <w:color w:val="auto"/>
              </w:rPr>
            </w:pPr>
            <w:r>
              <w:rPr>
                <w:rFonts w:ascii="Arial" w:cs="Arial" w:eastAsia="Arial" w:hAnsi="Arial"/>
                <w:sz w:val="17"/>
                <w:szCs w:val="17"/>
                <w:color w:val="auto"/>
                <w:w w:val="89"/>
              </w:rPr>
              <w:t>2000 Waters Edge Drive, Johnson City, Tennessee</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80" w:type="dxa"/>
            <w:vAlign w:val="bottom"/>
            <w:gridSpan w:val="4"/>
          </w:tcPr>
          <w:p>
            <w:pPr>
              <w:jc w:val="right"/>
              <w:ind w:right="280"/>
              <w:spacing w:after="0"/>
              <w:rPr>
                <w:sz w:val="20"/>
                <w:szCs w:val="20"/>
                <w:color w:val="auto"/>
              </w:rPr>
            </w:pPr>
            <w:r>
              <w:rPr>
                <w:rFonts w:ascii="Arial" w:cs="Arial" w:eastAsia="Arial" w:hAnsi="Arial"/>
                <w:sz w:val="17"/>
                <w:szCs w:val="17"/>
                <w:color w:val="auto"/>
              </w:rPr>
              <w:t>37604</w:t>
            </w:r>
          </w:p>
        </w:tc>
        <w:tc>
          <w:tcPr>
            <w:tcW w:w="820" w:type="dxa"/>
            <w:vAlign w:val="bottom"/>
          </w:tcPr>
          <w:p>
            <w:pPr>
              <w:spacing w:after="0"/>
              <w:rPr>
                <w:sz w:val="24"/>
                <w:szCs w:val="24"/>
                <w:color w:val="auto"/>
              </w:rPr>
            </w:pPr>
          </w:p>
        </w:tc>
      </w:tr>
      <w:tr>
        <w:trPr>
          <w:trHeight w:val="20"/>
        </w:trPr>
        <w:tc>
          <w:tcPr>
            <w:tcW w:w="34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24"/>
        </w:trPr>
        <w:tc>
          <w:tcPr>
            <w:tcW w:w="3460" w:type="dxa"/>
            <w:vAlign w:val="bottom"/>
            <w:gridSpan w:val="3"/>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0" w:type="dxa"/>
            <w:vAlign w:val="bottom"/>
            <w:gridSpan w:val="5"/>
          </w:tcPr>
          <w:p>
            <w:pPr>
              <w:jc w:val="center"/>
              <w:ind w:left="74"/>
              <w:spacing w:after="0"/>
              <w:rPr>
                <w:sz w:val="20"/>
                <w:szCs w:val="20"/>
                <w:color w:val="auto"/>
              </w:rPr>
            </w:pPr>
            <w:r>
              <w:rPr>
                <w:rFonts w:ascii="Arial" w:cs="Arial" w:eastAsia="Arial" w:hAnsi="Arial"/>
                <w:sz w:val="17"/>
                <w:szCs w:val="17"/>
                <w:color w:val="auto"/>
                <w:w w:val="94"/>
              </w:rPr>
              <w:t>(Zip Code)</w:t>
            </w:r>
          </w:p>
        </w:tc>
      </w:tr>
      <w:tr>
        <w:trPr>
          <w:trHeight w:val="376"/>
        </w:trPr>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4"/>
          </w:tcPr>
          <w:p>
            <w:pPr>
              <w:jc w:val="right"/>
              <w:spacing w:after="0"/>
              <w:rPr>
                <w:sz w:val="20"/>
                <w:szCs w:val="20"/>
                <w:color w:val="auto"/>
              </w:rPr>
            </w:pPr>
            <w:r>
              <w:rPr>
                <w:rFonts w:ascii="Arial" w:cs="Arial" w:eastAsia="Arial" w:hAnsi="Arial"/>
                <w:sz w:val="17"/>
                <w:szCs w:val="17"/>
                <w:color w:val="auto"/>
              </w:rPr>
              <w:t>(423) 743-9151</w:t>
            </w: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4"/>
        </w:trPr>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5"/>
          </w:tcPr>
          <w:p>
            <w:pPr>
              <w:jc w:val="center"/>
              <w:ind w:right="180"/>
              <w:spacing w:after="0"/>
              <w:rPr>
                <w:sz w:val="20"/>
                <w:szCs w:val="20"/>
                <w:color w:val="auto"/>
              </w:rPr>
            </w:pPr>
            <w:r>
              <w:rPr>
                <w:rFonts w:ascii="Arial" w:cs="Arial" w:eastAsia="Arial" w:hAnsi="Arial"/>
                <w:sz w:val="17"/>
                <w:szCs w:val="17"/>
                <w:color w:val="auto"/>
                <w:w w:val="91"/>
              </w:rPr>
              <w:t>(Registrant's telephone number, including area code)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196" w:lineRule="exact"/>
        <w:rPr>
          <w:sz w:val="24"/>
          <w:szCs w:val="24"/>
          <w:color w:val="auto"/>
        </w:rPr>
      </w:pPr>
    </w:p>
    <w:p>
      <w:pPr>
        <w:jc w:val="center"/>
        <w:ind w:right="-21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if the Form 8-K filing is intended to simultaneously satisfy the filing obligation of the registrant under any of the following provisions (see</w:t>
      </w:r>
    </w:p>
    <w:p>
      <w:pPr>
        <w:spacing w:after="0" w:line="45" w:lineRule="exact"/>
        <w:rPr>
          <w:sz w:val="24"/>
          <w:szCs w:val="24"/>
          <w:color w:val="auto"/>
        </w:rPr>
      </w:pPr>
    </w:p>
    <w:p>
      <w:pPr>
        <w:spacing w:after="0"/>
        <w:rPr>
          <w:sz w:val="20"/>
          <w:szCs w:val="20"/>
          <w:color w:val="auto"/>
        </w:rPr>
      </w:pPr>
      <w:r>
        <w:rPr>
          <w:rFonts w:ascii="Arial" w:cs="Arial" w:eastAsia="Arial" w:hAnsi="Arial"/>
          <w:sz w:val="17"/>
          <w:szCs w:val="17"/>
          <w:color w:val="auto"/>
        </w:rPr>
        <w:t>General Instruction A.2. below):</w:t>
      </w:r>
    </w:p>
    <w:p>
      <w:pPr>
        <w:spacing w:after="0" w:line="233" w:lineRule="exact"/>
        <w:rPr>
          <w:sz w:val="24"/>
          <w:szCs w:val="24"/>
          <w:color w:val="auto"/>
        </w:rPr>
      </w:pPr>
    </w:p>
    <w:p>
      <w:pPr>
        <w:ind w:left="620" w:hanging="617"/>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640" w:hanging="637"/>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4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7700" w:type="dxa"/>
            <w:vAlign w:val="bottom"/>
          </w:tcPr>
          <w:p>
            <w:pPr>
              <w:ind w:left="240"/>
              <w:spacing w:after="0"/>
              <w:rPr>
                <w:sz w:val="20"/>
                <w:szCs w:val="20"/>
                <w:color w:val="auto"/>
              </w:rPr>
            </w:pPr>
            <w:r>
              <w:rPr>
                <w:rFonts w:ascii="Arial" w:cs="Arial" w:eastAsia="Arial" w:hAnsi="Arial"/>
                <w:sz w:val="17"/>
                <w:szCs w:val="17"/>
                <w:color w:val="auto"/>
                <w:w w:val="92"/>
              </w:rPr>
              <w:t>Pre-commencement communications pursuant to Rule 14d-2(b) under the Exchange Act (17 CFR 240.14d-</w:t>
            </w:r>
          </w:p>
        </w:tc>
        <w:tc>
          <w:tcPr>
            <w:tcW w:w="3320" w:type="dxa"/>
            <w:vAlign w:val="bottom"/>
          </w:tcPr>
          <w:p>
            <w:pPr>
              <w:ind w:left="120"/>
              <w:spacing w:after="0"/>
              <w:rPr>
                <w:sz w:val="20"/>
                <w:szCs w:val="20"/>
                <w:color w:val="auto"/>
              </w:rPr>
            </w:pPr>
            <w:r>
              <w:rPr>
                <w:rFonts w:ascii="Arial" w:cs="Arial" w:eastAsia="Arial" w:hAnsi="Arial"/>
                <w:sz w:val="17"/>
                <w:szCs w:val="17"/>
                <w:color w:val="auto"/>
              </w:rPr>
              <w:t>2(b))</w:t>
            </w:r>
          </w:p>
        </w:tc>
      </w:tr>
      <w:tr>
        <w:trPr>
          <w:trHeight w:val="439"/>
        </w:trPr>
        <w:tc>
          <w:tcPr>
            <w:tcW w:w="4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7700" w:type="dxa"/>
            <w:vAlign w:val="bottom"/>
          </w:tcPr>
          <w:p>
            <w:pPr>
              <w:ind w:left="240"/>
              <w:spacing w:after="0"/>
              <w:rPr>
                <w:sz w:val="20"/>
                <w:szCs w:val="20"/>
                <w:color w:val="auto"/>
              </w:rPr>
            </w:pPr>
            <w:r>
              <w:rPr>
                <w:rFonts w:ascii="Arial" w:cs="Arial" w:eastAsia="Arial" w:hAnsi="Arial"/>
                <w:sz w:val="17"/>
                <w:szCs w:val="17"/>
                <w:color w:val="auto"/>
                <w:w w:val="92"/>
              </w:rPr>
              <w:t>Pre-commencement communications pursuant to Rule 13e-4(c) under the Exchange Act (17 CFR 240.13e-</w:t>
            </w:r>
          </w:p>
        </w:tc>
        <w:tc>
          <w:tcPr>
            <w:tcW w:w="3320" w:type="dxa"/>
            <w:vAlign w:val="bottom"/>
          </w:tcPr>
          <w:p>
            <w:pPr>
              <w:ind w:left="80"/>
              <w:spacing w:after="0"/>
              <w:rPr>
                <w:sz w:val="20"/>
                <w:szCs w:val="20"/>
                <w:color w:val="auto"/>
              </w:rPr>
            </w:pPr>
            <w:r>
              <w:rPr>
                <w:rFonts w:ascii="Arial" w:cs="Arial" w:eastAsia="Arial" w:hAnsi="Arial"/>
                <w:sz w:val="17"/>
                <w:szCs w:val="17"/>
                <w:color w:val="auto"/>
              </w:rPr>
              <w:t>4(c))</w:t>
            </w:r>
          </w:p>
        </w:tc>
      </w:tr>
      <w:tr>
        <w:trPr>
          <w:trHeight w:val="610"/>
        </w:trPr>
        <w:tc>
          <w:tcPr>
            <w:tcW w:w="400" w:type="dxa"/>
            <w:vAlign w:val="bottom"/>
            <w:tcBorders>
              <w:bottom w:val="single" w:sz="8" w:color="808080"/>
            </w:tcBorders>
          </w:tcPr>
          <w:p>
            <w:pPr>
              <w:spacing w:after="0"/>
              <w:rPr>
                <w:sz w:val="24"/>
                <w:szCs w:val="24"/>
                <w:color w:val="auto"/>
              </w:rPr>
            </w:pPr>
          </w:p>
        </w:tc>
        <w:tc>
          <w:tcPr>
            <w:tcW w:w="770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7"/>
          <w:szCs w:val="17"/>
          <w:b w:val="1"/>
          <w:bCs w:val="1"/>
          <w:color w:val="auto"/>
        </w:rPr>
        <w:t>Item 2.02</w:t>
        <w:tab/>
        <w:t>RESULTS OF OPERATIONS AND FINANCIAL CONDITION</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On November 8, 2012, NN, Inc. (the “Company”) issued a press release, announcing the Company’s results of operations and financial condition for the third quarter ended September 30, 2012. The full text of the press release is furnished as Exhibit 99.1 and is incorporated herein by reference.</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0" w:type="dxa"/>
            <w:vAlign w:val="bottom"/>
          </w:tcPr>
          <w:p>
            <w:pPr>
              <w:spacing w:after="0"/>
              <w:rPr>
                <w:sz w:val="20"/>
                <w:szCs w:val="20"/>
                <w:color w:val="auto"/>
              </w:rPr>
            </w:pPr>
            <w:r>
              <w:rPr>
                <w:rFonts w:ascii="Arial" w:cs="Arial" w:eastAsia="Arial" w:hAnsi="Arial"/>
                <w:sz w:val="17"/>
                <w:szCs w:val="17"/>
                <w:b w:val="1"/>
                <w:bCs w:val="1"/>
                <w:color w:val="auto"/>
              </w:rPr>
              <w:t>Item</w:t>
            </w:r>
          </w:p>
        </w:tc>
        <w:tc>
          <w:tcPr>
            <w:tcW w:w="356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FINANCIAL STATEMENTS AND EXHIBITS</w:t>
            </w:r>
          </w:p>
        </w:tc>
        <w:tc>
          <w:tcPr>
            <w:tcW w:w="0" w:type="dxa"/>
            <w:vAlign w:val="bottom"/>
          </w:tcPr>
          <w:p>
            <w:pPr>
              <w:spacing w:after="0"/>
              <w:rPr>
                <w:sz w:val="1"/>
                <w:szCs w:val="1"/>
                <w:color w:val="auto"/>
              </w:rPr>
            </w:pPr>
          </w:p>
        </w:tc>
      </w:tr>
      <w:tr>
        <w:trPr>
          <w:trHeight w:val="120"/>
        </w:trPr>
        <w:tc>
          <w:tcPr>
            <w:tcW w:w="460" w:type="dxa"/>
            <w:vAlign w:val="bottom"/>
            <w:vMerge w:val="restart"/>
          </w:tcPr>
          <w:p>
            <w:pPr>
              <w:spacing w:after="0"/>
              <w:rPr>
                <w:sz w:val="20"/>
                <w:szCs w:val="20"/>
                <w:color w:val="auto"/>
              </w:rPr>
            </w:pPr>
            <w:r>
              <w:rPr>
                <w:rFonts w:ascii="Arial" w:cs="Arial" w:eastAsia="Arial" w:hAnsi="Arial"/>
                <w:sz w:val="17"/>
                <w:szCs w:val="17"/>
                <w:b w:val="1"/>
                <w:bCs w:val="1"/>
                <w:color w:val="auto"/>
              </w:rPr>
              <w:t>9.01</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60" w:type="dxa"/>
            <w:vAlign w:val="bottom"/>
            <w:vMerge w:val="continue"/>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34"/>
          <w:szCs w:val="34"/>
          <w:b w:val="1"/>
          <w:bCs w:val="1"/>
          <w:u w:val="single" w:color="auto"/>
          <w:color w:val="auto"/>
          <w:vertAlign w:val="superscript"/>
        </w:rPr>
        <w:t>Exhibit</w:t>
      </w:r>
      <w:r>
        <w:rPr>
          <w:rFonts w:ascii="Arial" w:cs="Arial" w:eastAsia="Arial" w:hAnsi="Arial"/>
          <w:sz w:val="17"/>
          <w:szCs w:val="17"/>
          <w:b w:val="1"/>
          <w:bCs w:val="1"/>
          <w:u w:val="single" w:color="auto"/>
          <w:color w:val="auto"/>
        </w:rPr>
        <w:t>Description</w:t>
      </w:r>
    </w:p>
    <w:p>
      <w:pPr>
        <w:spacing w:after="0"/>
        <w:rPr>
          <w:sz w:val="20"/>
          <w:szCs w:val="20"/>
          <w:color w:val="auto"/>
        </w:rPr>
      </w:pPr>
      <w:r>
        <w:rPr>
          <w:rFonts w:ascii="Arial" w:cs="Arial" w:eastAsia="Arial" w:hAnsi="Arial"/>
          <w:sz w:val="17"/>
          <w:szCs w:val="17"/>
          <w:b w:val="1"/>
          <w:bCs w:val="1"/>
          <w:u w:val="single" w:color="auto"/>
          <w:color w:val="auto"/>
        </w:rPr>
        <w:t>No.</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Press Release of NN, Inc. dated November 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702" w:right="2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2012</w:t>
      </w:r>
    </w:p>
    <w:p>
      <w:pPr>
        <w:spacing w:after="0" w:line="243"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NN, Inc.</w:t>
      </w:r>
    </w:p>
    <w:p>
      <w:pPr>
        <w:spacing w:after="0" w:line="200" w:lineRule="exact"/>
        <w:rPr>
          <w:sz w:val="20"/>
          <w:szCs w:val="20"/>
          <w:color w:val="auto"/>
        </w:rPr>
      </w:pPr>
    </w:p>
    <w:p>
      <w:pPr>
        <w:spacing w:after="0" w:line="276"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By:/s/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2091690</wp:posOffset>
            </wp:positionH>
            <wp:positionV relativeFrom="paragraph">
              <wp:posOffset>14605</wp:posOffset>
            </wp:positionV>
            <wp:extent cx="122110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1105" cy="16510"/>
                    </a:xfrm>
                    <a:prstGeom prst="rect">
                      <a:avLst/>
                    </a:prstGeom>
                    <a:noFill/>
                  </pic:spPr>
                </pic:pic>
              </a:graphicData>
            </a:graphic>
          </wp:anchor>
        </w:drawing>
      </w:r>
    </w:p>
    <w:p>
      <w:pPr>
        <w:spacing w:after="0" w:line="17"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Name: William C. Kelly, Jr.</w:t>
      </w:r>
    </w:p>
    <w:p>
      <w:pPr>
        <w:spacing w:after="0" w:line="22"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Title: Vice President and Chief</w:t>
      </w:r>
    </w:p>
    <w:p>
      <w:pPr>
        <w:spacing w:after="0" w:line="11"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Administrative Officer</w:t>
      </w:r>
    </w:p>
    <w:p>
      <w:pPr>
        <w:sectPr>
          <w:pgSz w:w="11900" w:h="16838" w:orient="portrait"/>
          <w:cols w:equalWidth="0" w:num="1">
            <w:col w:w="11360"/>
          </w:cols>
          <w:pgMar w:left="240" w:top="495" w:right="299" w:bottom="1440" w:gutter="0" w:footer="0" w:header="0"/>
        </w:sectPr>
      </w:pPr>
    </w:p>
    <w:bookmarkStart w:id="3" w:name="page4"/>
    <w:bookmarkEnd w:id="3"/>
    <w:p>
      <w:pPr>
        <w:ind w:left="10120"/>
        <w:spacing w:after="0"/>
        <w:rPr>
          <w:sz w:val="20"/>
          <w:szCs w:val="20"/>
          <w:color w:val="auto"/>
        </w:rPr>
      </w:pPr>
      <w:r>
        <w:rPr>
          <w:rFonts w:ascii="Arial" w:cs="Arial" w:eastAsia="Arial" w:hAnsi="Arial"/>
          <w:sz w:val="21"/>
          <w:szCs w:val="21"/>
          <w:b w:val="1"/>
          <w:bCs w:val="1"/>
          <w:color w:val="auto"/>
        </w:rPr>
        <w:t>EXHIBIT 99.1</w:t>
      </w:r>
    </w:p>
    <w:p>
      <w:pPr>
        <w:sectPr>
          <w:pgSz w:w="11900" w:h="16838" w:orient="portrait"/>
          <w:cols w:equalWidth="0" w:num="1">
            <w:col w:w="11420"/>
          </w:cols>
          <w:pgMar w:left="240" w:top="114" w:right="239" w:bottom="144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26"/>
          <w:szCs w:val="26"/>
          <w:color w:val="auto"/>
        </w:rPr>
        <w:t>F I N A N C I A L</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RELATIONS BOARD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61"/>
          <w:szCs w:val="61"/>
          <w:color w:val="auto"/>
        </w:rPr>
        <w:t>n e w s</w:t>
      </w:r>
    </w:p>
    <w:p>
      <w:pPr>
        <w:spacing w:after="0" w:line="216" w:lineRule="exact"/>
        <w:rPr>
          <w:sz w:val="20"/>
          <w:szCs w:val="20"/>
          <w:color w:val="auto"/>
        </w:rPr>
      </w:pPr>
    </w:p>
    <w:p>
      <w:pPr>
        <w:sectPr>
          <w:pgSz w:w="11900" w:h="16838" w:orient="portrait"/>
          <w:cols w:equalWidth="0" w:num="2">
            <w:col w:w="8420" w:space="720"/>
            <w:col w:w="2280"/>
          </w:cols>
          <w:pgMar w:left="240" w:top="114" w:right="239" w:bottom="1440" w:gutter="0" w:footer="0" w:header="0"/>
          <w:type w:val="continuous"/>
        </w:sectPr>
      </w:pPr>
    </w:p>
    <w:p>
      <w:pPr>
        <w:spacing w:after="0" w:line="375"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RE: NN, Inc.</w:t>
      </w:r>
    </w:p>
    <w:p>
      <w:pPr>
        <w:spacing w:after="0" w:line="22"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2000 Waters Edge Drive</w:t>
      </w:r>
    </w:p>
    <w:p>
      <w:pPr>
        <w:spacing w:after="0" w:line="11"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FOR FURTHER INFORMATION:</w:t>
      </w:r>
    </w:p>
    <w:p>
      <w:pPr>
        <w:spacing w:after="0" w:line="229" w:lineRule="exact"/>
        <w:rPr>
          <w:sz w:val="20"/>
          <w:szCs w:val="20"/>
          <w:color w:val="auto"/>
        </w:rPr>
      </w:pPr>
    </w:p>
    <w:p>
      <w:pPr>
        <w:spacing w:after="0"/>
        <w:tabs>
          <w:tab w:leader="none" w:pos="4340" w:val="left"/>
        </w:tabs>
        <w:rPr>
          <w:sz w:val="20"/>
          <w:szCs w:val="20"/>
          <w:color w:val="auto"/>
        </w:rPr>
      </w:pPr>
      <w:r>
        <w:rPr>
          <w:rFonts w:ascii="Arial" w:cs="Arial" w:eastAsia="Arial" w:hAnsi="Arial"/>
          <w:sz w:val="21"/>
          <w:szCs w:val="21"/>
          <w:color w:val="auto"/>
        </w:rPr>
        <w:t>AT THE COMPANY</w:t>
      </w:r>
      <w:r>
        <w:rPr>
          <w:sz w:val="20"/>
          <w:szCs w:val="20"/>
          <w:color w:val="auto"/>
        </w:rPr>
        <w:tab/>
      </w:r>
      <w:r>
        <w:rPr>
          <w:rFonts w:ascii="Arial" w:cs="Arial" w:eastAsia="Arial" w:hAnsi="Arial"/>
          <w:sz w:val="20"/>
          <w:szCs w:val="20"/>
          <w:color w:val="auto"/>
        </w:rPr>
        <w:t>AT FINANCIAL RELATIONS BOARD</w:t>
      </w:r>
    </w:p>
    <w:p>
      <w:pPr>
        <w:spacing w:after="0" w:line="14" w:lineRule="exact"/>
        <w:rPr>
          <w:sz w:val="20"/>
          <w:szCs w:val="20"/>
          <w:color w:val="auto"/>
        </w:rPr>
      </w:pPr>
    </w:p>
    <w:p>
      <w:pPr>
        <w:spacing w:after="0"/>
        <w:tabs>
          <w:tab w:leader="none" w:pos="4340" w:val="left"/>
        </w:tabs>
        <w:rPr>
          <w:sz w:val="20"/>
          <w:szCs w:val="20"/>
          <w:color w:val="auto"/>
        </w:rPr>
      </w:pPr>
      <w:r>
        <w:rPr>
          <w:rFonts w:ascii="Arial" w:cs="Arial" w:eastAsia="Arial" w:hAnsi="Arial"/>
          <w:sz w:val="17"/>
          <w:szCs w:val="17"/>
          <w:color w:val="auto"/>
        </w:rPr>
        <w:t>Will Kelly</w:t>
      </w:r>
      <w:r>
        <w:rPr>
          <w:sz w:val="20"/>
          <w:szCs w:val="20"/>
          <w:color w:val="auto"/>
        </w:rPr>
        <w:tab/>
      </w:r>
      <w:r>
        <w:rPr>
          <w:rFonts w:ascii="Arial" w:cs="Arial" w:eastAsia="Arial" w:hAnsi="Arial"/>
          <w:sz w:val="16"/>
          <w:szCs w:val="16"/>
          <w:color w:val="auto"/>
        </w:rPr>
        <w:t>Marilynn Meek</w:t>
      </w:r>
    </w:p>
    <w:p>
      <w:pPr>
        <w:spacing w:after="0" w:line="8" w:lineRule="exact"/>
        <w:rPr>
          <w:sz w:val="20"/>
          <w:szCs w:val="20"/>
          <w:color w:val="auto"/>
        </w:rPr>
      </w:pPr>
    </w:p>
    <w:p>
      <w:pPr>
        <w:spacing w:after="0"/>
        <w:tabs>
          <w:tab w:leader="none" w:pos="4340" w:val="left"/>
        </w:tabs>
        <w:rPr>
          <w:sz w:val="20"/>
          <w:szCs w:val="20"/>
          <w:color w:val="auto"/>
        </w:rPr>
      </w:pPr>
      <w:r>
        <w:rPr>
          <w:rFonts w:ascii="Arial" w:cs="Arial" w:eastAsia="Arial" w:hAnsi="Arial"/>
          <w:sz w:val="17"/>
          <w:szCs w:val="17"/>
          <w:color w:val="auto"/>
        </w:rPr>
        <w:t>Vice President and Chief Administrative Officer</w:t>
      </w:r>
      <w:r>
        <w:rPr>
          <w:sz w:val="20"/>
          <w:szCs w:val="20"/>
          <w:color w:val="auto"/>
        </w:rPr>
        <w:tab/>
      </w:r>
      <w:r>
        <w:rPr>
          <w:rFonts w:ascii="Arial" w:cs="Arial" w:eastAsia="Arial" w:hAnsi="Arial"/>
          <w:sz w:val="16"/>
          <w:szCs w:val="16"/>
          <w:color w:val="auto"/>
        </w:rPr>
        <w:t>(General info)</w:t>
      </w:r>
    </w:p>
    <w:p>
      <w:pPr>
        <w:spacing w:after="0" w:line="11" w:lineRule="exact"/>
        <w:rPr>
          <w:sz w:val="20"/>
          <w:szCs w:val="20"/>
          <w:color w:val="auto"/>
        </w:rPr>
      </w:pPr>
    </w:p>
    <w:p>
      <w:pPr>
        <w:spacing w:after="0"/>
        <w:tabs>
          <w:tab w:leader="none" w:pos="4340" w:val="left"/>
        </w:tabs>
        <w:rPr>
          <w:sz w:val="20"/>
          <w:szCs w:val="20"/>
          <w:color w:val="auto"/>
        </w:rPr>
      </w:pPr>
      <w:r>
        <w:rPr>
          <w:rFonts w:ascii="Arial" w:cs="Arial" w:eastAsia="Arial" w:hAnsi="Arial"/>
          <w:sz w:val="17"/>
          <w:szCs w:val="17"/>
          <w:color w:val="auto"/>
        </w:rPr>
        <w:t>(423) 743-9151</w:t>
      </w:r>
      <w:r>
        <w:rPr>
          <w:sz w:val="20"/>
          <w:szCs w:val="20"/>
          <w:color w:val="auto"/>
        </w:rPr>
        <w:tab/>
      </w:r>
      <w:r>
        <w:rPr>
          <w:rFonts w:ascii="Arial" w:cs="Arial" w:eastAsia="Arial" w:hAnsi="Arial"/>
          <w:sz w:val="15"/>
          <w:szCs w:val="15"/>
          <w:color w:val="auto"/>
        </w:rPr>
        <w:t>(212) 827-3773</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November 8, 2012</w:t>
      </w:r>
    </w:p>
    <w:p>
      <w:pPr>
        <w:spacing w:after="0" w:line="227" w:lineRule="exact"/>
        <w:rPr>
          <w:sz w:val="20"/>
          <w:szCs w:val="20"/>
          <w:color w:val="auto"/>
        </w:rPr>
      </w:pPr>
    </w:p>
    <w:p>
      <w:pPr>
        <w:ind w:left="3460" w:hanging="301"/>
        <w:spacing w:after="0"/>
        <w:tabs>
          <w:tab w:leader="none" w:pos="346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REPORTS THIRD QUARTER AND NINE MONTHS RESULTS</w:t>
      </w:r>
    </w:p>
    <w:p>
      <w:pPr>
        <w:spacing w:after="0" w:line="243" w:lineRule="exact"/>
        <w:rPr>
          <w:rFonts w:ascii="Arial" w:cs="Arial" w:eastAsia="Arial" w:hAnsi="Arial"/>
          <w:sz w:val="17"/>
          <w:szCs w:val="17"/>
          <w:b w:val="1"/>
          <w:bCs w:val="1"/>
          <w:color w:val="auto"/>
        </w:rPr>
      </w:pPr>
    </w:p>
    <w:p>
      <w:pPr>
        <w:ind w:left="620" w:hanging="126"/>
        <w:spacing w:after="0"/>
        <w:tabs>
          <w:tab w:leader="none" w:pos="6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Earnings from normal operations up 12.8% for the quarter and 9.0% for the first nine months over prior year</w:t>
      </w:r>
    </w:p>
    <w:p>
      <w:pPr>
        <w:spacing w:after="0" w:line="27" w:lineRule="exact"/>
        <w:rPr>
          <w:rFonts w:ascii="Arial" w:cs="Arial" w:eastAsia="Arial" w:hAnsi="Arial"/>
          <w:sz w:val="17"/>
          <w:szCs w:val="17"/>
          <w:b w:val="1"/>
          <w:bCs w:val="1"/>
          <w:color w:val="auto"/>
        </w:rPr>
      </w:pPr>
    </w:p>
    <w:p>
      <w:pPr>
        <w:ind w:left="620" w:hanging="126"/>
        <w:spacing w:after="0"/>
        <w:tabs>
          <w:tab w:leader="none" w:pos="6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Currency adjusted third quarter and first nine months sales down 10.3% and 8.4% respectively over prior year</w:t>
      </w:r>
    </w:p>
    <w:p>
      <w:pPr>
        <w:spacing w:after="0" w:line="11" w:lineRule="exact"/>
        <w:rPr>
          <w:rFonts w:ascii="Arial" w:cs="Arial" w:eastAsia="Arial" w:hAnsi="Arial"/>
          <w:sz w:val="17"/>
          <w:szCs w:val="17"/>
          <w:b w:val="1"/>
          <w:bCs w:val="1"/>
          <w:color w:val="auto"/>
        </w:rPr>
      </w:pPr>
    </w:p>
    <w:p>
      <w:pPr>
        <w:ind w:left="620" w:hanging="126"/>
        <w:spacing w:after="0" w:line="267" w:lineRule="auto"/>
        <w:tabs>
          <w:tab w:leader="none" w:pos="6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Net income from normal operations for the third quarter and nine months ended September 30, 2012 was $3.8 million and $16.3 million, respectively, as compared to $3.3 million and $15.0 million for the same periods in 2011</w:t>
      </w:r>
    </w:p>
    <w:p>
      <w:pPr>
        <w:spacing w:after="0" w:line="19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color w:val="auto"/>
        </w:rPr>
        <w:t xml:space="preserve">Johnson City, Tenn, November 8, 2012 – NN, Inc. </w:t>
      </w:r>
      <w:r>
        <w:rPr>
          <w:rFonts w:ascii="Arial" w:cs="Arial" w:eastAsia="Arial" w:hAnsi="Arial"/>
          <w:sz w:val="17"/>
          <w:szCs w:val="17"/>
          <w:color w:val="auto"/>
        </w:rPr>
        <w:t>(Nasdaq: NNBR) today reported its financial results for the third quarter and nine months ended September 30,</w:t>
      </w:r>
      <w:r>
        <w:rPr>
          <w:rFonts w:ascii="Arial" w:cs="Arial" w:eastAsia="Arial" w:hAnsi="Arial"/>
          <w:sz w:val="17"/>
          <w:szCs w:val="17"/>
          <w:b w:val="1"/>
          <w:bCs w:val="1"/>
          <w:color w:val="auto"/>
        </w:rPr>
        <w:t xml:space="preserve"> </w:t>
      </w:r>
      <w:r>
        <w:rPr>
          <w:rFonts w:ascii="Arial" w:cs="Arial" w:eastAsia="Arial" w:hAnsi="Arial"/>
          <w:sz w:val="17"/>
          <w:szCs w:val="17"/>
          <w:color w:val="auto"/>
        </w:rPr>
        <w:t>2012. Net sales for the third quarter of 2012 were $86.6 million, a decrease of $14.5 million or 14.3% (10.3%, net of the effect of foreign currency), compared to net sales of $101.1 million for the third quarter of 2011. Approximately $11.5 million of the decrease was due primarily to lower demand for the Company’s products in European and Asian automotive end markets. The negative impact of foreign currency exchange of approximately $4.1 million offset the positive effect of price increases and positive raw material pass through of approximately $1.1 million.</w:t>
      </w:r>
    </w:p>
    <w:p>
      <w:pPr>
        <w:spacing w:after="0" w:line="200" w:lineRule="exact"/>
        <w:rPr>
          <w:sz w:val="20"/>
          <w:szCs w:val="20"/>
          <w:color w:val="auto"/>
        </w:rPr>
      </w:pPr>
    </w:p>
    <w:p>
      <w:pPr>
        <w:spacing w:after="0" w:line="210"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Reported net income for the current quarter of $3.1 million, or $0.18 per diluted share included approximately $0.7 million, net of tax, in non-operating foreign currency exchange losses on intercompany loans. Excluding this loss, net income from normal operations was $3.8 million, or $0.22 per diluted share, up 12.8% from the same period in 2011. Reported net income for the third quarter of 2011 of $4.7 million, or $0.28 per diluted share included approximately $1.4 million, net of tax, non-operating foreign currency exchange gains on intercompany loans. Excluding these gains, net income from normal operations was $3.3 million, or $0.20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p>
      <w:pPr>
        <w:spacing w:after="0" w:line="262" w:lineRule="auto"/>
        <w:rPr>
          <w:sz w:val="20"/>
          <w:szCs w:val="20"/>
          <w:color w:val="auto"/>
        </w:rPr>
      </w:pPr>
      <w:r>
        <w:rPr>
          <w:rFonts w:ascii="Arial" w:cs="Arial" w:eastAsia="Arial" w:hAnsi="Arial"/>
          <w:sz w:val="17"/>
          <w:szCs w:val="17"/>
          <w:color w:val="auto"/>
        </w:rPr>
        <w:t>Net sales for the first nine months of 2012 were $289.9 million, a decrease of $38.5 million, or 11.7% (8.4% net the effect of foreign currency) compared to net sales of $328.4 million for the first nine months of 2011. Approximately $31.1 million of the decrease was attributable to lower demand for the Company’s products in European and Asian automotive end markets. The negative effect of foreign currency translation accounted for another $11.0 million of the decrease. Price increases and the positive effect of raw material pass through of $3.7 million slightly offset these decreases.</w:t>
      </w:r>
    </w:p>
    <w:p>
      <w:pPr>
        <w:spacing w:after="0" w:line="200" w:lineRule="exact"/>
        <w:rPr>
          <w:sz w:val="20"/>
          <w:szCs w:val="20"/>
          <w:color w:val="auto"/>
        </w:rPr>
      </w:pPr>
    </w:p>
    <w:p>
      <w:pPr>
        <w:spacing w:after="0" w:line="21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Reported net income for the first nine months of 2012 of $16.1 million, of $0.94 per diluted share included a net of tax, non-operating foreign currency exchange loss of $0.3 million on intercompany loans. Excluding this loss, net income from normal operations was $16.3 million, up 8.7% from the same period in 2011, or $0.96 per diluted share. Reported net income for the first nine months of 2011 of $16.0 million, or $0.95 per diluted share included the net of tax benefit of $0.8 million in restructuring gains and $0.2 million in foreign currency exchange gains on intercompany loans. Excluding these gains, the Company generated $15.0 million, or $0.88 per diluted share in net income from normal operations for the first nine months of 2011.</w:t>
      </w:r>
    </w:p>
    <w:p>
      <w:pPr>
        <w:spacing w:after="0" w:line="206" w:lineRule="exact"/>
        <w:rPr>
          <w:sz w:val="20"/>
          <w:szCs w:val="20"/>
          <w:color w:val="auto"/>
        </w:rPr>
      </w:pPr>
    </w:p>
    <w:p>
      <w:pPr>
        <w:jc w:val="both"/>
        <w:ind w:right="20"/>
        <w:spacing w:after="0" w:line="318" w:lineRule="auto"/>
        <w:rPr>
          <w:sz w:val="20"/>
          <w:szCs w:val="20"/>
          <w:color w:val="auto"/>
        </w:rPr>
      </w:pPr>
      <w:r>
        <w:rPr>
          <w:rFonts w:ascii="Arial" w:cs="Arial" w:eastAsia="Arial" w:hAnsi="Arial"/>
          <w:sz w:val="15"/>
          <w:szCs w:val="15"/>
          <w:color w:val="auto"/>
        </w:rPr>
        <w:t>As a percentage of net sales, cost of products sold for the quarter decreased to 79.0% from 82.6% for last year’s third quarter. Cost of products sold for the first nine months of this year was 79.1% as compared to 81.8% for the same period last year. The decrease in the cost of products sold as a percentage of sales was attributable to improved levels of profitability at Whirlaway and operational cost improvements driven by our Level 3 programs in each of our global manufacturing facilities.</w:t>
      </w:r>
    </w:p>
    <w:p>
      <w:pPr>
        <w:spacing w:after="0" w:line="166"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Debt, net of cash, was $60.8 million at September 30, 2012, a decrease of $12.8 million over the December 31, 2011 amount of $73.6 million. During the first nine months of the year, capital spending totaled $12.4 million, or 73% of the mid-point of the planned 2012 capital budget of approximately $17.0 million.</w:t>
      </w:r>
    </w:p>
    <w:p>
      <w:pPr>
        <w:spacing w:after="0" w:line="167" w:lineRule="exact"/>
        <w:rPr>
          <w:sz w:val="20"/>
          <w:szCs w:val="20"/>
          <w:color w:val="auto"/>
        </w:rPr>
      </w:pPr>
    </w:p>
    <w:p>
      <w:pPr>
        <w:jc w:val="both"/>
        <w:ind w:right="160"/>
        <w:spacing w:after="0" w:line="260" w:lineRule="auto"/>
        <w:rPr>
          <w:sz w:val="20"/>
          <w:szCs w:val="20"/>
          <w:color w:val="auto"/>
        </w:rPr>
      </w:pPr>
      <w:r>
        <w:rPr>
          <w:rFonts w:ascii="Arial" w:cs="Arial" w:eastAsia="Arial" w:hAnsi="Arial"/>
          <w:sz w:val="17"/>
          <w:szCs w:val="17"/>
          <w:color w:val="auto"/>
        </w:rPr>
        <w:t>On October 26, 2012, the Company’s improving credit profile allowed it to amend and restate its $100 million revolving credit agreement agented by KeyBank and the long-term fixed rate notes with Prudential Capital. These amendments will result in a significant reduction in borrowing costs. At current borrowing levels, the reduction in interest rates will result in approximately $0.6 million of annual savings. Additionally, the amended facilities provide for added flexibility to continue acquisitions and allows for the reinstatement of dividends and the repurchase of common stock. Covenant levels have also been adjusted to reflect the Company’s improved credit profile.</w:t>
      </w:r>
    </w:p>
    <w:p>
      <w:pPr>
        <w:spacing w:after="0" w:line="206" w:lineRule="exact"/>
        <w:rPr>
          <w:sz w:val="20"/>
          <w:szCs w:val="20"/>
          <w:color w:val="auto"/>
        </w:rPr>
      </w:pPr>
    </w:p>
    <w:p>
      <w:pPr>
        <w:ind w:right="560"/>
        <w:spacing w:after="0" w:line="291" w:lineRule="auto"/>
        <w:rPr>
          <w:sz w:val="20"/>
          <w:szCs w:val="20"/>
          <w:color w:val="auto"/>
        </w:rPr>
      </w:pPr>
      <w:r>
        <w:rPr>
          <w:rFonts w:ascii="Arial" w:cs="Arial" w:eastAsia="Arial" w:hAnsi="Arial"/>
          <w:sz w:val="16"/>
          <w:szCs w:val="16"/>
          <w:color w:val="auto"/>
        </w:rPr>
        <w:t>Roderick R. Baty, Chairman and Chief Executive Officer, commented, “Weak economic conditions and uncertainty in our served end markets continued to negatively impact the demand for our products, predominately in the European and Asian automotive markets. Additionally, due to increasingly cautious end markets, we feel that overall reductions in inventory levels throughout the supply chain further negatively impacted short-term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 w:name="page6"/>
    <w:bookmarkEnd w:id="5"/>
    <w:p>
      <w:pPr>
        <w:jc w:val="both"/>
        <w:ind w:right="280"/>
        <w:spacing w:after="0" w:line="266" w:lineRule="auto"/>
        <w:rPr>
          <w:sz w:val="20"/>
          <w:szCs w:val="20"/>
          <w:color w:val="auto"/>
        </w:rPr>
      </w:pPr>
      <w:r>
        <w:rPr>
          <w:rFonts w:ascii="Arial" w:cs="Arial" w:eastAsia="Arial" w:hAnsi="Arial"/>
          <w:sz w:val="17"/>
          <w:szCs w:val="17"/>
          <w:color w:val="auto"/>
        </w:rPr>
        <w:t>Despite this weaker demand, our cost structure and operating performance allowed us to significantly improve margins and earnings over the same periods in the prior year. Operational improvements at Whirlaway, coupled with excellent Level 3 led cost controls and improved cost flexibility in our European and Chinese facilities, have been the primary drivers in our margin and profitability improvement from 2011, on much lower sales.”</w:t>
      </w:r>
    </w:p>
    <w:p>
      <w:pPr>
        <w:spacing w:after="0" w:line="200" w:lineRule="exact"/>
        <w:rPr>
          <w:sz w:val="20"/>
          <w:szCs w:val="20"/>
          <w:color w:val="auto"/>
        </w:rPr>
      </w:pPr>
    </w:p>
    <w:p>
      <w:pPr>
        <w:spacing w:after="0" w:line="20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Mr. Baty concluded, “Looking ahead, we expect demand to remain sluggish for the remainder of the year. We expect the fourth quarter to be sequentially down from the third quarter in terms of revenue. However, we are well positioned to manage through this downturn and expect to continue to leverage our improved cost structure and flexibility by carefully managing our working capital and expenses and by making necessary adjustments to production schedules to match customer demand.”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NN, Inc. manufacturers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$425 million in 2011.</w:t>
      </w:r>
    </w:p>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2011.</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20" w:type="dxa"/>
            <w:vAlign w:val="bottom"/>
            <w:gridSpan w:val="5"/>
          </w:tcPr>
          <w:p>
            <w:pPr>
              <w:jc w:val="right"/>
              <w:ind w:right="54"/>
              <w:spacing w:after="0"/>
              <w:rPr>
                <w:sz w:val="20"/>
                <w:szCs w:val="20"/>
                <w:color w:val="auto"/>
              </w:rPr>
            </w:pPr>
            <w:r>
              <w:rPr>
                <w:rFonts w:ascii="Arial" w:cs="Arial" w:eastAsia="Arial" w:hAnsi="Arial"/>
                <w:sz w:val="17"/>
                <w:szCs w:val="17"/>
                <w:b w:val="1"/>
                <w:bCs w:val="1"/>
                <w:color w:val="auto"/>
                <w:w w:val="92"/>
              </w:rPr>
              <w:t>Three Months Ended</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gridSpan w:val="5"/>
          </w:tcPr>
          <w:p>
            <w:pPr>
              <w:ind w:left="680"/>
              <w:spacing w:after="0"/>
              <w:rPr>
                <w:sz w:val="20"/>
                <w:szCs w:val="20"/>
                <w:color w:val="auto"/>
              </w:rPr>
            </w:pPr>
            <w:r>
              <w:rPr>
                <w:rFonts w:ascii="Arial" w:cs="Arial" w:eastAsia="Arial" w:hAnsi="Arial"/>
                <w:sz w:val="17"/>
                <w:szCs w:val="17"/>
                <w:b w:val="1"/>
                <w:bCs w:val="1"/>
                <w:color w:val="auto"/>
                <w:w w:val="98"/>
              </w:rPr>
              <w:t>Nine Months Ended</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gridSpan w:val="4"/>
          </w:tcPr>
          <w:p>
            <w:pPr>
              <w:ind w:left="220"/>
              <w:spacing w:after="0"/>
              <w:rPr>
                <w:sz w:val="20"/>
                <w:szCs w:val="20"/>
                <w:color w:val="auto"/>
              </w:rPr>
            </w:pPr>
            <w:r>
              <w:rPr>
                <w:rFonts w:ascii="Arial" w:cs="Arial" w:eastAsia="Arial" w:hAnsi="Arial"/>
                <w:sz w:val="17"/>
                <w:szCs w:val="17"/>
                <w:b w:val="1"/>
                <w:bCs w:val="1"/>
                <w:color w:val="auto"/>
                <w:w w:val="96"/>
              </w:rPr>
              <w:t>September 30,</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gridSpan w:val="3"/>
          </w:tcPr>
          <w:p>
            <w:pPr>
              <w:ind w:left="80"/>
              <w:spacing w:after="0"/>
              <w:rPr>
                <w:sz w:val="20"/>
                <w:szCs w:val="20"/>
                <w:color w:val="auto"/>
              </w:rPr>
            </w:pPr>
            <w:r>
              <w:rPr>
                <w:rFonts w:ascii="Arial" w:cs="Arial" w:eastAsia="Arial" w:hAnsi="Arial"/>
                <w:sz w:val="17"/>
                <w:szCs w:val="17"/>
                <w:b w:val="1"/>
                <w:bCs w:val="1"/>
                <w:color w:val="auto"/>
                <w:w w:val="92"/>
              </w:rPr>
              <w:t>September 30,</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68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5"/>
              </w:rPr>
              <w:t>2012</w:t>
            </w:r>
          </w:p>
        </w:tc>
        <w:tc>
          <w:tcPr>
            <w:tcW w:w="4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7"/>
                <w:szCs w:val="17"/>
                <w:b w:val="1"/>
                <w:bCs w:val="1"/>
                <w:color w:val="auto"/>
              </w:rPr>
              <w:t>2011</w:t>
            </w:r>
          </w:p>
        </w:tc>
        <w:tc>
          <w:tcPr>
            <w:tcW w:w="90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434"/>
              <w:spacing w:after="0"/>
              <w:rPr>
                <w:sz w:val="20"/>
                <w:szCs w:val="20"/>
                <w:color w:val="auto"/>
              </w:rPr>
            </w:pPr>
            <w:r>
              <w:rPr>
                <w:rFonts w:ascii="Arial" w:cs="Arial" w:eastAsia="Arial" w:hAnsi="Arial"/>
                <w:sz w:val="17"/>
                <w:szCs w:val="17"/>
                <w:b w:val="1"/>
                <w:bCs w:val="1"/>
                <w:color w:val="auto"/>
              </w:rPr>
              <w:t>2012</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7"/>
                <w:szCs w:val="17"/>
                <w:b w:val="1"/>
                <w:bCs w:val="1"/>
                <w:color w:val="auto"/>
                <w:w w:val="95"/>
              </w:rPr>
              <w:t>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1"/>
        </w:trPr>
        <w:tc>
          <w:tcPr>
            <w:tcW w:w="4680" w:type="dxa"/>
            <w:vAlign w:val="bottom"/>
          </w:tcPr>
          <w:p>
            <w:pPr>
              <w:spacing w:after="0"/>
              <w:rPr>
                <w:sz w:val="20"/>
                <w:szCs w:val="20"/>
                <w:color w:val="auto"/>
              </w:rPr>
            </w:pPr>
            <w:r>
              <w:rPr>
                <w:rFonts w:ascii="Arial" w:cs="Arial" w:eastAsia="Arial" w:hAnsi="Arial"/>
                <w:sz w:val="17"/>
                <w:szCs w:val="17"/>
                <w:color w:val="auto"/>
              </w:rPr>
              <w:t>Net sales</w:t>
            </w:r>
          </w:p>
        </w:tc>
        <w:tc>
          <w:tcPr>
            <w:tcW w:w="720" w:type="dxa"/>
            <w:vAlign w:val="bottom"/>
          </w:tcPr>
          <w:p>
            <w:pPr>
              <w:jc w:val="center"/>
              <w:ind w:left="394"/>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86,586</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900"/>
              <w:spacing w:after="0"/>
              <w:rPr>
                <w:sz w:val="20"/>
                <w:szCs w:val="20"/>
                <w:color w:val="auto"/>
              </w:rPr>
            </w:pPr>
            <w:r>
              <w:rPr>
                <w:rFonts w:ascii="Arial" w:cs="Arial" w:eastAsia="Arial" w:hAnsi="Arial"/>
                <w:sz w:val="17"/>
                <w:szCs w:val="17"/>
                <w:color w:val="auto"/>
                <w:w w:val="87"/>
              </w:rPr>
              <w:t>101,143</w:t>
            </w: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w w:val="87"/>
              </w:rPr>
              <w:t>289,929</w:t>
            </w:r>
          </w:p>
        </w:tc>
        <w:tc>
          <w:tcPr>
            <w:tcW w:w="4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328,371</w:t>
            </w: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Arial" w:cs="Arial" w:eastAsia="Arial" w:hAnsi="Arial"/>
                <w:sz w:val="17"/>
                <w:szCs w:val="17"/>
                <w:color w:val="auto"/>
              </w:rPr>
              <w:t>Cost of products sold (exclusive of</w:t>
            </w: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tcPr>
          <w:p>
            <w:pPr>
              <w:ind w:left="80"/>
              <w:spacing w:after="0"/>
              <w:rPr>
                <w:sz w:val="20"/>
                <w:szCs w:val="20"/>
                <w:color w:val="auto"/>
              </w:rPr>
            </w:pPr>
            <w:r>
              <w:rPr>
                <w:rFonts w:ascii="Arial" w:cs="Arial" w:eastAsia="Arial" w:hAnsi="Arial"/>
                <w:sz w:val="17"/>
                <w:szCs w:val="17"/>
                <w:color w:val="auto"/>
              </w:rPr>
              <w:t>depreciation shown separately below)</w:t>
            </w: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68,426</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7"/>
                <w:szCs w:val="17"/>
                <w:color w:val="auto"/>
              </w:rPr>
              <w:t>83,575</w:t>
            </w:r>
          </w:p>
        </w:tc>
        <w:tc>
          <w:tcPr>
            <w:tcW w:w="8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w w:val="87"/>
              </w:rPr>
              <w:t>229,243</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268,530</w:t>
            </w: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7,886</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7"/>
                <w:szCs w:val="17"/>
                <w:color w:val="auto"/>
              </w:rPr>
              <w:t>7,498</w:t>
            </w:r>
          </w:p>
        </w:tc>
        <w:tc>
          <w:tcPr>
            <w:tcW w:w="8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24,266</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23,184</w:t>
            </w: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4,357</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7"/>
                <w:szCs w:val="17"/>
                <w:color w:val="auto"/>
              </w:rPr>
              <w:t>4,298</w:t>
            </w:r>
          </w:p>
        </w:tc>
        <w:tc>
          <w:tcPr>
            <w:tcW w:w="8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13,203</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12,624</w:t>
            </w: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Arial" w:cs="Arial" w:eastAsia="Arial" w:hAnsi="Arial"/>
                <w:sz w:val="17"/>
                <w:szCs w:val="17"/>
                <w:color w:val="auto"/>
              </w:rPr>
              <w:t>Gain on disposal of assets</w:t>
            </w: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7"/>
                <w:szCs w:val="17"/>
                <w:color w:val="auto"/>
              </w:rPr>
              <w:t>(23)</w:t>
            </w:r>
          </w:p>
        </w:tc>
        <w:tc>
          <w:tcPr>
            <w:tcW w:w="8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(8)</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7"/>
        </w:trPr>
        <w:tc>
          <w:tcPr>
            <w:tcW w:w="4680" w:type="dxa"/>
            <w:vAlign w:val="bottom"/>
          </w:tcPr>
          <w:p>
            <w:pPr>
              <w:spacing w:after="0"/>
              <w:rPr>
                <w:sz w:val="20"/>
                <w:szCs w:val="20"/>
                <w:color w:val="auto"/>
              </w:rPr>
            </w:pPr>
            <w:r>
              <w:rPr>
                <w:rFonts w:ascii="Arial" w:cs="Arial" w:eastAsia="Arial" w:hAnsi="Arial"/>
                <w:sz w:val="17"/>
                <w:szCs w:val="17"/>
                <w:color w:val="auto"/>
              </w:rPr>
              <w:t>Gain from deconsolidation of a bankrupt subsidiary</w:t>
            </w:r>
          </w:p>
        </w:tc>
        <w:tc>
          <w:tcPr>
            <w:tcW w:w="72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vMerge w:val="restart"/>
          </w:tcPr>
          <w:p>
            <w:pPr>
              <w:jc w:val="right"/>
              <w:ind w:right="90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8"/>
                <w:szCs w:val="18"/>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80" w:type="dxa"/>
            <w:vAlign w:val="bottom"/>
          </w:tcPr>
          <w:p>
            <w:pPr>
              <w:spacing w:after="0"/>
              <w:rPr>
                <w:sz w:val="20"/>
                <w:szCs w:val="20"/>
                <w:color w:val="auto"/>
              </w:rPr>
            </w:pPr>
            <w:r>
              <w:rPr>
                <w:rFonts w:ascii="Arial" w:cs="Arial" w:eastAsia="Arial" w:hAnsi="Arial"/>
                <w:sz w:val="17"/>
                <w:szCs w:val="17"/>
                <w:color w:val="auto"/>
              </w:rPr>
              <w:t>Income from operations</w:t>
            </w:r>
          </w:p>
        </w:tc>
        <w:tc>
          <w:tcPr>
            <w:tcW w:w="7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5,917</w:t>
            </w:r>
          </w:p>
        </w:tc>
        <w:tc>
          <w:tcPr>
            <w:tcW w:w="4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5,795</w:t>
            </w:r>
          </w:p>
        </w:tc>
        <w:tc>
          <w:tcPr>
            <w:tcW w:w="9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23,225</w:t>
            </w: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4680" w:type="dxa"/>
            <w:vAlign w:val="bottom"/>
          </w:tcPr>
          <w:p>
            <w:pPr>
              <w:spacing w:after="0"/>
              <w:rPr>
                <w:sz w:val="20"/>
                <w:szCs w:val="20"/>
                <w:color w:val="auto"/>
              </w:rPr>
            </w:pPr>
            <w:r>
              <w:rPr>
                <w:rFonts w:ascii="Arial" w:cs="Arial" w:eastAsia="Arial" w:hAnsi="Arial"/>
                <w:sz w:val="17"/>
                <w:szCs w:val="17"/>
                <w:color w:val="auto"/>
              </w:rPr>
              <w:t>Interest expense</w:t>
            </w: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1,061</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7"/>
                <w:szCs w:val="17"/>
                <w:color w:val="auto"/>
              </w:rPr>
              <w:t>1,169</w:t>
            </w:r>
          </w:p>
        </w:tc>
        <w:tc>
          <w:tcPr>
            <w:tcW w:w="8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3,388</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3,613</w:t>
            </w:r>
          </w:p>
        </w:tc>
        <w:tc>
          <w:tcPr>
            <w:tcW w:w="0" w:type="dxa"/>
            <w:vAlign w:val="bottom"/>
          </w:tcPr>
          <w:p>
            <w:pPr>
              <w:spacing w:after="0"/>
              <w:rPr>
                <w:sz w:val="1"/>
                <w:szCs w:val="1"/>
                <w:color w:val="auto"/>
              </w:rPr>
            </w:pPr>
          </w:p>
        </w:tc>
      </w:tr>
      <w:tr>
        <w:trPr>
          <w:trHeight w:val="225"/>
        </w:trPr>
        <w:tc>
          <w:tcPr>
            <w:tcW w:w="4680" w:type="dxa"/>
            <w:vAlign w:val="bottom"/>
          </w:tcPr>
          <w:p>
            <w:pPr>
              <w:spacing w:after="0"/>
              <w:rPr>
                <w:sz w:val="20"/>
                <w:szCs w:val="20"/>
                <w:color w:val="auto"/>
              </w:rPr>
            </w:pPr>
            <w:r>
              <w:rPr>
                <w:rFonts w:ascii="Arial" w:cs="Arial" w:eastAsia="Arial" w:hAnsi="Arial"/>
                <w:sz w:val="17"/>
                <w:szCs w:val="17"/>
                <w:color w:val="auto"/>
              </w:rPr>
              <w:t>Other expense (income), net</w:t>
            </w: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765</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7"/>
                <w:szCs w:val="17"/>
                <w:color w:val="auto"/>
              </w:rPr>
              <w:t>(1,462)</w:t>
            </w:r>
          </w:p>
        </w:tc>
        <w:tc>
          <w:tcPr>
            <w:tcW w:w="8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(36)</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194"/>
        </w:trPr>
        <w:tc>
          <w:tcPr>
            <w:tcW w:w="4680" w:type="dxa"/>
            <w:vAlign w:val="bottom"/>
          </w:tcPr>
          <w:p>
            <w:pPr>
              <w:spacing w:after="0" w:line="194" w:lineRule="exact"/>
              <w:rPr>
                <w:sz w:val="20"/>
                <w:szCs w:val="20"/>
                <w:color w:val="auto"/>
              </w:rPr>
            </w:pPr>
            <w:r>
              <w:rPr>
                <w:rFonts w:ascii="Arial" w:cs="Arial" w:eastAsia="Arial" w:hAnsi="Arial"/>
                <w:sz w:val="17"/>
                <w:szCs w:val="17"/>
                <w:color w:val="auto"/>
              </w:rPr>
              <w:t>Income before provision for income taxes</w:t>
            </w:r>
          </w:p>
        </w:tc>
        <w:tc>
          <w:tcPr>
            <w:tcW w:w="7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4,091</w:t>
            </w:r>
          </w:p>
        </w:tc>
        <w:tc>
          <w:tcPr>
            <w:tcW w:w="4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6,088</w:t>
            </w:r>
          </w:p>
        </w:tc>
        <w:tc>
          <w:tcPr>
            <w:tcW w:w="9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19,873</w:t>
            </w:r>
          </w:p>
        </w:tc>
        <w:tc>
          <w:tcPr>
            <w:tcW w:w="2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20,920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68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976</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7"/>
                <w:szCs w:val="17"/>
                <w:color w:val="auto"/>
              </w:rPr>
              <w:t>1,386</w:t>
            </w:r>
          </w:p>
        </w:tc>
        <w:tc>
          <w:tcPr>
            <w:tcW w:w="8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3,811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4,886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2"/>
        </w:trPr>
        <w:tc>
          <w:tcPr>
            <w:tcW w:w="4680" w:type="dxa"/>
            <w:vAlign w:val="bottom"/>
          </w:tcPr>
          <w:p>
            <w:pPr>
              <w:spacing w:after="0"/>
              <w:rPr>
                <w:sz w:val="20"/>
                <w:szCs w:val="20"/>
                <w:color w:val="auto"/>
              </w:rPr>
            </w:pPr>
            <w:r>
              <w:rPr>
                <w:rFonts w:ascii="Arial" w:cs="Arial" w:eastAsia="Arial" w:hAnsi="Arial"/>
                <w:sz w:val="17"/>
                <w:szCs w:val="17"/>
                <w:color w:val="auto"/>
              </w:rPr>
              <w:t>Net income</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3,115</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900"/>
              <w:spacing w:after="0"/>
              <w:rPr>
                <w:sz w:val="20"/>
                <w:szCs w:val="20"/>
                <w:color w:val="auto"/>
              </w:rPr>
            </w:pPr>
            <w:r>
              <w:rPr>
                <w:rFonts w:ascii="Arial" w:cs="Arial" w:eastAsia="Arial" w:hAnsi="Arial"/>
                <w:sz w:val="17"/>
                <w:szCs w:val="17"/>
                <w:color w:val="auto"/>
              </w:rPr>
              <w:t>4,702</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16,062</w:t>
            </w:r>
          </w:p>
        </w:tc>
        <w:tc>
          <w:tcPr>
            <w:tcW w:w="4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16,034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680" w:type="dxa"/>
            <w:vAlign w:val="bottom"/>
          </w:tcPr>
          <w:p>
            <w:pPr>
              <w:spacing w:after="0"/>
              <w:rPr>
                <w:sz w:val="20"/>
                <w:szCs w:val="20"/>
                <w:color w:val="auto"/>
              </w:rPr>
            </w:pPr>
            <w:r>
              <w:rPr>
                <w:rFonts w:ascii="Arial" w:cs="Arial" w:eastAsia="Arial" w:hAnsi="Arial"/>
                <w:sz w:val="17"/>
                <w:szCs w:val="17"/>
                <w:color w:val="auto"/>
              </w:rPr>
              <w:t>Diluted income per common share</w:t>
            </w:r>
          </w:p>
        </w:tc>
        <w:tc>
          <w:tcPr>
            <w:tcW w:w="720" w:type="dxa"/>
            <w:vAlign w:val="bottom"/>
          </w:tcPr>
          <w:p>
            <w:pPr>
              <w:jc w:val="center"/>
              <w:ind w:left="394"/>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0.18</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900"/>
              <w:spacing w:after="0"/>
              <w:rPr>
                <w:sz w:val="20"/>
                <w:szCs w:val="20"/>
                <w:color w:val="auto"/>
              </w:rPr>
            </w:pPr>
            <w:r>
              <w:rPr>
                <w:rFonts w:ascii="Arial" w:cs="Arial" w:eastAsia="Arial" w:hAnsi="Arial"/>
                <w:sz w:val="17"/>
                <w:szCs w:val="17"/>
                <w:color w:val="auto"/>
              </w:rPr>
              <w:t>0.28</w:t>
            </w:r>
          </w:p>
        </w:tc>
        <w:tc>
          <w:tcPr>
            <w:tcW w:w="820" w:type="dxa"/>
            <w:vAlign w:val="bottom"/>
          </w:tcPr>
          <w:p>
            <w:pPr>
              <w:ind w:left="6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0.94</w:t>
            </w:r>
          </w:p>
        </w:tc>
        <w:tc>
          <w:tcPr>
            <w:tcW w:w="4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0.95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680" w:type="dxa"/>
            <w:vAlign w:val="bottom"/>
          </w:tcPr>
          <w:p>
            <w:pPr>
              <w:spacing w:after="0"/>
              <w:rPr>
                <w:sz w:val="20"/>
                <w:szCs w:val="20"/>
                <w:color w:val="auto"/>
              </w:rPr>
            </w:pPr>
            <w:r>
              <w:rPr>
                <w:rFonts w:ascii="Arial" w:cs="Arial" w:eastAsia="Arial" w:hAnsi="Arial"/>
                <w:sz w:val="17"/>
                <w:szCs w:val="17"/>
                <w:color w:val="auto"/>
              </w:rPr>
              <w:t>Weighted average diluted shares</w:t>
            </w: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17,150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7"/>
                <w:szCs w:val="17"/>
                <w:color w:val="auto"/>
              </w:rPr>
              <w:t>17,061</w:t>
            </w:r>
          </w:p>
        </w:tc>
        <w:tc>
          <w:tcPr>
            <w:tcW w:w="8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17,105</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16,954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6"/>
        </w:trPr>
        <w:tc>
          <w:tcPr>
            <w:tcW w:w="46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3900" w:type="dxa"/>
            <w:vAlign w:val="bottom"/>
            <w:gridSpan w:val="3"/>
          </w:tcPr>
          <w:p>
            <w:pPr>
              <w:ind w:left="460"/>
              <w:spacing w:after="0"/>
              <w:rPr>
                <w:sz w:val="20"/>
                <w:szCs w:val="20"/>
                <w:color w:val="auto"/>
              </w:rPr>
            </w:pPr>
            <w:r>
              <w:rPr>
                <w:rFonts w:ascii="Arial" w:cs="Arial" w:eastAsia="Arial" w:hAnsi="Arial"/>
                <w:sz w:val="17"/>
                <w:szCs w:val="17"/>
                <w:b w:val="1"/>
                <w:bCs w:val="1"/>
                <w:color w:val="auto"/>
              </w:rPr>
              <w:t>September 30,</w:t>
            </w:r>
          </w:p>
        </w:tc>
        <w:tc>
          <w:tcPr>
            <w:tcW w:w="184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31"/>
        </w:trPr>
        <w:tc>
          <w:tcPr>
            <w:tcW w:w="5700" w:type="dxa"/>
            <w:vAlign w:val="bottom"/>
          </w:tcPr>
          <w:p>
            <w:pPr>
              <w:spacing w:after="0"/>
              <w:rPr>
                <w:sz w:val="20"/>
                <w:szCs w:val="20"/>
                <w:color w:val="auto"/>
              </w:rPr>
            </w:pPr>
          </w:p>
        </w:tc>
        <w:tc>
          <w:tcPr>
            <w:tcW w:w="13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2012</w:t>
            </w:r>
          </w:p>
        </w:tc>
        <w:tc>
          <w:tcPr>
            <w:tcW w:w="600" w:type="dxa"/>
            <w:vAlign w:val="bottom"/>
            <w:tcBorders>
              <w:bottom w:val="single" w:sz="8" w:color="auto"/>
            </w:tcBorders>
          </w:tcPr>
          <w:p>
            <w:pPr>
              <w:spacing w:after="0"/>
              <w:rPr>
                <w:sz w:val="20"/>
                <w:szCs w:val="20"/>
                <w:color w:val="auto"/>
              </w:rPr>
            </w:pPr>
          </w:p>
        </w:tc>
        <w:tc>
          <w:tcPr>
            <w:tcW w:w="1940" w:type="dxa"/>
            <w:vAlign w:val="bottom"/>
          </w:tcPr>
          <w:p>
            <w:pPr>
              <w:spacing w:after="0"/>
              <w:rPr>
                <w:sz w:val="20"/>
                <w:szCs w:val="20"/>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2011</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700" w:type="dxa"/>
            <w:vAlign w:val="bottom"/>
          </w:tcPr>
          <w:p>
            <w:pPr>
              <w:spacing w:after="0" w:line="194" w:lineRule="exact"/>
              <w:rPr>
                <w:sz w:val="20"/>
                <w:szCs w:val="20"/>
                <w:color w:val="auto"/>
              </w:rPr>
            </w:pPr>
            <w:r>
              <w:rPr>
                <w:rFonts w:ascii="Arial" w:cs="Arial" w:eastAsia="Arial" w:hAnsi="Arial"/>
                <w:sz w:val="17"/>
                <w:szCs w:val="17"/>
                <w:b w:val="1"/>
                <w:bCs w:val="1"/>
                <w:color w:val="auto"/>
              </w:rPr>
              <w:t>Assets</w:t>
            </w:r>
          </w:p>
        </w:tc>
        <w:tc>
          <w:tcPr>
            <w:tcW w:w="1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Current Assets:</w:t>
            </w: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Cash</w:t>
            </w: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14,212</w:t>
            </w:r>
          </w:p>
        </w:tc>
        <w:tc>
          <w:tcPr>
            <w:tcW w:w="19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4,536</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63,607</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66,707</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Inventories</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46,184</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46,023</w:t>
            </w:r>
          </w:p>
        </w:tc>
        <w:tc>
          <w:tcPr>
            <w:tcW w:w="0" w:type="dxa"/>
            <w:vAlign w:val="bottom"/>
          </w:tcPr>
          <w:p>
            <w:pPr>
              <w:spacing w:after="0"/>
              <w:rPr>
                <w:sz w:val="1"/>
                <w:szCs w:val="1"/>
                <w:color w:val="auto"/>
              </w:rPr>
            </w:pPr>
          </w:p>
        </w:tc>
      </w:tr>
      <w:tr>
        <w:trPr>
          <w:trHeight w:val="225"/>
        </w:trPr>
        <w:tc>
          <w:tcPr>
            <w:tcW w:w="5700" w:type="dxa"/>
            <w:vAlign w:val="bottom"/>
          </w:tcPr>
          <w:p>
            <w:pPr>
              <w:spacing w:after="0"/>
              <w:rPr>
                <w:sz w:val="20"/>
                <w:szCs w:val="20"/>
                <w:color w:val="auto"/>
              </w:rPr>
            </w:pPr>
            <w:r>
              <w:rPr>
                <w:rFonts w:ascii="Arial" w:cs="Arial" w:eastAsia="Arial" w:hAnsi="Arial"/>
                <w:sz w:val="17"/>
                <w:szCs w:val="17"/>
                <w:color w:val="auto"/>
              </w:rPr>
              <w:t>Other current assets</w:t>
            </w: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5,815</w:t>
            </w:r>
          </w:p>
        </w:tc>
        <w:tc>
          <w:tcPr>
            <w:tcW w:w="1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6,759</w:t>
            </w:r>
          </w:p>
        </w:tc>
        <w:tc>
          <w:tcPr>
            <w:tcW w:w="0" w:type="dxa"/>
            <w:vAlign w:val="bottom"/>
          </w:tcPr>
          <w:p>
            <w:pPr>
              <w:spacing w:after="0"/>
              <w:rPr>
                <w:sz w:val="1"/>
                <w:szCs w:val="1"/>
                <w:color w:val="auto"/>
              </w:rPr>
            </w:pPr>
          </w:p>
        </w:tc>
      </w:tr>
      <w:tr>
        <w:trPr>
          <w:trHeight w:val="217"/>
        </w:trPr>
        <w:tc>
          <w:tcPr>
            <w:tcW w:w="5700" w:type="dxa"/>
            <w:vAlign w:val="bottom"/>
          </w:tcPr>
          <w:p>
            <w:pPr>
              <w:ind w:left="120"/>
              <w:spacing w:after="0"/>
              <w:rPr>
                <w:sz w:val="20"/>
                <w:szCs w:val="20"/>
                <w:color w:val="auto"/>
              </w:rPr>
            </w:pPr>
            <w:r>
              <w:rPr>
                <w:rFonts w:ascii="Arial" w:cs="Arial" w:eastAsia="Arial" w:hAnsi="Arial"/>
                <w:sz w:val="17"/>
                <w:szCs w:val="17"/>
                <w:color w:val="auto"/>
              </w:rPr>
              <w:t>Total current assets</w:t>
            </w:r>
          </w:p>
        </w:tc>
        <w:tc>
          <w:tcPr>
            <w:tcW w:w="1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129,818</w:t>
            </w:r>
          </w:p>
        </w:tc>
        <w:tc>
          <w:tcPr>
            <w:tcW w:w="19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124,025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70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119,111</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w w:val="94"/>
              </w:rPr>
              <w:t>120,528</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Goodwill, net</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8,148</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8,039</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Intangible assets</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900</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225"/>
        </w:trPr>
        <w:tc>
          <w:tcPr>
            <w:tcW w:w="570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3,087</w:t>
            </w:r>
          </w:p>
        </w:tc>
        <w:tc>
          <w:tcPr>
            <w:tcW w:w="1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5,969</w:t>
            </w:r>
          </w:p>
        </w:tc>
        <w:tc>
          <w:tcPr>
            <w:tcW w:w="0" w:type="dxa"/>
            <w:vAlign w:val="bottom"/>
          </w:tcPr>
          <w:p>
            <w:pPr>
              <w:spacing w:after="0"/>
              <w:rPr>
                <w:sz w:val="1"/>
                <w:szCs w:val="1"/>
                <w:color w:val="auto"/>
              </w:rPr>
            </w:pPr>
          </w:p>
        </w:tc>
      </w:tr>
      <w:tr>
        <w:trPr>
          <w:trHeight w:val="206"/>
        </w:trPr>
        <w:tc>
          <w:tcPr>
            <w:tcW w:w="5700" w:type="dxa"/>
            <w:vAlign w:val="bottom"/>
          </w:tcPr>
          <w:p>
            <w:pPr>
              <w:ind w:left="120"/>
              <w:spacing w:after="0" w:line="186" w:lineRule="exact"/>
              <w:rPr>
                <w:sz w:val="20"/>
                <w:szCs w:val="20"/>
                <w:color w:val="auto"/>
              </w:rPr>
            </w:pPr>
            <w:r>
              <w:rPr>
                <w:rFonts w:ascii="Arial" w:cs="Arial" w:eastAsia="Arial" w:hAnsi="Arial"/>
                <w:sz w:val="17"/>
                <w:szCs w:val="17"/>
                <w:color w:val="auto"/>
              </w:rPr>
              <w:t>Total assets</w:t>
            </w:r>
          </w:p>
        </w:tc>
        <w:tc>
          <w:tcPr>
            <w:tcW w:w="1360" w:type="dxa"/>
            <w:vAlign w:val="bottom"/>
            <w:tcBorders>
              <w:top w:val="single" w:sz="8" w:color="auto"/>
              <w:bottom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94"/>
              </w:rPr>
              <w:t>261,064</w:t>
            </w:r>
          </w:p>
        </w:tc>
        <w:tc>
          <w:tcPr>
            <w:tcW w:w="19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94"/>
              </w:rPr>
              <w:t>259,461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7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Current liabilities:</w:t>
            </w: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Accounts payable</w:t>
            </w: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35,658</w:t>
            </w:r>
          </w:p>
        </w:tc>
        <w:tc>
          <w:tcPr>
            <w:tcW w:w="19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48,217</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Accrued salaries, wages and benefits</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11,448</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11,697</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Current maturities of long-term debt</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6,326</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6,503</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Income taxes payable</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1,858</w:t>
            </w:r>
          </w:p>
        </w:tc>
        <w:tc>
          <w:tcPr>
            <w:tcW w:w="0" w:type="dxa"/>
            <w:vAlign w:val="bottom"/>
          </w:tcPr>
          <w:p>
            <w:pPr>
              <w:spacing w:after="0"/>
              <w:rPr>
                <w:sz w:val="1"/>
                <w:szCs w:val="1"/>
                <w:color w:val="auto"/>
              </w:rPr>
            </w:pPr>
          </w:p>
        </w:tc>
      </w:tr>
      <w:tr>
        <w:trPr>
          <w:trHeight w:val="225"/>
        </w:trPr>
        <w:tc>
          <w:tcPr>
            <w:tcW w:w="5700" w:type="dxa"/>
            <w:vAlign w:val="bottom"/>
          </w:tcPr>
          <w:p>
            <w:pPr>
              <w:spacing w:after="0"/>
              <w:rPr>
                <w:sz w:val="20"/>
                <w:szCs w:val="20"/>
                <w:color w:val="auto"/>
              </w:rPr>
            </w:pPr>
            <w:r>
              <w:rPr>
                <w:rFonts w:ascii="Arial" w:cs="Arial" w:eastAsia="Arial" w:hAnsi="Arial"/>
                <w:sz w:val="17"/>
                <w:szCs w:val="17"/>
                <w:color w:val="auto"/>
              </w:rPr>
              <w:t>Other current liabilities</w:t>
            </w: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6,857</w:t>
            </w:r>
          </w:p>
        </w:tc>
        <w:tc>
          <w:tcPr>
            <w:tcW w:w="1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4,766</w:t>
            </w:r>
          </w:p>
        </w:tc>
        <w:tc>
          <w:tcPr>
            <w:tcW w:w="0" w:type="dxa"/>
            <w:vAlign w:val="bottom"/>
          </w:tcPr>
          <w:p>
            <w:pPr>
              <w:spacing w:after="0"/>
              <w:rPr>
                <w:sz w:val="1"/>
                <w:szCs w:val="1"/>
                <w:color w:val="auto"/>
              </w:rPr>
            </w:pPr>
          </w:p>
        </w:tc>
      </w:tr>
      <w:tr>
        <w:trPr>
          <w:trHeight w:val="217"/>
        </w:trPr>
        <w:tc>
          <w:tcPr>
            <w:tcW w:w="5700" w:type="dxa"/>
            <w:vAlign w:val="bottom"/>
          </w:tcPr>
          <w:p>
            <w:pPr>
              <w:ind w:left="120"/>
              <w:spacing w:after="0"/>
              <w:rPr>
                <w:sz w:val="20"/>
                <w:szCs w:val="20"/>
                <w:color w:val="auto"/>
              </w:rPr>
            </w:pPr>
            <w:r>
              <w:rPr>
                <w:rFonts w:ascii="Arial" w:cs="Arial" w:eastAsia="Arial" w:hAnsi="Arial"/>
                <w:sz w:val="17"/>
                <w:szCs w:val="17"/>
                <w:color w:val="auto"/>
              </w:rPr>
              <w:t>Total current liabilities</w:t>
            </w:r>
          </w:p>
        </w:tc>
        <w:tc>
          <w:tcPr>
            <w:tcW w:w="1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60,289</w:t>
            </w:r>
          </w:p>
        </w:tc>
        <w:tc>
          <w:tcPr>
            <w:tcW w:w="19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700" w:type="dxa"/>
            <w:vAlign w:val="bottom"/>
          </w:tcPr>
          <w:p>
            <w:pPr>
              <w:spacing w:after="0"/>
              <w:rPr>
                <w:sz w:val="20"/>
                <w:szCs w:val="20"/>
                <w:color w:val="auto"/>
              </w:rPr>
            </w:pPr>
            <w:r>
              <w:rPr>
                <w:rFonts w:ascii="Arial" w:cs="Arial" w:eastAsia="Arial" w:hAnsi="Arial"/>
                <w:sz w:val="17"/>
                <w:szCs w:val="17"/>
                <w:color w:val="auto"/>
              </w:rPr>
              <w:t>Non-current deferred tax liabilities</w:t>
            </w:r>
          </w:p>
        </w:tc>
        <w:tc>
          <w:tcPr>
            <w:tcW w:w="1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3,806</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3,810</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Long-term debt, net of current portion</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68,715</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71,629</w:t>
            </w:r>
          </w:p>
        </w:tc>
        <w:tc>
          <w:tcPr>
            <w:tcW w:w="0" w:type="dxa"/>
            <w:vAlign w:val="bottom"/>
          </w:tcPr>
          <w:p>
            <w:pPr>
              <w:spacing w:after="0"/>
              <w:rPr>
                <w:sz w:val="1"/>
                <w:szCs w:val="1"/>
                <w:color w:val="auto"/>
              </w:rPr>
            </w:pPr>
          </w:p>
        </w:tc>
      </w:tr>
      <w:tr>
        <w:trPr>
          <w:trHeight w:val="225"/>
        </w:trPr>
        <w:tc>
          <w:tcPr>
            <w:tcW w:w="570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10,885</w:t>
            </w:r>
          </w:p>
        </w:tc>
        <w:tc>
          <w:tcPr>
            <w:tcW w:w="1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11,305</w:t>
            </w:r>
          </w:p>
        </w:tc>
        <w:tc>
          <w:tcPr>
            <w:tcW w:w="0" w:type="dxa"/>
            <w:vAlign w:val="bottom"/>
          </w:tcPr>
          <w:p>
            <w:pPr>
              <w:spacing w:after="0"/>
              <w:rPr>
                <w:sz w:val="1"/>
                <w:szCs w:val="1"/>
                <w:color w:val="auto"/>
              </w:rPr>
            </w:pPr>
          </w:p>
        </w:tc>
      </w:tr>
      <w:tr>
        <w:trPr>
          <w:trHeight w:val="217"/>
        </w:trPr>
        <w:tc>
          <w:tcPr>
            <w:tcW w:w="5700" w:type="dxa"/>
            <w:vAlign w:val="bottom"/>
          </w:tcPr>
          <w:p>
            <w:pPr>
              <w:spacing w:after="0"/>
              <w:rPr>
                <w:sz w:val="20"/>
                <w:szCs w:val="20"/>
                <w:color w:val="auto"/>
              </w:rPr>
            </w:pPr>
            <w:r>
              <w:rPr>
                <w:rFonts w:ascii="Arial" w:cs="Arial" w:eastAsia="Arial" w:hAnsi="Arial"/>
                <w:sz w:val="17"/>
                <w:szCs w:val="17"/>
                <w:color w:val="auto"/>
              </w:rPr>
              <w:t>Total liabilities</w:t>
            </w:r>
          </w:p>
        </w:tc>
        <w:tc>
          <w:tcPr>
            <w:tcW w:w="1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143,695</w:t>
            </w:r>
          </w:p>
        </w:tc>
        <w:tc>
          <w:tcPr>
            <w:tcW w:w="19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159,785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570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1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117,369</w:t>
            </w:r>
          </w:p>
        </w:tc>
        <w:tc>
          <w:tcPr>
            <w:tcW w:w="19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99,676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70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261,064</w:t>
            </w:r>
          </w:p>
        </w:tc>
        <w:tc>
          <w:tcPr>
            <w:tcW w:w="19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w w:val="94"/>
              </w:rPr>
              <w:t>259,461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57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Non-GAAP to GAAP Financial Measures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740" w:type="dxa"/>
            <w:vAlign w:val="bottom"/>
            <w:gridSpan w:val="4"/>
          </w:tcPr>
          <w:p>
            <w:pPr>
              <w:jc w:val="right"/>
              <w:ind w:right="354"/>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40" w:type="dxa"/>
            <w:vAlign w:val="bottom"/>
            <w:gridSpan w:val="3"/>
          </w:tcPr>
          <w:p>
            <w:pPr>
              <w:jc w:val="right"/>
              <w:ind w:right="474"/>
              <w:spacing w:after="0"/>
              <w:rPr>
                <w:sz w:val="20"/>
                <w:szCs w:val="20"/>
                <w:color w:val="auto"/>
              </w:rPr>
            </w:pPr>
            <w:r>
              <w:rPr>
                <w:rFonts w:ascii="Arial" w:cs="Arial" w:eastAsia="Arial" w:hAnsi="Arial"/>
                <w:sz w:val="17"/>
                <w:szCs w:val="17"/>
                <w:b w:val="1"/>
                <w:bCs w:val="1"/>
                <w:color w:val="auto"/>
                <w:w w:val="91"/>
              </w:rPr>
              <w:t>Nine Months Ended</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2740" w:type="dxa"/>
            <w:vAlign w:val="bottom"/>
            <w:gridSpan w:val="4"/>
          </w:tcPr>
          <w:p>
            <w:pPr>
              <w:jc w:val="right"/>
              <w:ind w:right="414"/>
              <w:spacing w:after="0"/>
              <w:rPr>
                <w:sz w:val="20"/>
                <w:szCs w:val="20"/>
                <w:color w:val="auto"/>
              </w:rPr>
            </w:pPr>
            <w:r>
              <w:rPr>
                <w:rFonts w:ascii="Arial" w:cs="Arial" w:eastAsia="Arial" w:hAnsi="Arial"/>
                <w:sz w:val="17"/>
                <w:szCs w:val="17"/>
                <w:b w:val="1"/>
                <w:bCs w:val="1"/>
                <w:color w:val="auto"/>
              </w:rPr>
              <w:t>September 30, 2012</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40" w:type="dxa"/>
            <w:vAlign w:val="bottom"/>
            <w:gridSpan w:val="3"/>
          </w:tcPr>
          <w:p>
            <w:pPr>
              <w:jc w:val="right"/>
              <w:ind w:right="494"/>
              <w:spacing w:after="0"/>
              <w:rPr>
                <w:sz w:val="20"/>
                <w:szCs w:val="20"/>
                <w:color w:val="auto"/>
              </w:rPr>
            </w:pPr>
            <w:r>
              <w:rPr>
                <w:rFonts w:ascii="Arial" w:cs="Arial" w:eastAsia="Arial" w:hAnsi="Arial"/>
                <w:sz w:val="17"/>
                <w:szCs w:val="17"/>
                <w:b w:val="1"/>
                <w:bCs w:val="1"/>
                <w:color w:val="auto"/>
                <w:w w:val="90"/>
              </w:rPr>
              <w:t>September 30, 2012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ind w:left="40"/>
              <w:spacing w:after="0"/>
              <w:rPr>
                <w:sz w:val="20"/>
                <w:szCs w:val="20"/>
                <w:color w:val="auto"/>
              </w:rPr>
            </w:pPr>
            <w:r>
              <w:rPr>
                <w:rFonts w:ascii="Arial" w:cs="Arial" w:eastAsia="Arial" w:hAnsi="Arial"/>
                <w:sz w:val="17"/>
                <w:szCs w:val="17"/>
                <w:b w:val="1"/>
                <w:bCs w:val="1"/>
                <w:color w:val="auto"/>
              </w:rPr>
              <w:t>Diluted Earnings</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w w:val="96"/>
              </w:rPr>
              <w:t>Diluted Earnings</w:t>
            </w:r>
          </w:p>
        </w:tc>
      </w:tr>
      <w:tr>
        <w:trPr>
          <w:trHeight w:val="231"/>
        </w:trPr>
        <w:tc>
          <w:tcPr>
            <w:tcW w:w="4800" w:type="dxa"/>
            <w:vAlign w:val="bottom"/>
          </w:tcPr>
          <w:p>
            <w:pPr>
              <w:spacing w:after="0"/>
              <w:rPr>
                <w:sz w:val="20"/>
                <w:szCs w:val="20"/>
                <w:color w:val="auto"/>
              </w:rPr>
            </w:pPr>
          </w:p>
        </w:tc>
        <w:tc>
          <w:tcPr>
            <w:tcW w:w="1700" w:type="dxa"/>
            <w:vAlign w:val="bottom"/>
            <w:gridSpan w:val="3"/>
          </w:tcPr>
          <w:p>
            <w:pPr>
              <w:ind w:left="160"/>
              <w:spacing w:after="0"/>
              <w:rPr>
                <w:sz w:val="20"/>
                <w:szCs w:val="20"/>
                <w:color w:val="auto"/>
              </w:rPr>
            </w:pPr>
            <w:r>
              <w:rPr>
                <w:rFonts w:ascii="Arial" w:cs="Arial" w:eastAsia="Arial" w:hAnsi="Arial"/>
                <w:sz w:val="17"/>
                <w:szCs w:val="17"/>
                <w:b w:val="1"/>
                <w:bCs w:val="1"/>
                <w:color w:val="auto"/>
              </w:rPr>
              <w:t>In Thousands</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Per Share</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gridSpan w:val="3"/>
          </w:tcPr>
          <w:p>
            <w:pPr>
              <w:jc w:val="right"/>
              <w:ind w:right="600"/>
              <w:spacing w:after="0"/>
              <w:rPr>
                <w:sz w:val="20"/>
                <w:szCs w:val="20"/>
                <w:color w:val="auto"/>
              </w:rPr>
            </w:pPr>
            <w:r>
              <w:rPr>
                <w:rFonts w:ascii="Arial" w:cs="Arial" w:eastAsia="Arial" w:hAnsi="Arial"/>
                <w:sz w:val="17"/>
                <w:szCs w:val="17"/>
                <w:b w:val="1"/>
                <w:bCs w:val="1"/>
                <w:color w:val="auto"/>
              </w:rPr>
              <w:t>In Thousands</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Per Share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4"/>
        </w:trPr>
        <w:tc>
          <w:tcPr>
            <w:tcW w:w="4800" w:type="dxa"/>
            <w:vAlign w:val="bottom"/>
          </w:tcPr>
          <w:p>
            <w:pPr>
              <w:spacing w:after="0" w:line="194" w:lineRule="exact"/>
              <w:rPr>
                <w:sz w:val="20"/>
                <w:szCs w:val="20"/>
                <w:color w:val="auto"/>
              </w:rPr>
            </w:pPr>
            <w:r>
              <w:rPr>
                <w:rFonts w:ascii="Arial" w:cs="Arial" w:eastAsia="Arial" w:hAnsi="Arial"/>
                <w:sz w:val="17"/>
                <w:szCs w:val="17"/>
                <w:color w:val="auto"/>
              </w:rPr>
              <w:t>Net Income</w:t>
            </w:r>
          </w:p>
        </w:tc>
        <w:tc>
          <w:tcPr>
            <w:tcW w:w="13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  3,115</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0.18</w:t>
            </w:r>
          </w:p>
        </w:tc>
        <w:tc>
          <w:tcPr>
            <w:tcW w:w="38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16,062</w:t>
            </w:r>
          </w:p>
        </w:tc>
        <w:tc>
          <w:tcPr>
            <w:tcW w:w="380" w:type="dxa"/>
            <w:vAlign w:val="bottom"/>
          </w:tcPr>
          <w:p>
            <w:pPr>
              <w:spacing w:after="0"/>
              <w:rPr>
                <w:sz w:val="16"/>
                <w:szCs w:val="16"/>
                <w:color w:val="auto"/>
              </w:rPr>
            </w:pPr>
          </w:p>
        </w:tc>
        <w:tc>
          <w:tcPr>
            <w:tcW w:w="1060" w:type="dxa"/>
            <w:vAlign w:val="bottom"/>
            <w:tcBorders>
              <w:top w:val="single" w:sz="8" w:color="auto"/>
            </w:tcBorders>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0.94</w:t>
            </w:r>
          </w:p>
        </w:tc>
        <w:tc>
          <w:tcPr>
            <w:tcW w:w="20" w:type="dxa"/>
            <w:vAlign w:val="bottom"/>
          </w:tcPr>
          <w:p>
            <w:pPr>
              <w:spacing w:after="0"/>
              <w:rPr>
                <w:sz w:val="16"/>
                <w:szCs w:val="16"/>
                <w:color w:val="auto"/>
              </w:rPr>
            </w:pPr>
          </w:p>
        </w:tc>
      </w:tr>
      <w:tr>
        <w:trPr>
          <w:trHeight w:val="206"/>
        </w:trPr>
        <w:tc>
          <w:tcPr>
            <w:tcW w:w="4800" w:type="dxa"/>
            <w:vAlign w:val="bottom"/>
          </w:tcPr>
          <w:p>
            <w:pPr>
              <w:spacing w:after="0"/>
              <w:rPr>
                <w:sz w:val="20"/>
                <w:szCs w:val="20"/>
                <w:color w:val="auto"/>
              </w:rPr>
            </w:pPr>
            <w:r>
              <w:rPr>
                <w:rFonts w:ascii="Arial" w:cs="Arial" w:eastAsia="Arial" w:hAnsi="Arial"/>
                <w:sz w:val="17"/>
                <w:szCs w:val="17"/>
                <w:color w:val="auto"/>
              </w:rPr>
              <w:t>Foreign exchange loss on intercompany</w:t>
            </w: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4800" w:type="dxa"/>
            <w:vAlign w:val="bottom"/>
          </w:tcPr>
          <w:p>
            <w:pPr>
              <w:ind w:left="140"/>
              <w:spacing w:after="0"/>
              <w:rPr>
                <w:sz w:val="20"/>
                <w:szCs w:val="20"/>
                <w:color w:val="auto"/>
              </w:rPr>
            </w:pPr>
            <w:r>
              <w:rPr>
                <w:rFonts w:ascii="Arial" w:cs="Arial" w:eastAsia="Arial" w:hAnsi="Arial"/>
                <w:sz w:val="17"/>
                <w:szCs w:val="17"/>
                <w:color w:val="auto"/>
              </w:rPr>
              <w:t>loans</w:t>
            </w: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659</w:t>
            </w:r>
          </w:p>
        </w:tc>
        <w:tc>
          <w:tcPr>
            <w:tcW w:w="36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84"/>
              </w:rPr>
              <w:t>0.04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284</w:t>
            </w:r>
          </w:p>
        </w:tc>
        <w:tc>
          <w:tcPr>
            <w:tcW w:w="10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0.02</w:t>
            </w:r>
          </w:p>
        </w:tc>
      </w:tr>
      <w:tr>
        <w:trPr>
          <w:trHeight w:val="27"/>
        </w:trPr>
        <w:tc>
          <w:tcPr>
            <w:tcW w:w="4800" w:type="dxa"/>
            <w:vAlign w:val="bottom"/>
          </w:tcPr>
          <w:p>
            <w:pPr>
              <w:spacing w:after="0"/>
              <w:rPr>
                <w:sz w:val="2"/>
                <w:szCs w:val="2"/>
                <w:color w:val="auto"/>
              </w:rPr>
            </w:pPr>
          </w:p>
        </w:tc>
        <w:tc>
          <w:tcPr>
            <w:tcW w:w="1340" w:type="dxa"/>
            <w:vAlign w:val="bottom"/>
            <w:gridSpan w:val="2"/>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12"/>
        </w:trPr>
        <w:tc>
          <w:tcPr>
            <w:tcW w:w="4800" w:type="dxa"/>
            <w:vAlign w:val="bottom"/>
          </w:tcPr>
          <w:p>
            <w:pPr>
              <w:spacing w:after="0"/>
              <w:rPr>
                <w:sz w:val="20"/>
                <w:szCs w:val="20"/>
                <w:color w:val="auto"/>
              </w:rPr>
            </w:pPr>
            <w:r>
              <w:rPr>
                <w:rFonts w:ascii="Arial" w:cs="Arial" w:eastAsia="Arial" w:hAnsi="Arial"/>
                <w:sz w:val="17"/>
                <w:szCs w:val="17"/>
                <w:color w:val="auto"/>
              </w:rPr>
              <w:t>Net Income from normal operations</w:t>
            </w: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3,774</w:t>
            </w:r>
          </w:p>
        </w:tc>
        <w:tc>
          <w:tcPr>
            <w:tcW w:w="360" w:type="dxa"/>
            <w:vAlign w:val="bottom"/>
          </w:tcPr>
          <w:p>
            <w:pPr>
              <w:spacing w:after="0"/>
              <w:rPr>
                <w:sz w:val="24"/>
                <w:szCs w:val="24"/>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84"/>
              </w:rPr>
              <w:t>0.22</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16,346</w:t>
            </w:r>
          </w:p>
        </w:tc>
        <w:tc>
          <w:tcPr>
            <w:tcW w:w="10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0.96</w:t>
            </w:r>
          </w:p>
        </w:tc>
      </w:tr>
      <w:tr>
        <w:trPr>
          <w:trHeight w:val="20"/>
        </w:trPr>
        <w:tc>
          <w:tcPr>
            <w:tcW w:w="48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580" w:type="dxa"/>
            <w:vAlign w:val="bottom"/>
            <w:gridSpan w:val="5"/>
          </w:tcPr>
          <w:p>
            <w:pPr>
              <w:jc w:val="right"/>
              <w:ind w:right="194"/>
              <w:spacing w:after="0"/>
              <w:rPr>
                <w:sz w:val="20"/>
                <w:szCs w:val="20"/>
                <w:color w:val="auto"/>
              </w:rPr>
            </w:pPr>
            <w:r>
              <w:rPr>
                <w:rFonts w:ascii="Arial" w:cs="Arial" w:eastAsia="Arial" w:hAnsi="Arial"/>
                <w:sz w:val="17"/>
                <w:szCs w:val="17"/>
                <w:b w:val="1"/>
                <w:bCs w:val="1"/>
                <w:color w:val="auto"/>
              </w:rPr>
              <w:t>Three Months Ended</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60" w:type="dxa"/>
            <w:vAlign w:val="bottom"/>
            <w:gridSpan w:val="3"/>
          </w:tcPr>
          <w:p>
            <w:pPr>
              <w:spacing w:after="0"/>
              <w:rPr>
                <w:sz w:val="20"/>
                <w:szCs w:val="20"/>
                <w:color w:val="auto"/>
              </w:rPr>
            </w:pPr>
            <w:r>
              <w:rPr>
                <w:rFonts w:ascii="Arial" w:cs="Arial" w:eastAsia="Arial" w:hAnsi="Arial"/>
                <w:sz w:val="17"/>
                <w:szCs w:val="17"/>
                <w:b w:val="1"/>
                <w:bCs w:val="1"/>
                <w:color w:val="auto"/>
              </w:rPr>
              <w:t>Nine Months Ended</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gridSpan w:val="4"/>
          </w:tcPr>
          <w:p>
            <w:pPr>
              <w:jc w:val="right"/>
              <w:ind w:right="274"/>
              <w:spacing w:after="0"/>
              <w:rPr>
                <w:sz w:val="20"/>
                <w:szCs w:val="20"/>
                <w:color w:val="auto"/>
              </w:rPr>
            </w:pPr>
            <w:r>
              <w:rPr>
                <w:rFonts w:ascii="Arial" w:cs="Arial" w:eastAsia="Arial" w:hAnsi="Arial"/>
                <w:sz w:val="17"/>
                <w:szCs w:val="17"/>
                <w:b w:val="1"/>
                <w:bCs w:val="1"/>
                <w:color w:val="auto"/>
                <w:w w:val="89"/>
              </w:rPr>
              <w:t>September 30, 2011</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Arial" w:cs="Arial" w:eastAsia="Arial" w:hAnsi="Arial"/>
                <w:sz w:val="17"/>
                <w:szCs w:val="17"/>
                <w:b w:val="1"/>
                <w:bCs w:val="1"/>
                <w:color w:val="auto"/>
              </w:rPr>
              <w:t>September 30, 2011</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center"/>
              <w:ind w:right="380"/>
              <w:spacing w:after="0"/>
              <w:rPr>
                <w:sz w:val="20"/>
                <w:szCs w:val="20"/>
                <w:color w:val="auto"/>
              </w:rPr>
            </w:pPr>
            <w:r>
              <w:rPr>
                <w:rFonts w:ascii="Arial" w:cs="Arial" w:eastAsia="Arial" w:hAnsi="Arial"/>
                <w:sz w:val="17"/>
                <w:szCs w:val="17"/>
                <w:b w:val="1"/>
                <w:bCs w:val="1"/>
                <w:color w:val="auto"/>
                <w:w w:val="93"/>
              </w:rPr>
              <w:t>Diluted Earnings</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w w:val="96"/>
              </w:rPr>
              <w:t>Diluted Earnings</w:t>
            </w:r>
          </w:p>
        </w:tc>
      </w:tr>
      <w:tr>
        <w:trPr>
          <w:trHeight w:val="231"/>
        </w:trPr>
        <w:tc>
          <w:tcPr>
            <w:tcW w:w="4800" w:type="dxa"/>
            <w:vAlign w:val="bottom"/>
          </w:tcPr>
          <w:p>
            <w:pPr>
              <w:spacing w:after="0"/>
              <w:rPr>
                <w:sz w:val="20"/>
                <w:szCs w:val="20"/>
                <w:color w:val="auto"/>
              </w:rPr>
            </w:pPr>
          </w:p>
        </w:tc>
        <w:tc>
          <w:tcPr>
            <w:tcW w:w="1700" w:type="dxa"/>
            <w:vAlign w:val="bottom"/>
            <w:gridSpan w:val="4"/>
          </w:tcPr>
          <w:p>
            <w:pPr>
              <w:ind w:left="160"/>
              <w:spacing w:after="0"/>
              <w:rPr>
                <w:sz w:val="20"/>
                <w:szCs w:val="20"/>
                <w:color w:val="auto"/>
              </w:rPr>
            </w:pPr>
            <w:r>
              <w:rPr>
                <w:rFonts w:ascii="Arial" w:cs="Arial" w:eastAsia="Arial" w:hAnsi="Arial"/>
                <w:sz w:val="17"/>
                <w:szCs w:val="17"/>
                <w:b w:val="1"/>
                <w:bCs w:val="1"/>
                <w:color w:val="auto"/>
              </w:rPr>
              <w:t>In Thousands</w:t>
            </w:r>
          </w:p>
        </w:tc>
        <w:tc>
          <w:tcPr>
            <w:tcW w:w="1720" w:type="dxa"/>
            <w:vAlign w:val="bottom"/>
            <w:gridSpan w:val="3"/>
          </w:tcPr>
          <w:p>
            <w:pPr>
              <w:jc w:val="center"/>
              <w:ind w:right="380"/>
              <w:spacing w:after="0"/>
              <w:rPr>
                <w:sz w:val="20"/>
                <w:szCs w:val="20"/>
                <w:color w:val="auto"/>
              </w:rPr>
            </w:pPr>
            <w:r>
              <w:rPr>
                <w:rFonts w:ascii="Arial" w:cs="Arial" w:eastAsia="Arial" w:hAnsi="Arial"/>
                <w:sz w:val="17"/>
                <w:szCs w:val="17"/>
                <w:b w:val="1"/>
                <w:bCs w:val="1"/>
                <w:color w:val="auto"/>
                <w:w w:val="93"/>
              </w:rPr>
              <w:t>Per Share</w:t>
            </w:r>
          </w:p>
        </w:tc>
        <w:tc>
          <w:tcPr>
            <w:tcW w:w="1840" w:type="dxa"/>
            <w:vAlign w:val="bottom"/>
            <w:gridSpan w:val="3"/>
          </w:tcPr>
          <w:p>
            <w:pPr>
              <w:jc w:val="right"/>
              <w:ind w:right="600"/>
              <w:spacing w:after="0"/>
              <w:rPr>
                <w:sz w:val="20"/>
                <w:szCs w:val="20"/>
                <w:color w:val="auto"/>
              </w:rPr>
            </w:pPr>
            <w:r>
              <w:rPr>
                <w:rFonts w:ascii="Arial" w:cs="Arial" w:eastAsia="Arial" w:hAnsi="Arial"/>
                <w:sz w:val="17"/>
                <w:szCs w:val="17"/>
                <w:b w:val="1"/>
                <w:bCs w:val="1"/>
                <w:color w:val="auto"/>
              </w:rPr>
              <w:t>In Thousands</w:t>
            </w:r>
          </w:p>
        </w:tc>
        <w:tc>
          <w:tcPr>
            <w:tcW w:w="138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rPr>
              <w:t>Per Share</w:t>
            </w:r>
          </w:p>
        </w:tc>
      </w:tr>
      <w:tr>
        <w:trPr>
          <w:trHeight w:val="194"/>
        </w:trPr>
        <w:tc>
          <w:tcPr>
            <w:tcW w:w="4800" w:type="dxa"/>
            <w:vAlign w:val="bottom"/>
          </w:tcPr>
          <w:p>
            <w:pPr>
              <w:spacing w:after="0" w:line="194" w:lineRule="exact"/>
              <w:rPr>
                <w:sz w:val="20"/>
                <w:szCs w:val="20"/>
                <w:color w:val="auto"/>
              </w:rPr>
            </w:pPr>
            <w:r>
              <w:rPr>
                <w:rFonts w:ascii="Arial" w:cs="Arial" w:eastAsia="Arial" w:hAnsi="Arial"/>
                <w:sz w:val="17"/>
                <w:szCs w:val="17"/>
                <w:color w:val="auto"/>
              </w:rPr>
              <w:t>Net Income</w:t>
            </w:r>
          </w:p>
        </w:tc>
        <w:tc>
          <w:tcPr>
            <w:tcW w:w="7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4,702</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0.28</w:t>
            </w:r>
          </w:p>
        </w:tc>
        <w:tc>
          <w:tcPr>
            <w:tcW w:w="38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16,034</w:t>
            </w:r>
          </w:p>
        </w:tc>
        <w:tc>
          <w:tcPr>
            <w:tcW w:w="380" w:type="dxa"/>
            <w:vAlign w:val="bottom"/>
          </w:tcPr>
          <w:p>
            <w:pPr>
              <w:spacing w:after="0"/>
              <w:rPr>
                <w:sz w:val="16"/>
                <w:szCs w:val="16"/>
                <w:color w:val="auto"/>
              </w:rPr>
            </w:pPr>
          </w:p>
        </w:tc>
        <w:tc>
          <w:tcPr>
            <w:tcW w:w="8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0.95</w:t>
            </w:r>
          </w:p>
        </w:tc>
        <w:tc>
          <w:tcPr>
            <w:tcW w:w="20" w:type="dxa"/>
            <w:vAlign w:val="bottom"/>
          </w:tcPr>
          <w:p>
            <w:pPr>
              <w:spacing w:after="0"/>
              <w:rPr>
                <w:sz w:val="16"/>
                <w:szCs w:val="16"/>
                <w:color w:val="auto"/>
              </w:rPr>
            </w:pPr>
          </w:p>
        </w:tc>
      </w:tr>
      <w:tr>
        <w:trPr>
          <w:trHeight w:val="206"/>
        </w:trPr>
        <w:tc>
          <w:tcPr>
            <w:tcW w:w="4800" w:type="dxa"/>
            <w:vAlign w:val="bottom"/>
          </w:tcPr>
          <w:p>
            <w:pPr>
              <w:spacing w:after="0"/>
              <w:rPr>
                <w:sz w:val="20"/>
                <w:szCs w:val="20"/>
                <w:color w:val="auto"/>
              </w:rPr>
            </w:pPr>
            <w:r>
              <w:rPr>
                <w:rFonts w:ascii="Arial" w:cs="Arial" w:eastAsia="Arial" w:hAnsi="Arial"/>
                <w:sz w:val="17"/>
                <w:szCs w:val="17"/>
                <w:color w:val="auto"/>
              </w:rPr>
              <w:t>Restructuring charges</w:t>
            </w:r>
          </w:p>
        </w:tc>
        <w:tc>
          <w:tcPr>
            <w:tcW w:w="78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(839)</w:t>
            </w:r>
          </w:p>
        </w:tc>
        <w:tc>
          <w:tcPr>
            <w:tcW w:w="8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(0.05)</w:t>
            </w:r>
          </w:p>
        </w:tc>
      </w:tr>
      <w:tr>
        <w:trPr>
          <w:trHeight w:val="206"/>
        </w:trPr>
        <w:tc>
          <w:tcPr>
            <w:tcW w:w="4800" w:type="dxa"/>
            <w:vAlign w:val="bottom"/>
          </w:tcPr>
          <w:p>
            <w:pPr>
              <w:spacing w:after="0"/>
              <w:rPr>
                <w:sz w:val="20"/>
                <w:szCs w:val="20"/>
                <w:color w:val="auto"/>
              </w:rPr>
            </w:pPr>
            <w:r>
              <w:rPr>
                <w:rFonts w:ascii="Arial" w:cs="Arial" w:eastAsia="Arial" w:hAnsi="Arial"/>
                <w:sz w:val="17"/>
                <w:szCs w:val="17"/>
                <w:color w:val="auto"/>
              </w:rPr>
              <w:t>Foreign exchange gain on intercompany</w:t>
            </w: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4800" w:type="dxa"/>
            <w:vAlign w:val="bottom"/>
          </w:tcPr>
          <w:p>
            <w:pPr>
              <w:ind w:left="140"/>
              <w:spacing w:after="0"/>
              <w:rPr>
                <w:sz w:val="20"/>
                <w:szCs w:val="20"/>
                <w:color w:val="auto"/>
              </w:rPr>
            </w:pPr>
            <w:r>
              <w:rPr>
                <w:rFonts w:ascii="Arial" w:cs="Arial" w:eastAsia="Arial" w:hAnsi="Arial"/>
                <w:sz w:val="17"/>
                <w:szCs w:val="17"/>
                <w:color w:val="auto"/>
              </w:rPr>
              <w:t>loans</w:t>
            </w:r>
          </w:p>
        </w:tc>
        <w:tc>
          <w:tcPr>
            <w:tcW w:w="7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6"/>
              </w:rPr>
              <w:t>(1,357)</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(0.08)</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(203)</w:t>
            </w:r>
          </w:p>
        </w:tc>
        <w:tc>
          <w:tcPr>
            <w:tcW w:w="8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(0.02)</w:t>
            </w:r>
          </w:p>
        </w:tc>
      </w:tr>
      <w:tr>
        <w:trPr>
          <w:trHeight w:val="27"/>
        </w:trPr>
        <w:tc>
          <w:tcPr>
            <w:tcW w:w="48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gridSpan w:val="2"/>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12"/>
        </w:trPr>
        <w:tc>
          <w:tcPr>
            <w:tcW w:w="4800" w:type="dxa"/>
            <w:vAlign w:val="bottom"/>
          </w:tcPr>
          <w:p>
            <w:pPr>
              <w:spacing w:after="0"/>
              <w:rPr>
                <w:sz w:val="20"/>
                <w:szCs w:val="20"/>
                <w:color w:val="auto"/>
              </w:rPr>
            </w:pPr>
            <w:r>
              <w:rPr>
                <w:rFonts w:ascii="Arial" w:cs="Arial" w:eastAsia="Arial" w:hAnsi="Arial"/>
                <w:sz w:val="17"/>
                <w:szCs w:val="17"/>
                <w:color w:val="auto"/>
              </w:rPr>
              <w:t>Net income from normal operations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3,345</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0.20</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14,992</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0.88</w:t>
            </w:r>
          </w:p>
        </w:tc>
        <w:tc>
          <w:tcPr>
            <w:tcW w:w="20" w:type="dxa"/>
            <w:vAlign w:val="bottom"/>
            <w:tcBorders>
              <w:bottom w:val="single" w:sz="8" w:color="auto"/>
            </w:tcBorders>
          </w:tcPr>
          <w:p>
            <w:pPr>
              <w:spacing w:after="0"/>
              <w:rPr>
                <w:sz w:val="24"/>
                <w:szCs w:val="24"/>
                <w:color w:val="auto"/>
              </w:rPr>
            </w:pPr>
          </w:p>
        </w:tc>
      </w:tr>
      <w:tr>
        <w:trPr>
          <w:trHeight w:val="20"/>
        </w:trPr>
        <w:tc>
          <w:tcPr>
            <w:tcW w:w="4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sectPr>
      <w:pgSz w:w="11900" w:h="16838" w:orient="portrait"/>
      <w:cols w:equalWidth="0" w:num="1">
        <w:col w:w="11420"/>
      </w:cols>
      <w:pgMar w:left="240" w:top="4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upperLetter"/>
      <w:start w:val="4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2019-12-09T11:28:49Z</dcterms:created>
  <dcterms:modified xsi:type="dcterms:W3CDTF">2019-12-09T11:28:49Z</dcterms:modified>
</cp:coreProperties>
</file>