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431800</wp:posOffset>
            </wp:positionH>
            <wp:positionV relativeFrom="page">
              <wp:posOffset>329565</wp:posOffset>
            </wp:positionV>
            <wp:extent cx="69088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8800" cy="76200"/>
                    </a:xfrm>
                    <a:prstGeom prst="rect">
                      <a:avLst/>
                    </a:prstGeom>
                    <a:noFill/>
                  </pic:spPr>
                </pic:pic>
              </a:graphicData>
            </a:graphic>
          </wp:anchor>
        </w:drawing>
        <w:t>UNITED STATES</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1966595</wp:posOffset>
                </wp:positionH>
                <wp:positionV relativeFrom="paragraph">
                  <wp:posOffset>99695</wp:posOffset>
                </wp:positionV>
                <wp:extent cx="29241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4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85pt,7.85pt" to="385.1pt,7.85pt" o:allowincell="f" strokecolor="#000000" strokeweight="1pt"/>
            </w:pict>
          </mc:Fallback>
        </mc:AlternateContent>
      </w:r>
    </w:p>
    <w:p>
      <w:pPr>
        <w:spacing w:after="0" w:line="1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1966595</wp:posOffset>
                </wp:positionH>
                <wp:positionV relativeFrom="paragraph">
                  <wp:posOffset>80010</wp:posOffset>
                </wp:positionV>
                <wp:extent cx="29241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4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85pt,6.3pt" to="385.1pt,6.3pt" o:allowincell="f" strokecolor="#000000" strokeweight="1pt"/>
            </w:pict>
          </mc:Fallback>
        </mc:AlternateContent>
      </w:r>
    </w:p>
    <w:p>
      <w:pPr>
        <w:spacing w:after="0" w:line="355" w:lineRule="exact"/>
        <w:rPr>
          <w:sz w:val="24"/>
          <w:szCs w:val="24"/>
          <w:color w:val="auto"/>
        </w:rPr>
      </w:pPr>
    </w:p>
    <w:p>
      <w:pPr>
        <w:jc w:val="center"/>
        <w:ind w:left="3580" w:right="760" w:hanging="3527"/>
        <w:spacing w:after="0" w:line="357" w:lineRule="auto"/>
        <w:tabs>
          <w:tab w:leader="none" w:pos="653"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color w:val="auto"/>
        </w:rPr>
        <w:t xml:space="preserve">ANNUAL REPORT PURSUANT TO SECTION 13 OR 15(d) OF THE SECURITIES EXCHANGE ACT OF 1934 For the fiscal year ended </w:t>
      </w:r>
      <w:r>
        <w:rPr>
          <w:rFonts w:ascii="Times New Roman" w:cs="Times New Roman" w:eastAsia="Times New Roman" w:hAnsi="Times New Roman"/>
          <w:sz w:val="20"/>
          <w:szCs w:val="20"/>
          <w:b w:val="1"/>
          <w:bCs w:val="1"/>
          <w:color w:val="auto"/>
        </w:rPr>
        <w:t>December 31, 2024</w:t>
      </w:r>
    </w:p>
    <w:p>
      <w:pPr>
        <w:ind w:left="5260"/>
        <w:spacing w:after="0"/>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color w:val="auto"/>
        </w:rPr>
        <w:t>OR</w:t>
      </w:r>
    </w:p>
    <w:p>
      <w:pPr>
        <w:spacing w:after="0" w:line="145" w:lineRule="exact"/>
        <w:rPr>
          <w:sz w:val="24"/>
          <w:szCs w:val="24"/>
          <w:color w:val="auto"/>
        </w:rPr>
      </w:pPr>
    </w:p>
    <w:p>
      <w:pPr>
        <w:ind w:left="660" w:hanging="607"/>
        <w:spacing w:after="0"/>
        <w:tabs>
          <w:tab w:leader="none" w:pos="660"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color w:val="auto"/>
        </w:rPr>
        <w:t>TRANSITION REPORT PURSUANT TO SECTION 13 OR 15(d) OF THE SECURITIES EXCHANGE ACT OF 1934</w:t>
      </w:r>
    </w:p>
    <w:p>
      <w:pPr>
        <w:spacing w:after="0" w:line="215" w:lineRule="exact"/>
        <w:rPr>
          <w:sz w:val="24"/>
          <w:szCs w:val="24"/>
          <w:color w:val="auto"/>
        </w:rPr>
      </w:pPr>
    </w:p>
    <w:p>
      <w:pPr>
        <w:ind w:left="3060"/>
        <w:spacing w:after="0"/>
        <w:tabs>
          <w:tab w:leader="none" w:pos="6520" w:val="left"/>
        </w:tabs>
        <w:rPr>
          <w:sz w:val="20"/>
          <w:szCs w:val="20"/>
          <w:color w:val="auto"/>
        </w:rPr>
      </w:pPr>
      <w:r>
        <w:rPr>
          <w:rFonts w:ascii="Times New Roman" w:cs="Times New Roman" w:eastAsia="Times New Roman" w:hAnsi="Times New Roman"/>
          <w:sz w:val="20"/>
          <w:szCs w:val="20"/>
          <w:color w:val="auto"/>
        </w:rPr>
        <w:t>For the transition period from</w:t>
      </w:r>
      <w:r>
        <w:rPr>
          <w:sz w:val="20"/>
          <w:szCs w:val="20"/>
          <w:color w:val="auto"/>
        </w:rPr>
        <w:tab/>
      </w:r>
      <w:r>
        <w:rPr>
          <w:rFonts w:ascii="Times New Roman" w:cs="Times New Roman" w:eastAsia="Times New Roman" w:hAnsi="Times New Roman"/>
          <w:sz w:val="20"/>
          <w:szCs w:val="20"/>
          <w:color w:val="auto"/>
        </w:rPr>
        <w:t>to</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3482975</wp:posOffset>
                </wp:positionH>
                <wp:positionV relativeFrom="paragraph">
                  <wp:posOffset>-5080</wp:posOffset>
                </wp:positionV>
                <wp:extent cx="635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25pt,-0.3999pt" to="324.25pt,-0.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4279900</wp:posOffset>
                </wp:positionH>
                <wp:positionV relativeFrom="paragraph">
                  <wp:posOffset>-5080</wp:posOffset>
                </wp:positionV>
                <wp:extent cx="635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pt,-0.3999pt" to="387pt,-0.3999pt" o:allowincell="f" strokecolor="#000000" strokeweight="0.5pt"/>
            </w:pict>
          </mc:Fallback>
        </mc:AlternateContent>
      </w:r>
    </w:p>
    <w:p>
      <w:pPr>
        <w:spacing w:after="0" w:line="1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001-39268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1966595</wp:posOffset>
            </wp:positionH>
            <wp:positionV relativeFrom="paragraph">
              <wp:posOffset>165735</wp:posOffset>
            </wp:positionV>
            <wp:extent cx="2924175"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292417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6"/>
          <w:szCs w:val="36"/>
          <w:b w:val="1"/>
          <w:bCs w:val="1"/>
          <w:color w:val="auto"/>
        </w:rPr>
        <w:t>NN, Inc.</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1966595</wp:posOffset>
                </wp:positionH>
                <wp:positionV relativeFrom="paragraph">
                  <wp:posOffset>121920</wp:posOffset>
                </wp:positionV>
                <wp:extent cx="29241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4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85pt,9.6pt" to="385.1pt,9.6pt" o:allowincell="f" strokecolor="#000000" strokeweight="1pt"/>
            </w:pict>
          </mc:Fallback>
        </mc:AlternateContent>
      </w:r>
    </w:p>
    <w:p>
      <w:pPr>
        <w:spacing w:after="0" w:line="399" w:lineRule="exact"/>
        <w:rPr>
          <w:sz w:val="24"/>
          <w:szCs w:val="24"/>
          <w:color w:val="auto"/>
        </w:rPr>
      </w:pPr>
    </w:p>
    <w:tbl>
      <w:tblPr>
        <w:tblLayout w:type="fixed"/>
        <w:tblInd w:w="900" w:type="dxa"/>
        <w:tblCellMar>
          <w:top w:w="0" w:type="dxa"/>
          <w:left w:w="0" w:type="dxa"/>
          <w:bottom w:w="0" w:type="dxa"/>
          <w:right w:w="0" w:type="dxa"/>
        </w:tblCellMar>
      </w:tblPr>
      <w:tr>
        <w:trPr>
          <w:trHeight w:val="264"/>
        </w:trPr>
        <w:tc>
          <w:tcPr>
            <w:tcW w:w="4920" w:type="dxa"/>
            <w:vAlign w:val="bottom"/>
          </w:tcPr>
          <w:p>
            <w:pPr>
              <w:jc w:val="center"/>
              <w:ind w:right="988"/>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420" w:type="dxa"/>
            <w:vAlign w:val="bottom"/>
          </w:tcPr>
          <w:p>
            <w:pPr>
              <w:jc w:val="right"/>
              <w:ind w:right="590"/>
              <w:spacing w:after="0"/>
              <w:rPr>
                <w:sz w:val="20"/>
                <w:szCs w:val="20"/>
                <w:color w:val="auto"/>
              </w:rPr>
            </w:pPr>
            <w:r>
              <w:rPr>
                <w:rFonts w:ascii="Times New Roman" w:cs="Times New Roman" w:eastAsia="Times New Roman" w:hAnsi="Times New Roman"/>
                <w:sz w:val="20"/>
                <w:szCs w:val="20"/>
                <w:b w:val="1"/>
                <w:bCs w:val="1"/>
                <w:color w:val="auto"/>
              </w:rPr>
              <w:t>62-1096725</w:t>
            </w:r>
          </w:p>
        </w:tc>
        <w:tc>
          <w:tcPr>
            <w:tcW w:w="0" w:type="dxa"/>
            <w:vAlign w:val="bottom"/>
          </w:tcPr>
          <w:p>
            <w:pPr>
              <w:spacing w:after="0"/>
              <w:rPr>
                <w:sz w:val="1"/>
                <w:szCs w:val="1"/>
                <w:color w:val="auto"/>
              </w:rPr>
            </w:pPr>
          </w:p>
        </w:tc>
      </w:tr>
      <w:tr>
        <w:trPr>
          <w:trHeight w:val="253"/>
        </w:trPr>
        <w:tc>
          <w:tcPr>
            <w:tcW w:w="4920" w:type="dxa"/>
            <w:vAlign w:val="bottom"/>
          </w:tcPr>
          <w:p>
            <w:pPr>
              <w:jc w:val="center"/>
              <w:ind w:right="988"/>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420" w:type="dxa"/>
            <w:vAlign w:val="bottom"/>
          </w:tcPr>
          <w:p>
            <w:pPr>
              <w:jc w:val="center"/>
              <w:ind w:left="101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c>
          <w:tcPr>
            <w:tcW w:w="0" w:type="dxa"/>
            <w:vAlign w:val="bottom"/>
          </w:tcPr>
          <w:p>
            <w:pPr>
              <w:spacing w:after="0"/>
              <w:rPr>
                <w:sz w:val="1"/>
                <w:szCs w:val="1"/>
                <w:color w:val="auto"/>
              </w:rPr>
            </w:pPr>
          </w:p>
        </w:tc>
      </w:tr>
      <w:tr>
        <w:trPr>
          <w:trHeight w:val="283"/>
        </w:trPr>
        <w:tc>
          <w:tcPr>
            <w:tcW w:w="4920" w:type="dxa"/>
            <w:vAlign w:val="bottom"/>
          </w:tcPr>
          <w:p>
            <w:pPr>
              <w:jc w:val="center"/>
              <w:ind w:right="988"/>
              <w:spacing w:after="0"/>
              <w:rPr>
                <w:sz w:val="20"/>
                <w:szCs w:val="20"/>
                <w:color w:val="auto"/>
              </w:rPr>
            </w:pPr>
            <w:r>
              <w:rPr>
                <w:rFonts w:ascii="Times New Roman" w:cs="Times New Roman" w:eastAsia="Times New Roman" w:hAnsi="Times New Roman"/>
                <w:sz w:val="20"/>
                <w:szCs w:val="20"/>
                <w:b w:val="1"/>
                <w:bCs w:val="1"/>
                <w:color w:val="auto"/>
              </w:rPr>
              <w:t>6210 Ardrey Kell Road, Suite 120</w:t>
            </w:r>
          </w:p>
        </w:tc>
        <w:tc>
          <w:tcPr>
            <w:tcW w:w="3420" w:type="dxa"/>
            <w:vAlign w:val="bottom"/>
            <w:vMerge w:val="restart"/>
          </w:tcPr>
          <w:p>
            <w:pPr>
              <w:jc w:val="right"/>
              <w:ind w:right="810"/>
              <w:spacing w:after="0"/>
              <w:rPr>
                <w:sz w:val="20"/>
                <w:szCs w:val="20"/>
                <w:color w:val="auto"/>
              </w:rPr>
            </w:pPr>
            <w:r>
              <w:rPr>
                <w:rFonts w:ascii="Times New Roman" w:cs="Times New Roman" w:eastAsia="Times New Roman" w:hAnsi="Times New Roman"/>
                <w:sz w:val="20"/>
                <w:szCs w:val="20"/>
                <w:b w:val="1"/>
                <w:bCs w:val="1"/>
                <w:color w:val="auto"/>
              </w:rPr>
              <w:t>28277</w:t>
            </w:r>
          </w:p>
        </w:tc>
        <w:tc>
          <w:tcPr>
            <w:tcW w:w="0" w:type="dxa"/>
            <w:vAlign w:val="bottom"/>
          </w:tcPr>
          <w:p>
            <w:pPr>
              <w:spacing w:after="0"/>
              <w:rPr>
                <w:sz w:val="1"/>
                <w:szCs w:val="1"/>
                <w:color w:val="auto"/>
              </w:rPr>
            </w:pPr>
          </w:p>
        </w:tc>
      </w:tr>
      <w:tr>
        <w:trPr>
          <w:trHeight w:val="264"/>
        </w:trPr>
        <w:tc>
          <w:tcPr>
            <w:tcW w:w="4920" w:type="dxa"/>
            <w:vAlign w:val="bottom"/>
          </w:tcPr>
          <w:p>
            <w:pPr>
              <w:jc w:val="center"/>
              <w:ind w:right="988"/>
              <w:spacing w:after="0"/>
              <w:rPr>
                <w:sz w:val="20"/>
                <w:szCs w:val="20"/>
                <w:color w:val="auto"/>
              </w:rPr>
            </w:pPr>
            <w:r>
              <w:rPr>
                <w:rFonts w:ascii="Times New Roman" w:cs="Times New Roman" w:eastAsia="Times New Roman" w:hAnsi="Times New Roman"/>
                <w:sz w:val="20"/>
                <w:szCs w:val="20"/>
                <w:b w:val="1"/>
                <w:bCs w:val="1"/>
                <w:color w:val="auto"/>
              </w:rPr>
              <w:t>Charlotte, North Carolina</w:t>
            </w:r>
          </w:p>
        </w:tc>
        <w:tc>
          <w:tcPr>
            <w:tcW w:w="3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jc w:val="center"/>
              <w:ind w:right="968"/>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420" w:type="dxa"/>
            <w:vAlign w:val="bottom"/>
          </w:tcPr>
          <w:p>
            <w:pPr>
              <w:jc w:val="center"/>
              <w:ind w:left="1030"/>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bl>
    <w:p>
      <w:pPr>
        <w:spacing w:after="0" w:line="5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(980) 264-4300</w:t>
      </w:r>
    </w:p>
    <w:p>
      <w:pPr>
        <w:spacing w:after="0" w:line="1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85" w:lineRule="exact"/>
        <w:rPr>
          <w:sz w:val="24"/>
          <w:szCs w:val="24"/>
          <w:color w:val="auto"/>
        </w:rPr>
      </w:pPr>
    </w:p>
    <w:p>
      <w:pPr>
        <w:ind w:left="1700"/>
        <w:spacing w:after="0"/>
        <w:tabs>
          <w:tab w:leader="none" w:pos="4880" w:val="left"/>
          <w:tab w:leader="none" w:pos="7080" w:val="left"/>
        </w:tabs>
        <w:rPr>
          <w:sz w:val="20"/>
          <w:szCs w:val="20"/>
          <w:color w:val="auto"/>
        </w:rPr>
      </w:pPr>
      <w:r>
        <w:rPr>
          <w:rFonts w:ascii="Times New Roman" w:cs="Times New Roman" w:eastAsia="Times New Roman" w:hAnsi="Times New Roman"/>
          <w:sz w:val="16"/>
          <w:szCs w:val="16"/>
          <w:b w:val="1"/>
          <w:bCs w:val="1"/>
          <w:i w:val="1"/>
          <w:iCs w:val="1"/>
          <w:color w:val="auto"/>
        </w:rPr>
        <w:t>Title of each class</w:t>
      </w:r>
      <w:r>
        <w:rPr>
          <w:sz w:val="20"/>
          <w:szCs w:val="20"/>
          <w:color w:val="auto"/>
        </w:rPr>
        <w:tab/>
      </w:r>
      <w:r>
        <w:rPr>
          <w:rFonts w:ascii="Times New Roman" w:cs="Times New Roman" w:eastAsia="Times New Roman" w:hAnsi="Times New Roman"/>
          <w:sz w:val="16"/>
          <w:szCs w:val="16"/>
          <w:b w:val="1"/>
          <w:bCs w:val="1"/>
          <w:i w:val="1"/>
          <w:iCs w:val="1"/>
          <w:color w:val="auto"/>
        </w:rPr>
        <w:t>Trading symbol</w:t>
      </w:r>
      <w:r>
        <w:rPr>
          <w:sz w:val="20"/>
          <w:szCs w:val="20"/>
          <w:color w:val="auto"/>
        </w:rPr>
        <w:tab/>
      </w:r>
      <w:r>
        <w:rPr>
          <w:rFonts w:ascii="Times New Roman" w:cs="Times New Roman" w:eastAsia="Times New Roman" w:hAnsi="Times New Roman"/>
          <w:sz w:val="15"/>
          <w:szCs w:val="15"/>
          <w:b w:val="1"/>
          <w:bCs w:val="1"/>
          <w:i w:val="1"/>
          <w:iCs w:val="1"/>
          <w:color w:val="auto"/>
        </w:rPr>
        <w:t>Name of each exchange on which registered</w:t>
      </w:r>
    </w:p>
    <w:p>
      <w:pPr>
        <w:spacing w:after="0" w:line="49" w:lineRule="exact"/>
        <w:rPr>
          <w:sz w:val="24"/>
          <w:szCs w:val="24"/>
          <w:color w:val="auto"/>
        </w:rPr>
      </w:pPr>
    </w:p>
    <w:p>
      <w:pPr>
        <w:ind w:left="920"/>
        <w:spacing w:after="0"/>
        <w:tabs>
          <w:tab w:leader="none" w:pos="5100" w:val="left"/>
          <w:tab w:leader="none" w:pos="7140" w:val="left"/>
        </w:tabs>
        <w:rPr>
          <w:sz w:val="20"/>
          <w:szCs w:val="20"/>
          <w:color w:val="auto"/>
        </w:rPr>
      </w:pPr>
      <w:r>
        <w:rPr>
          <w:rFonts w:ascii="Times New Roman" w:cs="Times New Roman" w:eastAsia="Times New Roman" w:hAnsi="Times New Roman"/>
          <w:sz w:val="20"/>
          <w:szCs w:val="20"/>
          <w:b w:val="1"/>
          <w:bCs w:val="1"/>
          <w:color w:val="auto"/>
        </w:rPr>
        <w:t>Common Stock, par value $0.01</w:t>
      </w:r>
      <w:r>
        <w:rPr>
          <w:sz w:val="20"/>
          <w:szCs w:val="20"/>
          <w:color w:val="auto"/>
        </w:rPr>
        <w:tab/>
      </w:r>
      <w:r>
        <w:rPr>
          <w:rFonts w:ascii="Times New Roman" w:cs="Times New Roman" w:eastAsia="Times New Roman" w:hAnsi="Times New Roman"/>
          <w:sz w:val="20"/>
          <w:szCs w:val="20"/>
          <w:b w:val="1"/>
          <w:bCs w:val="1"/>
          <w:color w:val="auto"/>
        </w:rPr>
        <w:t>NNBR</w:t>
      </w:r>
      <w:r>
        <w:rPr>
          <w:sz w:val="20"/>
          <w:szCs w:val="20"/>
          <w:color w:val="auto"/>
        </w:rPr>
        <w:tab/>
      </w:r>
      <w:r>
        <w:rPr>
          <w:rFonts w:ascii="Times New Roman" w:cs="Times New Roman" w:eastAsia="Times New Roman" w:hAnsi="Times New Roman"/>
          <w:sz w:val="19"/>
          <w:szCs w:val="19"/>
          <w:b w:val="1"/>
          <w:bCs w:val="1"/>
          <w:color w:val="auto"/>
        </w:rPr>
        <w:t>The Nasdaq Stock Market LLC</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xml:space="preserve">Securities registered pursuant to Section 12(g) of the Act: </w:t>
      </w:r>
      <w:r>
        <w:rPr>
          <w:rFonts w:ascii="Times New Roman" w:cs="Times New Roman" w:eastAsia="Times New Roman" w:hAnsi="Times New Roman"/>
          <w:sz w:val="20"/>
          <w:szCs w:val="20"/>
          <w:b w:val="1"/>
          <w:bCs w:val="1"/>
          <w:color w:val="auto"/>
        </w:rPr>
        <w:t>None</w:t>
      </w:r>
    </w:p>
    <w:p>
      <w:pPr>
        <w:spacing w:after="0" w:line="74" w:lineRule="exact"/>
        <w:rPr>
          <w:sz w:val="24"/>
          <w:szCs w:val="24"/>
          <w:color w:val="auto"/>
        </w:rPr>
      </w:pPr>
    </w:p>
    <w:p>
      <w:pPr>
        <w:ind w:right="60"/>
        <w:spacing w:after="0" w:line="310" w:lineRule="exact"/>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Indicate by check mark if the registrant is not required to file reports pursuant to Section 13 or Section 15(d) of the Act.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No</w:t>
      </w:r>
    </w:p>
    <w:p>
      <w:pPr>
        <w:spacing w:after="0" w:line="1" w:lineRule="exact"/>
        <w:rPr>
          <w:sz w:val="24"/>
          <w:szCs w:val="24"/>
          <w:color w:val="auto"/>
        </w:rPr>
      </w:pPr>
    </w:p>
    <w:p>
      <w:pPr>
        <w:spacing w:after="0" w:line="201" w:lineRule="exact"/>
        <w:rPr>
          <w:sz w:val="20"/>
          <w:szCs w:val="20"/>
          <w:color w:val="auto"/>
        </w:rPr>
      </w:pPr>
      <w:r>
        <w:rPr>
          <w:rFonts w:ascii="MS PGothic" w:cs="MS PGothic" w:eastAsia="MS PGothic" w:hAnsi="MS PGothic"/>
          <w:sz w:val="20"/>
          <w:szCs w:val="20"/>
          <w:b w:val="1"/>
          <w:bCs w:val="1"/>
          <w:color w:val="auto"/>
        </w:rPr>
        <w:t>☑</w:t>
      </w:r>
    </w:p>
    <w:p>
      <w:pPr>
        <w:spacing w:after="0" w:line="140" w:lineRule="exact"/>
        <w:rPr>
          <w:sz w:val="24"/>
          <w:szCs w:val="24"/>
          <w:color w:val="auto"/>
        </w:rPr>
      </w:pPr>
    </w:p>
    <w:p>
      <w:pPr>
        <w:spacing w:after="0" w:line="257"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20"/>
          <w:szCs w:val="20"/>
          <w:b w:val="1"/>
          <w:bCs w:val="1"/>
          <w:color w:val="auto"/>
        </w:rPr>
        <w:t>☐</w:t>
      </w:r>
    </w:p>
    <w:p>
      <w:pPr>
        <w:spacing w:after="0" w:line="70" w:lineRule="exact"/>
        <w:rPr>
          <w:sz w:val="24"/>
          <w:szCs w:val="24"/>
          <w:color w:val="auto"/>
        </w:rPr>
      </w:pPr>
    </w:p>
    <w:p>
      <w:pPr>
        <w:spacing w:after="0" w:line="257"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20"/>
          <w:szCs w:val="20"/>
          <w:b w:val="1"/>
          <w:bCs w:val="1"/>
          <w:color w:val="auto"/>
        </w:rPr>
        <w:t>☐</w:t>
      </w:r>
    </w:p>
    <w:p>
      <w:pPr>
        <w:sectPr>
          <w:pgSz w:w="12240" w:h="15840" w:orient="portrait"/>
          <w:cols w:equalWidth="0" w:num="1">
            <w:col w:w="10720"/>
          </w:cols>
          <w:pgMar w:left="720" w:top="688" w:right="800" w:bottom="178" w:gutter="0" w:footer="0" w:header="0"/>
        </w:sectPr>
      </w:pPr>
    </w:p>
    <w:p>
      <w:pPr>
        <w:spacing w:after="0" w:line="7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p>
      <w:pPr>
        <w:ind w:left="60"/>
        <w:spacing w:after="0" w:line="230" w:lineRule="exact"/>
        <w:tabs>
          <w:tab w:leader="none" w:pos="2540" w:val="left"/>
          <w:tab w:leader="none" w:pos="8020" w:val="left"/>
        </w:tabs>
        <w:rPr>
          <w:sz w:val="20"/>
          <w:szCs w:val="20"/>
          <w:color w:val="auto"/>
        </w:rPr>
      </w:pPr>
      <w:r>
        <w:rPr>
          <w:rFonts w:ascii="Times New Roman" w:cs="Times New Roman" w:eastAsia="Times New Roman" w:hAnsi="Times New Roman"/>
          <w:sz w:val="20"/>
          <w:szCs w:val="20"/>
          <w:color w:val="auto"/>
        </w:rPr>
        <w:t>Large accelerated filer</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Times New Roman" w:cs="Times New Roman" w:eastAsia="Times New Roman" w:hAnsi="Times New Roman"/>
          <w:sz w:val="20"/>
          <w:szCs w:val="20"/>
          <w:color w:val="auto"/>
        </w:rPr>
        <w:t>Accelerated filer</w:t>
      </w:r>
    </w:p>
    <w:p>
      <w:pPr>
        <w:spacing w:after="0" w:line="63" w:lineRule="exact"/>
        <w:rPr>
          <w:sz w:val="24"/>
          <w:szCs w:val="24"/>
          <w:color w:val="auto"/>
        </w:rPr>
      </w:pPr>
    </w:p>
    <w:p>
      <w:pPr>
        <w:ind w:left="60"/>
        <w:spacing w:after="0" w:line="230" w:lineRule="exact"/>
        <w:tabs>
          <w:tab w:leader="none" w:pos="2540" w:val="left"/>
          <w:tab w:leader="none" w:pos="8020" w:val="left"/>
        </w:tabs>
        <w:rPr>
          <w:sz w:val="20"/>
          <w:szCs w:val="20"/>
          <w:color w:val="auto"/>
        </w:rPr>
      </w:pPr>
      <w:r>
        <w:rPr>
          <w:rFonts w:ascii="Times New Roman" w:cs="Times New Roman" w:eastAsia="Times New Roman" w:hAnsi="Times New Roman"/>
          <w:sz w:val="20"/>
          <w:szCs w:val="20"/>
          <w:color w:val="auto"/>
        </w:rPr>
        <w:t>Non-accelerated filer</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Times New Roman" w:cs="Times New Roman" w:eastAsia="Times New Roman" w:hAnsi="Times New Roman"/>
          <w:sz w:val="20"/>
          <w:szCs w:val="20"/>
          <w:color w:val="auto"/>
        </w:rPr>
        <w:t>Smaller reporting company</w:t>
      </w:r>
    </w:p>
    <w:p>
      <w:pPr>
        <w:spacing w:after="0" w:line="62"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20"/>
          <w:szCs w:val="20"/>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b w:val="1"/>
          <w:bCs w:val="1"/>
          <w:color w:val="auto"/>
        </w:rPr>
        <w:t>☑</w:t>
      </w:r>
    </w:p>
    <w:p>
      <w:pPr>
        <w:spacing w:after="0" w:line="1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b w:val="1"/>
          <w:bCs w:val="1"/>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b w:val="1"/>
          <w:bCs w:val="1"/>
          <w:color w:val="auto"/>
        </w:rPr>
        <w:t>☐</w:t>
      </w:r>
    </w:p>
    <w:p>
      <w:pPr>
        <w:spacing w:after="0" w:line="167" w:lineRule="exact"/>
        <w:rPr>
          <w:sz w:val="24"/>
          <w:szCs w:val="24"/>
          <w:color w:val="auto"/>
        </w:rPr>
      </w:pPr>
    </w:p>
    <w:p>
      <w:pPr>
        <w:sectPr>
          <w:pgSz w:w="12240" w:h="15840" w:orient="portrait"/>
          <w:cols w:equalWidth="0" w:num="2">
            <w:col w:w="10320" w:space="240"/>
            <w:col w:w="160"/>
          </w:cols>
          <w:pgMar w:left="720" w:top="688" w:right="800" w:bottom="178" w:gutter="0" w:footer="0" w:header="0"/>
          <w:type w:val="continuous"/>
        </w:sectPr>
      </w:pPr>
    </w:p>
    <w:p>
      <w:pPr>
        <w:ind w:right="440"/>
        <w:spacing w:after="0" w:line="258"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198120</wp:posOffset>
            </wp:positionV>
            <wp:extent cx="6908800" cy="76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6908800" cy="76200"/>
                    </a:xfrm>
                    <a:prstGeom prst="rect">
                      <a:avLst/>
                    </a:prstGeom>
                    <a:noFill/>
                  </pic:spPr>
                </pic:pic>
              </a:graphicData>
            </a:graphic>
          </wp:anchor>
        </w:drawing>
      </w:r>
    </w:p>
    <w:p>
      <w:pPr>
        <w:sectPr>
          <w:pgSz w:w="12240" w:h="15840" w:orient="portrait"/>
          <w:cols w:equalWidth="0" w:num="1">
            <w:col w:w="10720"/>
          </w:cols>
          <w:pgMar w:left="720" w:top="688" w:right="800" w:bottom="178" w:gutter="0" w:footer="0" w:header="0"/>
          <w:type w:val="continuous"/>
        </w:sectPr>
      </w:pPr>
    </w:p>
    <w:bookmarkStart w:id="1" w:name="page2"/>
    <w:bookmarkEnd w:id="1"/>
    <w:p>
      <w:pPr>
        <w:spacing w:after="0" w:line="258"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b w:val="1"/>
          <w:bCs w:val="1"/>
          <w:color w:val="auto"/>
        </w:rPr>
        <w:t>☑</w:t>
      </w:r>
    </w:p>
    <w:p>
      <w:pPr>
        <w:spacing w:after="0" w:line="67" w:lineRule="exact"/>
        <w:rPr>
          <w:sz w:val="20"/>
          <w:szCs w:val="20"/>
          <w:color w:val="auto"/>
        </w:rPr>
      </w:pPr>
    </w:p>
    <w:p>
      <w:pPr>
        <w:ind w:right="620"/>
        <w:spacing w:after="0" w:line="259" w:lineRule="exact"/>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b w:val="1"/>
          <w:bCs w:val="1"/>
          <w:color w:val="auto"/>
        </w:rPr>
        <w:t>☐</w:t>
      </w:r>
    </w:p>
    <w:p>
      <w:pPr>
        <w:spacing w:after="0" w:line="83" w:lineRule="exact"/>
        <w:rPr>
          <w:sz w:val="20"/>
          <w:szCs w:val="20"/>
          <w:color w:val="auto"/>
        </w:rPr>
      </w:pPr>
    </w:p>
    <w:p>
      <w:pPr>
        <w:spacing w:after="0" w:line="259" w:lineRule="exact"/>
        <w:rPr>
          <w:sz w:val="20"/>
          <w:szCs w:val="20"/>
          <w:color w:val="auto"/>
        </w:rPr>
      </w:pPr>
      <w:r>
        <w:rPr>
          <w:rFonts w:ascii="Times New Roman" w:cs="Times New Roman" w:eastAsia="Times New Roman" w:hAnsi="Times New Roman"/>
          <w:sz w:val="19"/>
          <w:szCs w:val="19"/>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9"/>
          <w:szCs w:val="19"/>
          <w:b w:val="1"/>
          <w:bCs w:val="1"/>
          <w:color w:val="auto"/>
        </w:rPr>
        <w:t>☐</w:t>
      </w:r>
    </w:p>
    <w:p>
      <w:pPr>
        <w:spacing w:after="0" w:line="83"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Act).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20"/>
          <w:szCs w:val="20"/>
          <w:b w:val="1"/>
          <w:bCs w:val="1"/>
          <w:color w:val="auto"/>
        </w:rPr>
        <w:t>☑</w:t>
      </w:r>
    </w:p>
    <w:p>
      <w:pPr>
        <w:spacing w:after="0" w:line="13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The aggregate market value of the voting and non-voting common stock held by non-affiliates of the registrant was approximately $86.8 million as of June 28, 2024, the last business day of the registrant’s most recently completed second fiscal quarter, computed using the closing price of the registrant’s common stock as quoted on the Nasdaq Stock Market LLC on that date of $3.00. Solely for purposes of making this calculation, shares of the registrant’s common stock held by named executive officers, directors and 5% or greater stockholders of the registrant as of such date have been excluded because such persons may be deemed to be affiliates. This determination of affiliate status is not necessarily a conclusive determination for any other purposes.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February 14, 2025, there were 49,886,862 shares of the registrant’s common stock, par value $0.01 per share, outstanding.</w:t>
      </w:r>
    </w:p>
    <w:p>
      <w:pPr>
        <w:spacing w:after="0" w:line="1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7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20"/>
          <w:szCs w:val="20"/>
          <w:color w:val="auto"/>
        </w:rPr>
        <w:t>Portions of the Proxy Statement with respect to the 2025 Annual Meeting of Stockholders are incorporated by reference in Part III, Items 10 to 14 of this Annual Report on Form 10-K as indicated herein. Such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5932805</wp:posOffset>
            </wp:positionV>
            <wp:extent cx="6908800" cy="76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6908800" cy="76200"/>
                    </a:xfrm>
                    <a:prstGeom prst="rect">
                      <a:avLst/>
                    </a:prstGeom>
                    <a:noFill/>
                  </pic:spPr>
                </pic:pic>
              </a:graphicData>
            </a:graphic>
          </wp:anchor>
        </w:drawing>
      </w:r>
    </w:p>
    <w:p>
      <w:pPr>
        <w:sectPr>
          <w:pgSz w:w="12240" w:h="15840" w:orient="portrait"/>
          <w:cols w:equalWidth="0" w:num="1">
            <w:col w:w="10720"/>
          </w:cols>
          <w:pgMar w:left="720" w:top="682" w:right="800" w:bottom="1440" w:gutter="0" w:footer="0" w:header="0"/>
        </w:sectPr>
      </w:pPr>
    </w:p>
    <w:bookmarkStart w:id="2" w:name="page3"/>
    <w:bookmarkEnd w:id="2"/>
    <w:p>
      <w:pPr>
        <w:ind w:left="4720"/>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83"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6"/>
          <w:szCs w:val="16"/>
          <w:b w:val="1"/>
          <w:bCs w:val="1"/>
          <w:u w:val="single" w:color="auto"/>
          <w:color w:val="auto"/>
        </w:rPr>
        <w:t>Page</w:t>
      </w:r>
    </w:p>
    <w:p>
      <w:pPr>
        <w:spacing w:after="0" w:line="70" w:lineRule="exact"/>
        <w:rPr>
          <w:sz w:val="20"/>
          <w:szCs w:val="20"/>
          <w:color w:val="auto"/>
        </w:rPr>
      </w:pPr>
    </w:p>
    <w:p>
      <w:pPr>
        <w:spacing w:after="0"/>
        <w:tabs>
          <w:tab w:leader="none" w:pos="10040" w:val="left"/>
        </w:tabs>
        <w:rPr>
          <w:sz w:val="20"/>
          <w:szCs w:val="20"/>
          <w:color w:val="auto"/>
        </w:rPr>
      </w:pPr>
      <w:r>
        <w:rPr>
          <w:rFonts w:ascii="Times New Roman" w:cs="Times New Roman" w:eastAsia="Times New Roman" w:hAnsi="Times New Roman"/>
          <w:sz w:val="20"/>
          <w:szCs w:val="20"/>
          <w:color w:val="auto"/>
        </w:rPr>
        <w:t xml:space="preserve">PART I </w:t>
      </w:r>
      <w:r>
        <w:rPr>
          <w:rFonts w:ascii="Times New Roman" w:cs="Times New Roman" w:eastAsia="Times New Roman" w:hAnsi="Times New Roman"/>
          <w:sz w:val="20"/>
          <w:szCs w:val="20"/>
          <w:color w:val="B4B4B4"/>
        </w:rPr>
        <w:t>.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line="70" w:lineRule="exact"/>
        <w:rPr>
          <w:sz w:val="20"/>
          <w:szCs w:val="20"/>
          <w:color w:val="auto"/>
        </w:rPr>
      </w:pPr>
    </w:p>
    <w:p>
      <w:pPr>
        <w:ind w:left="500"/>
        <w:spacing w:after="0"/>
        <w:tabs>
          <w:tab w:leader="none" w:pos="1380" w:val="left"/>
          <w:tab w:leader="none" w:pos="1004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 xml:space="preserve">Business </w:t>
      </w:r>
      <w:r>
        <w:rPr>
          <w:rFonts w:ascii="Times New Roman" w:cs="Times New Roman" w:eastAsia="Times New Roman" w:hAnsi="Times New Roman"/>
          <w:sz w:val="20"/>
          <w:szCs w:val="20"/>
          <w:color w:val="B4B4B4"/>
        </w:rPr>
        <w:t>.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1A.</w:t>
        <w:tab/>
        <w:t xml:space="preserve">Risk Factors </w:t>
      </w:r>
      <w:r>
        <w:rPr>
          <w:rFonts w:ascii="Times New Roman" w:cs="Times New Roman" w:eastAsia="Times New Roman" w:hAnsi="Times New Roman"/>
          <w:sz w:val="20"/>
          <w:szCs w:val="20"/>
          <w:color w:val="B4B4B4"/>
        </w:rPr>
        <w:t>. . . . . . . . . . . . . . . . . . . . . . . . . . . . . . . . . . . . . . . . . . . . . . . . . . . . . . . . . . . . . . . . . . . . . . . .</w:t>
      </w:r>
      <w:r>
        <w:rPr>
          <w:rFonts w:ascii="Times New Roman" w:cs="Times New Roman" w:eastAsia="Times New Roman" w:hAnsi="Times New Roman"/>
          <w:sz w:val="20"/>
          <w:szCs w:val="20"/>
          <w:color w:val="auto"/>
        </w:rPr>
        <w:tab/>
        <w:t>10</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1B.</w:t>
        <w:tab/>
        <w:t xml:space="preserve">Unresolved Staff Comments  </w:t>
      </w:r>
      <w:r>
        <w:rPr>
          <w:rFonts w:ascii="Times New Roman" w:cs="Times New Roman" w:eastAsia="Times New Roman" w:hAnsi="Times New Roman"/>
          <w:sz w:val="20"/>
          <w:szCs w:val="20"/>
          <w:color w:val="B4B4B4"/>
        </w:rPr>
        <w:t>. . . . . . . . . . . . . . . . . . . . . . . . . . . . . . . . . . . . . . . . . . . . . . . . . . . . . . . . . . .</w:t>
      </w:r>
      <w:r>
        <w:rPr>
          <w:rFonts w:ascii="Times New Roman" w:cs="Times New Roman" w:eastAsia="Times New Roman" w:hAnsi="Times New Roman"/>
          <w:sz w:val="20"/>
          <w:szCs w:val="20"/>
          <w:color w:val="auto"/>
        </w:rPr>
        <w:tab/>
        <w:t>20</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1C.</w:t>
        <w:tab/>
        <w:t xml:space="preserve">Cybersecurity </w:t>
      </w:r>
      <w:r>
        <w:rPr>
          <w:rFonts w:ascii="Times New Roman" w:cs="Times New Roman" w:eastAsia="Times New Roman" w:hAnsi="Times New Roman"/>
          <w:sz w:val="20"/>
          <w:szCs w:val="20"/>
          <w:color w:val="B4B4B4"/>
        </w:rPr>
        <w:t>. . . . . . . . . . . . . . . . . . . . . . . . . . . . . . . . . . . . . . . . . . . . . . . . . . . . . . . . . . . . . . . . . . . . . . .</w:t>
      </w:r>
      <w:r>
        <w:rPr>
          <w:rFonts w:ascii="Times New Roman" w:cs="Times New Roman" w:eastAsia="Times New Roman" w:hAnsi="Times New Roman"/>
          <w:sz w:val="20"/>
          <w:szCs w:val="20"/>
          <w:color w:val="auto"/>
        </w:rPr>
        <w:tab/>
        <w:t>20</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 xml:space="preserve">Properties </w:t>
      </w:r>
      <w:r>
        <w:rPr>
          <w:rFonts w:ascii="Times New Roman" w:cs="Times New Roman" w:eastAsia="Times New Roman" w:hAnsi="Times New Roman"/>
          <w:sz w:val="20"/>
          <w:szCs w:val="20"/>
          <w:color w:val="B4B4B4"/>
        </w:rPr>
        <w:t>. . . . . . . . . . . . . . . . . . . . . . . . . . . . . . . . . . . . . . . . . . . . . . . . . . . . . . . . . . . . . . . . . . . . . . . . . .</w:t>
      </w:r>
      <w:r>
        <w:rPr>
          <w:rFonts w:ascii="Times New Roman" w:cs="Times New Roman" w:eastAsia="Times New Roman" w:hAnsi="Times New Roman"/>
          <w:sz w:val="20"/>
          <w:szCs w:val="20"/>
          <w:color w:val="auto"/>
        </w:rPr>
        <w:tab/>
        <w:t>20</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 xml:space="preserve">Legal Proceedings </w:t>
      </w:r>
      <w:r>
        <w:rPr>
          <w:rFonts w:ascii="Times New Roman" w:cs="Times New Roman" w:eastAsia="Times New Roman" w:hAnsi="Times New Roman"/>
          <w:sz w:val="20"/>
          <w:szCs w:val="20"/>
          <w:color w:val="B4B4B4"/>
        </w:rPr>
        <w:t>. . . . . . . . . . . . . . . . . . . . . . . . . . . . . . . . . . . . . . . . . . . . . . . . . . . . . . . . . . . . . . . . . . .</w:t>
      </w:r>
      <w:r>
        <w:rPr>
          <w:rFonts w:ascii="Times New Roman" w:cs="Times New Roman" w:eastAsia="Times New Roman" w:hAnsi="Times New Roman"/>
          <w:sz w:val="20"/>
          <w:szCs w:val="20"/>
          <w:color w:val="auto"/>
        </w:rPr>
        <w:tab/>
        <w:t>21</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 xml:space="preserve">Mine Safety Disclosures </w:t>
      </w:r>
      <w:r>
        <w:rPr>
          <w:rFonts w:ascii="Times New Roman" w:cs="Times New Roman" w:eastAsia="Times New Roman" w:hAnsi="Times New Roman"/>
          <w:sz w:val="20"/>
          <w:szCs w:val="20"/>
          <w:color w:val="B4B4B4"/>
        </w:rPr>
        <w:t>. . . . . . . . . . . . . . . . . . . . . . . . . . . . . . . . . . . . . . . . . . . . . . . . . . . . . . . . . . . . . . .</w:t>
      </w:r>
      <w:r>
        <w:rPr>
          <w:rFonts w:ascii="Times New Roman" w:cs="Times New Roman" w:eastAsia="Times New Roman" w:hAnsi="Times New Roman"/>
          <w:sz w:val="20"/>
          <w:szCs w:val="20"/>
          <w:color w:val="auto"/>
        </w:rPr>
        <w:tab/>
        <w:t>21</w:t>
      </w:r>
    </w:p>
    <w:p>
      <w:pPr>
        <w:spacing w:after="0" w:line="70"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20"/>
          <w:szCs w:val="20"/>
          <w:color w:val="auto"/>
        </w:rPr>
        <w:t xml:space="preserve">Part II </w:t>
      </w:r>
      <w:r>
        <w:rPr>
          <w:rFonts w:ascii="Times New Roman" w:cs="Times New Roman" w:eastAsia="Times New Roman" w:hAnsi="Times New Roman"/>
          <w:sz w:val="20"/>
          <w:szCs w:val="20"/>
          <w:color w:val="B4B4B4"/>
        </w:rPr>
        <w:t>. . . . . . . . . . . . . . . . . . . . . . . . . . . . . . . . . . . . . . . . . . . . . . . . . . . . . . . . . . . . . . . . . . . . . . . . . . . . . . . . . . . . . . . . . . .</w:t>
      </w:r>
      <w:r>
        <w:rPr>
          <w:rFonts w:ascii="Times New Roman" w:cs="Times New Roman" w:eastAsia="Times New Roman" w:hAnsi="Times New Roman"/>
          <w:sz w:val="20"/>
          <w:szCs w:val="20"/>
          <w:color w:val="auto"/>
        </w:rPr>
        <w:tab/>
        <w:t>22</w:t>
      </w:r>
    </w:p>
    <w:p>
      <w:pPr>
        <w:spacing w:after="0" w:line="49" w:lineRule="exact"/>
        <w:rPr>
          <w:sz w:val="20"/>
          <w:szCs w:val="20"/>
          <w:color w:val="auto"/>
        </w:rPr>
      </w:pPr>
    </w:p>
    <w:p>
      <w:pPr>
        <w:ind w:left="500"/>
        <w:spacing w:after="0"/>
        <w:tabs>
          <w:tab w:leader="none" w:pos="13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the Registrant’s Common Equity, Related Stockholder Matters, and Issuer Purchases of</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 xml:space="preserve">Equity Securities  </w:t>
      </w:r>
      <w:r>
        <w:rPr>
          <w:rFonts w:ascii="Times New Roman" w:cs="Times New Roman" w:eastAsia="Times New Roman" w:hAnsi="Times New Roman"/>
          <w:sz w:val="20"/>
          <w:szCs w:val="20"/>
          <w:color w:val="B4B4B4"/>
        </w:rPr>
        <w:t>. . . . . . . . . . . . . . . . . . . . . . . . . . . . . . . . . . . . . . . . . . . . . . . . . . . . . . . . . . . . . . . . . . . .</w:t>
      </w:r>
      <w:r>
        <w:rPr>
          <w:rFonts w:ascii="Times New Roman" w:cs="Times New Roman" w:eastAsia="Times New Roman" w:hAnsi="Times New Roman"/>
          <w:sz w:val="20"/>
          <w:szCs w:val="20"/>
          <w:color w:val="auto"/>
        </w:rPr>
        <w:tab/>
        <w:t>22</w:t>
      </w:r>
    </w:p>
    <w:p>
      <w:pPr>
        <w:spacing w:after="0" w:line="56"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color w:val="B4B4B4"/>
        </w:rPr>
        <w:t>. . . . . . . . . . . . . . . . . . . . . . . . . . . . . . . . . . . . . . . . . . . . . . . . . . . . . . . . . . . . . . . . . . . . . . . . . . .</w:t>
      </w:r>
      <w:r>
        <w:rPr>
          <w:rFonts w:ascii="Times New Roman" w:cs="Times New Roman" w:eastAsia="Times New Roman" w:hAnsi="Times New Roman"/>
          <w:sz w:val="20"/>
          <w:szCs w:val="20"/>
          <w:color w:val="auto"/>
        </w:rPr>
        <w:tab/>
        <w:t>23</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 xml:space="preserve">Management’s Discussion and Analysis of Financial Condition and Results of Operations </w:t>
      </w:r>
      <w:r>
        <w:rPr>
          <w:rFonts w:ascii="Times New Roman" w:cs="Times New Roman" w:eastAsia="Times New Roman" w:hAnsi="Times New Roman"/>
          <w:sz w:val="20"/>
          <w:szCs w:val="20"/>
          <w:color w:val="B4B4B4"/>
        </w:rPr>
        <w:t>. . . . . . . . . .</w:t>
      </w:r>
      <w:r>
        <w:rPr>
          <w:rFonts w:ascii="Times New Roman" w:cs="Times New Roman" w:eastAsia="Times New Roman" w:hAnsi="Times New Roman"/>
          <w:sz w:val="20"/>
          <w:szCs w:val="20"/>
          <w:color w:val="auto"/>
        </w:rPr>
        <w:tab/>
        <w:t>24</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7A.</w:t>
        <w:tab/>
        <w:t xml:space="preserve">Quantitative and Qualitative Disclosures About Market Risk </w:t>
      </w:r>
      <w:r>
        <w:rPr>
          <w:rFonts w:ascii="Times New Roman" w:cs="Times New Roman" w:eastAsia="Times New Roman" w:hAnsi="Times New Roman"/>
          <w:sz w:val="20"/>
          <w:szCs w:val="20"/>
          <w:color w:val="B4B4B4"/>
        </w:rPr>
        <w:t>. . . . . . . . . . . . . . . . . . . . . . . . . . . . . . . . . .</w:t>
      </w:r>
      <w:r>
        <w:rPr>
          <w:rFonts w:ascii="Times New Roman" w:cs="Times New Roman" w:eastAsia="Times New Roman" w:hAnsi="Times New Roman"/>
          <w:sz w:val="20"/>
          <w:szCs w:val="20"/>
          <w:color w:val="auto"/>
        </w:rPr>
        <w:tab/>
        <w:t>30</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 xml:space="preserve">Financial Statements and Supplementary Data </w:t>
      </w:r>
      <w:r>
        <w:rPr>
          <w:rFonts w:ascii="Times New Roman" w:cs="Times New Roman" w:eastAsia="Times New Roman" w:hAnsi="Times New Roman"/>
          <w:sz w:val="20"/>
          <w:szCs w:val="20"/>
          <w:color w:val="B4B4B4"/>
        </w:rPr>
        <w:t>. . . . . . . . . . . . . . . . . . . . . . . . . . . . . . . . . . . . . . . . . . . . .</w:t>
      </w:r>
      <w:r>
        <w:rPr>
          <w:rFonts w:ascii="Times New Roman" w:cs="Times New Roman" w:eastAsia="Times New Roman" w:hAnsi="Times New Roman"/>
          <w:sz w:val="20"/>
          <w:szCs w:val="20"/>
          <w:color w:val="auto"/>
        </w:rPr>
        <w:tab/>
        <w:t>31</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 xml:space="preserve">Changes in and Disagreements with Accountants on Accounting and Financial Disclosure </w:t>
      </w:r>
      <w:r>
        <w:rPr>
          <w:rFonts w:ascii="Times New Roman" w:cs="Times New Roman" w:eastAsia="Times New Roman" w:hAnsi="Times New Roman"/>
          <w:sz w:val="20"/>
          <w:szCs w:val="20"/>
          <w:color w:val="B4B4B4"/>
        </w:rPr>
        <w:t>. . . . . . . . . .</w:t>
      </w:r>
      <w:r>
        <w:rPr>
          <w:rFonts w:ascii="Times New Roman" w:cs="Times New Roman" w:eastAsia="Times New Roman" w:hAnsi="Times New Roman"/>
          <w:sz w:val="20"/>
          <w:szCs w:val="20"/>
          <w:color w:val="auto"/>
        </w:rPr>
        <w:tab/>
        <w:t>63</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9A.</w:t>
        <w:tab/>
        <w:t xml:space="preserve">Controls and Procedures  </w:t>
      </w:r>
      <w:r>
        <w:rPr>
          <w:rFonts w:ascii="Times New Roman" w:cs="Times New Roman" w:eastAsia="Times New Roman" w:hAnsi="Times New Roman"/>
          <w:sz w:val="20"/>
          <w:szCs w:val="20"/>
          <w:color w:val="B4B4B4"/>
        </w:rPr>
        <w:t>. . . . . . . . . . . . . . . . . . . . . . . . . . . . . . . . . . . . . . . . . . . . . . . . . . . . . . . . . . . . . .</w:t>
      </w:r>
      <w:r>
        <w:rPr>
          <w:rFonts w:ascii="Times New Roman" w:cs="Times New Roman" w:eastAsia="Times New Roman" w:hAnsi="Times New Roman"/>
          <w:sz w:val="20"/>
          <w:szCs w:val="20"/>
          <w:color w:val="auto"/>
        </w:rPr>
        <w:tab/>
        <w:t>61</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9B.</w:t>
        <w:tab/>
        <w:t xml:space="preserve">Other Information </w:t>
      </w:r>
      <w:r>
        <w:rPr>
          <w:rFonts w:ascii="Times New Roman" w:cs="Times New Roman" w:eastAsia="Times New Roman" w:hAnsi="Times New Roman"/>
          <w:sz w:val="20"/>
          <w:szCs w:val="20"/>
          <w:color w:val="B4B4B4"/>
        </w:rPr>
        <w:t>. . . . . . . . . . . . . . . . . . . . . . . . . . . . . . . . . . . . . . . . . . . . . . . . . . . . . . . . . . . . . . . . . . . .</w:t>
      </w:r>
      <w:r>
        <w:rPr>
          <w:rFonts w:ascii="Times New Roman" w:cs="Times New Roman" w:eastAsia="Times New Roman" w:hAnsi="Times New Roman"/>
          <w:sz w:val="20"/>
          <w:szCs w:val="20"/>
          <w:color w:val="auto"/>
        </w:rPr>
        <w:tab/>
        <w:t>61</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9C.</w:t>
        <w:tab/>
        <w:t xml:space="preserve">Disclosure Regarding Foreign Jurisdictions that Prevent Inspections </w:t>
      </w:r>
      <w:r>
        <w:rPr>
          <w:rFonts w:ascii="Times New Roman" w:cs="Times New Roman" w:eastAsia="Times New Roman" w:hAnsi="Times New Roman"/>
          <w:sz w:val="20"/>
          <w:szCs w:val="20"/>
          <w:color w:val="B4B4B4"/>
        </w:rPr>
        <w:t>. . . . . . . . . . . . . . . . . . . . . . . . . . . .</w:t>
      </w:r>
      <w:r>
        <w:rPr>
          <w:rFonts w:ascii="Times New Roman" w:cs="Times New Roman" w:eastAsia="Times New Roman" w:hAnsi="Times New Roman"/>
          <w:sz w:val="20"/>
          <w:szCs w:val="20"/>
          <w:color w:val="auto"/>
        </w:rPr>
        <w:tab/>
        <w:t>85</w:t>
      </w:r>
    </w:p>
    <w:p>
      <w:pPr>
        <w:spacing w:after="0" w:line="70"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20"/>
          <w:szCs w:val="20"/>
          <w:color w:val="auto"/>
        </w:rPr>
        <w:t xml:space="preserve">Part III  </w:t>
      </w:r>
      <w:r>
        <w:rPr>
          <w:rFonts w:ascii="Times New Roman" w:cs="Times New Roman" w:eastAsia="Times New Roman" w:hAnsi="Times New Roman"/>
          <w:sz w:val="20"/>
          <w:szCs w:val="20"/>
          <w:color w:val="B4B4B4"/>
        </w:rPr>
        <w:t>. . . . . . . . . . . . . . . . . . . . . . . . . . . . . . . . . . . . . . . . . . . . . . . . . . . . . . . . . . . . . . . . . . . . . . . . . . . . . . . . . . . . . . . . . .</w:t>
      </w:r>
      <w:r>
        <w:rPr>
          <w:rFonts w:ascii="Times New Roman" w:cs="Times New Roman" w:eastAsia="Times New Roman" w:hAnsi="Times New Roman"/>
          <w:sz w:val="20"/>
          <w:szCs w:val="20"/>
          <w:color w:val="auto"/>
        </w:rPr>
        <w:tab/>
        <w:t>62</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10.</w:t>
        <w:tab/>
        <w:t xml:space="preserve">Directors, Executive Officers, and Corporate Governance </w:t>
      </w:r>
      <w:r>
        <w:rPr>
          <w:rFonts w:ascii="Times New Roman" w:cs="Times New Roman" w:eastAsia="Times New Roman" w:hAnsi="Times New Roman"/>
          <w:sz w:val="20"/>
          <w:szCs w:val="20"/>
          <w:color w:val="B4B4B4"/>
        </w:rPr>
        <w:t>. . . . . . . . . . . . . . . . . . . . . . . . . . . . . . . . . . . .</w:t>
      </w:r>
      <w:r>
        <w:rPr>
          <w:rFonts w:ascii="Times New Roman" w:cs="Times New Roman" w:eastAsia="Times New Roman" w:hAnsi="Times New Roman"/>
          <w:sz w:val="20"/>
          <w:szCs w:val="20"/>
          <w:color w:val="auto"/>
        </w:rPr>
        <w:tab/>
        <w:t>62</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11.</w:t>
        <w:tab/>
        <w:t xml:space="preserve">Executive Compensation </w:t>
      </w:r>
      <w:r>
        <w:rPr>
          <w:rFonts w:ascii="Times New Roman" w:cs="Times New Roman" w:eastAsia="Times New Roman" w:hAnsi="Times New Roman"/>
          <w:sz w:val="20"/>
          <w:szCs w:val="20"/>
          <w:color w:val="B4B4B4"/>
        </w:rPr>
        <w:t>. . . . . . . . . . . . . . . . . . . . . . . . . . . . . . . . . . . . . . . . . . . . . . . . . . . . . . . . . . . . . .</w:t>
      </w:r>
      <w:r>
        <w:rPr>
          <w:rFonts w:ascii="Times New Roman" w:cs="Times New Roman" w:eastAsia="Times New Roman" w:hAnsi="Times New Roman"/>
          <w:sz w:val="20"/>
          <w:szCs w:val="20"/>
          <w:color w:val="auto"/>
        </w:rPr>
        <w:tab/>
        <w:t>62</w:t>
      </w:r>
    </w:p>
    <w:p>
      <w:pPr>
        <w:spacing w:after="0" w:line="57"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12.</w:t>
        <w:tab/>
        <w:t xml:space="preserve">Security Ownership of Certain Beneficial Owners and Management and Related Stockholder Matters </w:t>
      </w: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auto"/>
        </w:rPr>
        <w:tab/>
        <w:t>62</w:t>
      </w:r>
    </w:p>
    <w:p>
      <w:pPr>
        <w:spacing w:after="0" w:line="83"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13.</w:t>
        <w:tab/>
        <w:t xml:space="preserve">Certain Relationships and Related Transactions, and Director Independence </w:t>
      </w:r>
      <w:r>
        <w:rPr>
          <w:rFonts w:ascii="Times New Roman" w:cs="Times New Roman" w:eastAsia="Times New Roman" w:hAnsi="Times New Roman"/>
          <w:sz w:val="20"/>
          <w:szCs w:val="20"/>
          <w:color w:val="B4B4B4"/>
        </w:rPr>
        <w:t>. . . . . . . . . . . . . . . . . . . . . .</w:t>
      </w:r>
      <w:r>
        <w:rPr>
          <w:rFonts w:ascii="Times New Roman" w:cs="Times New Roman" w:eastAsia="Times New Roman" w:hAnsi="Times New Roman"/>
          <w:sz w:val="20"/>
          <w:szCs w:val="20"/>
          <w:color w:val="auto"/>
        </w:rPr>
        <w:tab/>
        <w:t>62</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14.</w:t>
        <w:tab/>
        <w:t xml:space="preserve">Principal Accountant Fees and Services  </w:t>
      </w:r>
      <w:r>
        <w:rPr>
          <w:rFonts w:ascii="Times New Roman" w:cs="Times New Roman" w:eastAsia="Times New Roman" w:hAnsi="Times New Roman"/>
          <w:sz w:val="20"/>
          <w:szCs w:val="20"/>
          <w:color w:val="B4B4B4"/>
        </w:rPr>
        <w:t>. . . . . . . . . . . . . . . . . . . . . . . . . . . . . . . . . . . . . . . . . . . . . . . . . .</w:t>
      </w:r>
      <w:r>
        <w:rPr>
          <w:rFonts w:ascii="Times New Roman" w:cs="Times New Roman" w:eastAsia="Times New Roman" w:hAnsi="Times New Roman"/>
          <w:sz w:val="20"/>
          <w:szCs w:val="20"/>
          <w:color w:val="auto"/>
        </w:rPr>
        <w:tab/>
        <w:t>62</w:t>
      </w:r>
    </w:p>
    <w:p>
      <w:pPr>
        <w:spacing w:after="0" w:line="70"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20"/>
          <w:szCs w:val="20"/>
          <w:color w:val="auto"/>
        </w:rPr>
        <w:t xml:space="preserve">Part IV </w:t>
      </w:r>
      <w:r>
        <w:rPr>
          <w:rFonts w:ascii="Times New Roman" w:cs="Times New Roman" w:eastAsia="Times New Roman" w:hAnsi="Times New Roman"/>
          <w:sz w:val="20"/>
          <w:szCs w:val="20"/>
          <w:color w:val="B4B4B4"/>
        </w:rPr>
        <w:t>. . . . . . . . . . . . . . . . . . . . . . . . . . . . . . . . . . . . . . . . . . . . . . . . . . . . . . . . . . . . . . . . . . . . . . . . . . . . . . . . . . . . . . . . . .</w:t>
      </w:r>
      <w:r>
        <w:rPr>
          <w:rFonts w:ascii="Times New Roman" w:cs="Times New Roman" w:eastAsia="Times New Roman" w:hAnsi="Times New Roman"/>
          <w:sz w:val="20"/>
          <w:szCs w:val="20"/>
          <w:color w:val="auto"/>
        </w:rPr>
        <w:tab/>
        <w:t>63</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15.</w:t>
        <w:tab/>
        <w:t xml:space="preserve">Exhibits and Financial Statement Schedules </w:t>
      </w:r>
      <w:r>
        <w:rPr>
          <w:rFonts w:ascii="Times New Roman" w:cs="Times New Roman" w:eastAsia="Times New Roman" w:hAnsi="Times New Roman"/>
          <w:sz w:val="20"/>
          <w:szCs w:val="20"/>
          <w:color w:val="B4B4B4"/>
        </w:rPr>
        <w:t>. . . . . . . . . . . . . . . . . . . . . . . . . . . . . . . . . . . . . . . . . . . . . . .</w:t>
      </w:r>
      <w:r>
        <w:rPr>
          <w:rFonts w:ascii="Times New Roman" w:cs="Times New Roman" w:eastAsia="Times New Roman" w:hAnsi="Times New Roman"/>
          <w:sz w:val="20"/>
          <w:szCs w:val="20"/>
          <w:color w:val="auto"/>
        </w:rPr>
        <w:tab/>
        <w:t>63</w:t>
      </w:r>
    </w:p>
    <w:p>
      <w:pPr>
        <w:spacing w:after="0" w:line="70" w:lineRule="exact"/>
        <w:rPr>
          <w:sz w:val="20"/>
          <w:szCs w:val="20"/>
          <w:color w:val="auto"/>
        </w:rPr>
      </w:pPr>
    </w:p>
    <w:p>
      <w:pPr>
        <w:ind w:left="500"/>
        <w:spacing w:after="0"/>
        <w:tabs>
          <w:tab w:leader="none" w:pos="1380" w:val="left"/>
          <w:tab w:leader="none" w:pos="9940" w:val="left"/>
        </w:tabs>
        <w:rPr>
          <w:sz w:val="20"/>
          <w:szCs w:val="20"/>
          <w:color w:val="auto"/>
        </w:rPr>
      </w:pPr>
      <w:r>
        <w:rPr>
          <w:rFonts w:ascii="Times New Roman" w:cs="Times New Roman" w:eastAsia="Times New Roman" w:hAnsi="Times New Roman"/>
          <w:sz w:val="20"/>
          <w:szCs w:val="20"/>
          <w:color w:val="auto"/>
        </w:rPr>
        <w:t>Item 16.</w:t>
        <w:tab/>
        <w:t xml:space="preserve">Form 10-K Summary </w:t>
      </w:r>
      <w:r>
        <w:rPr>
          <w:rFonts w:ascii="Times New Roman" w:cs="Times New Roman" w:eastAsia="Times New Roman" w:hAnsi="Times New Roman"/>
          <w:sz w:val="20"/>
          <w:szCs w:val="20"/>
          <w:color w:val="B4B4B4"/>
        </w:rPr>
        <w:t>. . . . . . . . . . . . . . . . . . . . . . . . . . . . . . . . . . . . . . . . . . . . . . . . . . . . . . . . . . . . . . . . .</w:t>
      </w:r>
      <w:r>
        <w:rPr>
          <w:rFonts w:ascii="Times New Roman" w:cs="Times New Roman" w:eastAsia="Times New Roman" w:hAnsi="Times New Roman"/>
          <w:sz w:val="20"/>
          <w:szCs w:val="20"/>
          <w:color w:val="auto"/>
        </w:rPr>
        <w:tab/>
        <w:t>66</w:t>
      </w:r>
    </w:p>
    <w:p>
      <w:pPr>
        <w:spacing w:after="0" w:line="70"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20"/>
          <w:szCs w:val="20"/>
          <w:color w:val="auto"/>
        </w:rPr>
        <w:t xml:space="preserve">SIGNATURES </w:t>
      </w:r>
      <w:r>
        <w:rPr>
          <w:rFonts w:ascii="Times New Roman" w:cs="Times New Roman" w:eastAsia="Times New Roman" w:hAnsi="Times New Roman"/>
          <w:sz w:val="20"/>
          <w:szCs w:val="20"/>
          <w:color w:val="B4B4B4"/>
        </w:rPr>
        <w:t>. . . . . . . . . . . . . . . . . . . . . . . . . . . . . . . . . . . . . . . . . . . . . . . . . . . . . . . . . . . . . . . . . . . . . . . . . . . . . . . . . . . .</w:t>
      </w:r>
      <w:r>
        <w:rPr>
          <w:rFonts w:ascii="Times New Roman" w:cs="Times New Roman" w:eastAsia="Times New Roman" w:hAnsi="Times New Roman"/>
          <w:sz w:val="20"/>
          <w:szCs w:val="20"/>
          <w:color w:val="auto"/>
        </w:rPr>
        <w:tab/>
        <w:t>67</w:t>
      </w:r>
    </w:p>
    <w:p>
      <w:pPr>
        <w:sectPr>
          <w:pgSz w:w="12240" w:h="15840" w:orient="portrait"/>
          <w:cols w:equalWidth="0" w:num="1">
            <w:col w:w="10160"/>
          </w:cols>
          <w:pgMar w:left="1040" w:top="78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160"/>
          </w:cols>
          <w:pgMar w:left="1040" w:top="786" w:right="10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Note Regarding Forward-Looking Statements</w:t>
      </w:r>
    </w:p>
    <w:p>
      <w:pPr>
        <w:spacing w:after="0" w:line="7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This Annual Report on Form 10-K (this “Annual Report”) contains forward-looking statements within the meaning of Section 27A of the Securities Act of 1933, as amended,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uncertainty of government policies and actions after recent U.S. elections in respect to global trade, tariffs and international trade agreements;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this Annual Report and in any of the Company’s subsequent filings made with the Securities and Exchange Commission (the “SEC”). Any forward-looking statement speaks only as of the date of this Annual Report,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ectPr>
          <w:pgSz w:w="12240" w:h="15840" w:orient="portrait"/>
          <w:cols w:equalWidth="0" w:num="1">
            <w:col w:w="10200"/>
          </w:cols>
          <w:pgMar w:left="1000" w:top="78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00"/>
          </w:cols>
          <w:pgMar w:left="1000" w:top="786" w:right="1040"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used in this Annual Report, the terms the “Company,” “we,” “our,” or “us” refer to NN, Inc. and its subsidiaries. As of December 31, 2024, we had 26 facilities in North America, South America, Europe, and China.</w:t>
      </w:r>
    </w:p>
    <w:p>
      <w:pPr>
        <w:spacing w:after="0" w:line="8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20"/>
          <w:szCs w:val="20"/>
          <w:color w:val="auto"/>
        </w:rPr>
        <w:t>Our enterprise and management structure is designed to accelerate growth and further balance our portfolio by aligning our strategic assets and businesses. Our businesses are organized into the Mobile Solutions and Power Solutions groups and are based principally on the end markets they serve.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Segments and Products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Mobile Solutions</w:t>
      </w:r>
    </w:p>
    <w:p>
      <w:pPr>
        <w:spacing w:after="0" w:line="7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9"/>
          <w:szCs w:val="19"/>
          <w:color w:val="auto"/>
        </w:rPr>
        <w:t>Mobile Solutions is focused on growth in the automotive, general industrial, and medical end markets. We have developed an expertise in manufacturing highly complex, tight tolerance, system critical components. Our technical capabilities can be utilized in numerous applications including for use in battery electric, hybrid electric, and internal combustion engine vehicles. The group currently manufactures components on a high-volume basis for use in power steering, braking, transmissions, and gasoline fuel system applications, along with components utilized in heating, ventilation and air conditioning and diesel injection and diesel emissions treatment applications. This expertise has been gained through investment in technical capabilities, processes and systems, and allows us to provide skilled program management and product launch capabilities.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Power Solutions</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Power Solutions is focused on growth in the electrical, general industrial, automotive, and medical end markets. Within this group we combine materials science expertise with advanced engineering and production capabilities to design and manufacture a broad range of high-precision metal components, assemblies, and finished devices used in applications ranging from power control to transportation electrification. We manufacture a variety of products including electrical contacts, connectors, contact assemblies, and precision stampings for the electrical end market and high precision products for the aerospace and defense end market utilizing our extensive process technologies. Our medical business includes the production of a variety of tools and instruments for the orthopedics and medical/surgical end markets.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Strengths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High-precision manufacturing capabilities</w:t>
      </w:r>
    </w:p>
    <w:p>
      <w:pPr>
        <w:spacing w:after="0" w:line="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believe our ability to produce high-precision parts at high production volumes is among the best in the market. Our technology platform consists of high precision machining, progressive stamping, laser welding, material science, assembly, and design optimization.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volume level requested by our customers. As the need for tight-tolerance precision parts, subassemblies, and devices continues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Differentiated, system-critical products</w:t>
      </w:r>
    </w:p>
    <w:p>
      <w:pPr>
        <w:spacing w:after="0" w:line="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The tight-tolerance and high-quality nature of our precision products is specifically suited for use in the most demanding applications that require superior reliability. Our products are critical components to the operation and reliability of larger mechanical and electrical systems. Precision parts are difficult to manufacture and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88" w:lineRule="exact"/>
        <w:rPr>
          <w:sz w:val="20"/>
          <w:szCs w:val="20"/>
          <w:color w:val="auto"/>
        </w:rPr>
      </w:pPr>
    </w:p>
    <w:p>
      <w:pPr>
        <w:ind w:right="380"/>
        <w:spacing w:after="0" w:line="309" w:lineRule="auto"/>
        <w:rPr>
          <w:sz w:val="20"/>
          <w:szCs w:val="20"/>
          <w:color w:val="auto"/>
        </w:rPr>
      </w:pPr>
      <w:r>
        <w:rPr>
          <w:rFonts w:ascii="Times New Roman" w:cs="Times New Roman" w:eastAsia="Times New Roman" w:hAnsi="Times New Roman"/>
          <w:sz w:val="19"/>
          <w:szCs w:val="19"/>
          <w:color w:val="auto"/>
        </w:rPr>
        <w:t>Our ability to make products with tight-tolerance and extreme precision requirements enables our customers to satisfy the critical functionality and performance requirements of their products. We are included in customer designs and deployed in</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40"/>
          </w:cols>
          <w:pgMar w:left="1000" w:top="786" w:right="1000" w:bottom="0" w:gutter="0" w:footer="0" w:header="0"/>
          <w:type w:val="continuous"/>
        </w:sectPr>
      </w:pPr>
    </w:p>
    <w:bookmarkStart w:id="5" w:name="page6"/>
    <w:bookmarkEnd w:id="5"/>
    <w:p>
      <w:pPr>
        <w:ind w:right="180"/>
        <w:spacing w:after="0" w:line="281" w:lineRule="auto"/>
        <w:rPr>
          <w:sz w:val="20"/>
          <w:szCs w:val="20"/>
          <w:color w:val="auto"/>
        </w:rPr>
      </w:pPr>
      <w:r>
        <w:rPr>
          <w:rFonts w:ascii="Times New Roman" w:cs="Times New Roman" w:eastAsia="Times New Roman" w:hAnsi="Times New Roman"/>
          <w:sz w:val="20"/>
          <w:szCs w:val="20"/>
          <w:color w:val="auto"/>
        </w:rPr>
        <w:t>critical systems that involve high cost of failure applications and significant regulatory certification processes, including those for the Underwriters Laboratories.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Complete product lifecycle focus</w:t>
      </w:r>
    </w:p>
    <w:p>
      <w:pPr>
        <w:spacing w:after="0" w:line="7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the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Prototype products are developed for testing, and process validation procedures are instituted. In certain instances, we will file for regulatory production approval and include the customer’s proprietary processes, further reducing supplier changes. We will assist the customer with continuous supply chain management and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us.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blue-chip customer base</w:t>
      </w:r>
    </w:p>
    <w:p>
      <w:pPr>
        <w:spacing w:after="0" w:line="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We maintain relationships with hundreds of customers around the world. Our customers are typically sophisticated, engineering-driven, mechanical and electrical systems manufacturers with long histories of product development and reputations for quality. We have no significant retail exposure, which limits volatility and provides enhanced sales visibility. Relationships with many of our largest customers, in terms of revenue, average more than ten years. We have significant exposure to emerging markets in Asia, South America, and Europe through these global customers as well as key local manufacturers. The diverse nature, size, and reach of our customer base provides resistance to localized market and geographic fluctuations and helps stabilize overall product demand.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global footprint</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26 facilities,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1.7 million square feet of manufacturing space. North America constitutes the largest portion of our manufacturing operations with facilities in the U.S. and Mexico which are strategically located to serve major customers in those markets. Our foreign facilities are located in regional manufacturing hubs in France, Poland, China, and Brazil, and primarily serve global customers in those markets. We believe that the Chinese and South American facilities have significant growth potential as local customer bases expand and the markets for high-precision products grow in those regions.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Synergies</w:t>
      </w:r>
    </w:p>
    <w:p>
      <w:pPr>
        <w:spacing w:after="0" w:line="74"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9"/>
          <w:szCs w:val="19"/>
          <w:color w:val="auto"/>
        </w:rPr>
        <w:t>We continue to realize synergy effects between Mobile Solutions and Power Solutions by pairing our experienced engineering resources and wide-ranging portfolio of process technologies from each business to serve our customers’ ever evolving needs. Recent solutions developed in the electrical, electric vehicle, and general industrial markets leveraged the deep experience and expertise from each business to respond to tight, stringent requirements - all of which in a custom and innovative manner to meet each customer’s unique demand requirements. In addition, we continue to experience customer demand that utilizes multiple facilities from both businesses on a global basis due to our track record of quality and strong performance.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Our products are supplied primarily to manufacturers for use in a broad range of industrial applications, including automotive; electrical; agricultural; construction; residential devices and equipment; aerospace and defense; medical; heating, ventilation, and air conditioning; and fluid power and diesel engines. Sales to each of our top ten customers are made to multiple customer locations and divisions throughout the world. In 2024, our top ten customers accounted for approximately 51% of our net sales. In 2024, 64% of our products were sold to customers in North America, 17% to customers in Asia, 10% to customers in South America, and 9% to customers in Europe.</w:t>
      </w:r>
    </w:p>
    <w:p>
      <w:pPr>
        <w:spacing w:after="0" w:line="8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w:t>
      </w:r>
    </w:p>
    <w:p>
      <w:pPr>
        <w:sectPr>
          <w:pgSz w:w="12240" w:h="15840" w:orient="portrait"/>
          <w:cols w:equalWidth="0" w:num="1">
            <w:col w:w="10240"/>
          </w:cols>
          <w:pgMar w:left="1000" w:top="793" w:right="1000" w:bottom="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40"/>
          </w:cols>
          <w:pgMar w:left="1000" w:top="793" w:right="100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Our marketing strategy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Core Principles</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Our success depends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in the communities in which we operate.</w:t>
      </w:r>
    </w:p>
    <w:p>
      <w:pPr>
        <w:spacing w:after="0" w:line="8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Throughout our business, we foster an ethical, safe, and supportive workplace where our employees thrive. We believe an inclusive workplace results in business growth and encourages increased innovation, retention of talent, and a more engaged workforce. Respect for human rights is fundamental to our business and our commitment to ethical business conduct, as is embodied by our Human Rights Policy, which sets forth our expectations related to workplace discrimination; workplace conditions; and freedom of association.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Headcount</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As of December 31, 2024, we employed approximately 2,600 full and part-time employees and 300 temporary workers, which includes approximately 1,000 employees in the U.S. and 1,900 employees in other countries employed by our international subsidiaries. Of our total employment, approximately 12% are management/staff employees and 88% are production employees. Our employees in the France, Brazil, and Mexico City plants are subject to labor council relationships that vary due to the diverse countries in which we operate. We believe we have a good working relationship with our employees and the labor council that represent them.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Benefits, and Employee Health and Safety</w:t>
      </w:r>
    </w:p>
    <w:p>
      <w:pPr>
        <w:spacing w:after="0" w:line="7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Our compensation programs are based on a strong alignment between pay and performance, and are designed to reward both financial and operational successes and support actions that drive stockholder value creation at all organizational levels. We use a combination of programs (which vary by geography and level) to attract and retain our employees, including annual performance bonuses, periodic gainsharing bonuses, and equity awards.</w:t>
      </w:r>
    </w:p>
    <w:p>
      <w:pPr>
        <w:spacing w:after="0" w:line="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We also provide our employees and their families access to a range of benefits, including health insurance benefits, employer-paid life and disability insurance, health savings and flexible spending accounts, 401(k) match, vacation and paid time off, wellness offerings, education assistance, and an employee assistance program.</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health and safety of our employees and anyone who conducts business on our behalf is very important to us. Our commitment to safety starts at the top levels of our organization. We believe a safe and secure workplace is fundamental to our success. We are also committed to engaging our employees to continually improve health and safety by acting upon opportunities to reduce risk and improve our safety and health performance. In addition, we offer training programs on a regular basis. We maintain comprehensive safety programs focused on identifying hazards and eliminating risks that can lead to work-place injuries.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w:t>
      </w:r>
    </w:p>
    <w:p>
      <w:pPr>
        <w:spacing w:after="0" w:line="7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We invest resources in professional development to improve employee motivation, performance and engagement. Our annual talent management program helps identify needs at multiple levels, enabling us to provide employees with the resources they need to help achieve their career goals, build skills and lead their organizations. Further, annual goal-setting and development opportunities for employees and leaders helps our people align their professional experience with the Company’s business objectives and encourages them to take ownership of their development and career paths.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We use regular talent management and performance evaluation processes to inform the Company’s internal development processes and to calibrate assessment of individual performance organizationally. These activities form the basis for succession planning activities, up to and including the senior leadership level.</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40"/>
          </w:cols>
          <w:pgMar w:left="1000" w:top="786" w:right="1000" w:bottom="0" w:gutter="0" w:footer="0" w:header="0"/>
          <w:type w:val="continuous"/>
        </w:sectPr>
      </w:pPr>
    </w:p>
    <w:bookmarkStart w:id="7" w:name="page8"/>
    <w:bookmarkEnd w:id="7"/>
    <w:p>
      <w:pPr>
        <w:ind w:right="40"/>
        <w:spacing w:after="0" w:line="266" w:lineRule="auto"/>
        <w:rPr>
          <w:sz w:val="20"/>
          <w:szCs w:val="20"/>
          <w:color w:val="auto"/>
        </w:rPr>
      </w:pPr>
      <w:r>
        <w:rPr>
          <w:rFonts w:ascii="Times New Roman" w:cs="Times New Roman" w:eastAsia="Times New Roman" w:hAnsi="Times New Roman"/>
          <w:sz w:val="20"/>
          <w:szCs w:val="20"/>
          <w:color w:val="auto"/>
        </w:rPr>
        <w:t>We also have apprenticeships, internships, and cooperative education programs in place at certain locations, which we intend to expand more broadly across the company. These programs allow us to provide a combination of education and employment options that deliver depth and context and help them build a long-term career path.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Mobile Solutions</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In the market in which Mobile Solutions operates, internal production of components by our customers can impact our business as the customers weigh the risk of outsourcing strategically critical components or producing in-house. Our primary competitors are: Anton Häring KG; A. Berger Holding GmbH &amp; Co. KG; Brovedani Group, Burgmaier Technologies GmbH &amp; Co. KG; CIE Automotive, S.A.; IMS Companies; and MacLean-Fogg Component Solutions. We believe that we generally win new business on the basis of our technical competence, proven track record of successful product development and global platform, as well as on quality, price, and service.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Power Solutions</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Power Solutions operates in competitive but very fragmented supply chains. We must compete with numerous companies in each industry market segment. Our primary competitors are: Checon Corporation; Deringer-Ney, Inc.; Electrical Contacts, Ltd.; Interplex Industries, Inc.; J&amp;J Machining, LLC; Norstan, Inc.; Owens Industries, Inc.; and Precinmac Precision Machining. We believe that competition within the electrical end market is based principally on quality, price, design capabilities, and speed of responsiveness and delivery. We believe that our competitive strengths are product development, tool design, fabrication, tight tolerance processes, and customer solutions. With these strengths, we have built our reputation in the marketplace as a quality producer of technically difficult products.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Mobile Solutions</w:t>
      </w:r>
    </w:p>
    <w:p>
      <w:pPr>
        <w:spacing w:after="0" w:line="7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auto"/>
        </w:rPr>
        <w:t>Mobile Solutions produces products from a wide variety of metals in various forms from various sources located in North America, Europe, South America, and Asia. Basic types include hot rolled steel, cold rolled steel (both carbon and alloy), stainless steel, steel alloys, copper alloys, extruded aluminum, die cast aluminum, aluminum alloy bar, gray and ductile iron castings, hot and cold forgings, titanium alloys, plastics, and mechanical tubing. Some material is purchased directly under contracts, some is consigned by the customer, and some is purchased directly from the steel mills.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Power Solutions</w:t>
      </w:r>
    </w:p>
    <w:p>
      <w:pPr>
        <w:spacing w:after="0" w:line="7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Power Solutions uses a wide variety of metals in various forms, including precious metals like gold, silver, palladium, and platinum, as well as copper, copper alloys, brass, brass alloys, and plastics. Through our diverse network of suppliers, we minimize supplier concentration risk and provide a stable supply of raw materials at competitive pricing. This group also procures metal stampings from several domestic and foreign suppliers. Power Solutions bases purchase decisions on quality, service and price. Generally, we do not enter into long term supply contracts with our suppliers or commit to maintain minimum monthly purchases of materials. However, we carefully manage raw material price volatility, particularly with respect to precious metals, through the use of consignment agreements, which allow us to buy the precious metals on the same day customer shipments are priced, thereby minimizing risk of price changes from procurement to product shipment.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 and Cost Pressures</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In each of our segments, we at times have been affected by upward price pressure on the raw materials we purchase due to changes in commodity pricing. In general, we pass through material cost fluctuations to our customers in the form of changes in selling price. Most of the raw materials we use are purchased from various suppliers and are typically available from numerous sources, some of which are located in China and Europe. Supply chain disruptions, resulting in supply shortages and higher shipping charges, have impacted our suppliers and could continue to impact our ability to maintain supplies of products and the costs associated with obtaining raw materials and key components. We continue to monitor impacts on our supply chain in order to maintain regular and timely supply of raw materials to our business segments.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Trademarks and Licenses</w:t>
      </w:r>
    </w:p>
    <w:p>
      <w:pPr>
        <w:spacing w:after="0" w:line="7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We have several U.S. patents, patent applications and trademarks for various trade names. However, we cannot be certain that we would be able to protect and enforce our intellectual property rights against third parties, and if we cannot do so, we may face increased competition and diminished net sales.</w:t>
      </w:r>
    </w:p>
    <w:p>
      <w:pPr>
        <w:spacing w:after="0" w:line="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Furthermore, third parties may assert infringement claims against us based on their patents or other intellectual property, and we may have to pay substantial damages and/or redesign our products if we are ultimately found to infringe. Even if such intellectual property claims against us are without merit, investigating and defending these types of lawsuits takes significant time, may be expensive and may divert management attention from other business concerns.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40"/>
          </w:cols>
          <w:pgMar w:left="1000" w:top="793" w:right="1000" w:bottom="0" w:gutter="0" w:footer="0" w:header="0"/>
          <w:type w:val="continuous"/>
        </w:sectPr>
      </w:pPr>
    </w:p>
    <w:bookmarkStart w:id="8" w:name="page9"/>
    <w:bookmarkEnd w:id="8"/>
    <w:p>
      <w:pPr>
        <w:ind w:right="360"/>
        <w:spacing w:after="0" w:line="260" w:lineRule="auto"/>
        <w:rPr>
          <w:sz w:val="20"/>
          <w:szCs w:val="20"/>
          <w:color w:val="auto"/>
        </w:rPr>
      </w:pPr>
      <w:r>
        <w:rPr>
          <w:rFonts w:ascii="Times New Roman" w:cs="Times New Roman" w:eastAsia="Times New Roman" w:hAnsi="Times New Roman"/>
          <w:sz w:val="20"/>
          <w:szCs w:val="20"/>
          <w:color w:val="auto"/>
        </w:rPr>
        <w:t>Additionally, we rely on certain data and processes, including trade secrets and know-how, and the success of our business depends, to some extent, on such information remaining confidential. Each officer is subject to a non-competition and confidentiality agreement that seeks to protect this information. Additionally, all employees are subject to company code of ethics policies that prohibit the disclosure of information critical to the operations of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 Nature of Business</w:t>
      </w:r>
    </w:p>
    <w:p>
      <w:pPr>
        <w:spacing w:after="0" w:line="7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automotive sales tend to slow in July and December, and sales to original equipment manufacturers are often stronger immediately preceding and following the launch of new products. However, as a whole, we are not materially impacted by seasonality.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Regulations and Environmental Matters</w:t>
      </w:r>
    </w:p>
    <w:p>
      <w:pPr>
        <w:spacing w:after="0" w:line="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Our operations are subject to extensive federal, state, local, and foreign regulatory requirements, including those intended to protect public health and the environment. In the U.S. certain of our products and operations are regulated by the Environmental Protection Agency. Similar regulations have been adopted by authorities in foreign countries where we sell our products, and by state and local authorities in the U.S. In order to conduct our operations in compliance with these laws and regulations we must obtain and maintain numerous permits, approvals and certificates from various federal, state, local, and foreign governmental authorities.</w:t>
      </w:r>
    </w:p>
    <w:p>
      <w:pPr>
        <w:spacing w:after="0" w:line="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are also required to comply with increasingly complex and changing laws and regulations enacted to protect business and personal data in the U.S. and other jurisdictions regarding privacy, data protection, and data security, including those related to the collection, storage, use, transmission, and protection of personal information and other customer, supplier or employee data. Such privacy and data protection laws and regulations, and the interpretation and enforcement of such laws and regulations, are continuously developing and evolving and there is significant uncertainty with respect to how compliance with these laws and regulations may evolve and the costs and complexity of future compliance.</w:t>
      </w:r>
    </w:p>
    <w:p>
      <w:pPr>
        <w:spacing w:after="0" w:line="88"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9"/>
          <w:szCs w:val="19"/>
          <w:color w:val="auto"/>
        </w:rPr>
        <w:t>Based on information compiled to date, management believes that our current operations are in compliance with applicable governmental laws and regulations, the violation of which could have a material adverse effect on our business and financial condition. As of the date hereof, compliance with these laws and regulations has not had a material effect on our capital expenditures, results of operations, and competitive position. For additional information, see “Item 1A - Risk Factors.”</w:t>
      </w:r>
    </w:p>
    <w:p>
      <w:pPr>
        <w:spacing w:after="0" w:line="6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color w:val="auto"/>
        </w:rPr>
        <w:t>The potential impact of climate change on our operations is unclear. Climate change could result in an increase in severe weather events, such as hurricanes, tropical storms, blizzards and ice storms, which often results in delays or other negative consequences for our manufacturing operations, which could negatively impact our financial results. We have not identified any, and we do not believe there to be in the near term, material impacts on our business, financial condition or results of operations as a result of compliance with legislation or regulatory rules regarding climate change or from the known physical effects of climate change. Increased regulation and other climate change concerns, however, could subject us to additional costs and restrictions and could negatively affect our business, operations and financial results.</w:t>
      </w:r>
    </w:p>
    <w:p>
      <w:pPr>
        <w:spacing w:after="0" w:line="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In May 2022, we released our inaugural Sustainability Report which established our global sustainability strategy. We conducted a comprehensive environmental, social and governance (“ESG”) materiality assessment to identify our most significant economic, environmental and social impacts. The material ESG topics identified during this process enable our organization to prioritize our investments and actions and provide meaningful disclosures. We continue to strengthen our focus towards providing meaningful disclosures through our sustainability reports (collectively, “ESG Reports”), which we publish on a periodic basis. Our ESG Reports identify specific actions that we have taken, and will continue to take, to address our ESG priorities. The information provided in our ESG Reports, as well as on our website, is not part of this Annual Report, and is therefore not incorporated by reference into this Annual Report or other filings with the SEC.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lists our executive officers as of February 14,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80" w:type="dxa"/>
            <w:vAlign w:val="bottom"/>
          </w:tcPr>
          <w:p>
            <w:pPr>
              <w:spacing w:after="0"/>
              <w:rPr>
                <w:sz w:val="18"/>
                <w:szCs w:val="18"/>
                <w:color w:val="auto"/>
              </w:rPr>
            </w:pPr>
          </w:p>
        </w:tc>
        <w:tc>
          <w:tcPr>
            <w:tcW w:w="660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43"/>
        </w:trPr>
        <w:tc>
          <w:tcPr>
            <w:tcW w:w="2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Harold C. Bevis</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c>
          <w:tcPr>
            <w:tcW w:w="80" w:type="dxa"/>
            <w:vAlign w:val="bottom"/>
          </w:tcPr>
          <w:p>
            <w:pPr>
              <w:spacing w:after="0"/>
              <w:rPr>
                <w:sz w:val="21"/>
                <w:szCs w:val="21"/>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r>
      <w:tr>
        <w:trPr>
          <w:trHeight w:val="255"/>
        </w:trPr>
        <w:tc>
          <w:tcPr>
            <w:tcW w:w="2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Christopher H. Bohnert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58</w:t>
            </w:r>
          </w:p>
        </w:tc>
        <w:tc>
          <w:tcPr>
            <w:tcW w:w="80" w:type="dxa"/>
            <w:vAlign w:val="bottom"/>
          </w:tcPr>
          <w:p>
            <w:pPr>
              <w:spacing w:after="0"/>
              <w:rPr>
                <w:sz w:val="22"/>
                <w:szCs w:val="22"/>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tc>
      </w:tr>
      <w:tr>
        <w:trPr>
          <w:trHeight w:val="255"/>
        </w:trPr>
        <w:tc>
          <w:tcPr>
            <w:tcW w:w="2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Timothy M. French</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61</w:t>
            </w:r>
          </w:p>
        </w:tc>
        <w:tc>
          <w:tcPr>
            <w:tcW w:w="80" w:type="dxa"/>
            <w:vAlign w:val="bottom"/>
          </w:tcPr>
          <w:p>
            <w:pPr>
              <w:spacing w:after="0"/>
              <w:rPr>
                <w:sz w:val="22"/>
                <w:szCs w:val="22"/>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Senior Vice President and Chief Operating Officer</w:t>
            </w:r>
          </w:p>
        </w:tc>
      </w:tr>
      <w:tr>
        <w:trPr>
          <w:trHeight w:val="255"/>
        </w:trPr>
        <w:tc>
          <w:tcPr>
            <w:tcW w:w="2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 Gail Nixon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54</w:t>
            </w:r>
          </w:p>
        </w:tc>
        <w:tc>
          <w:tcPr>
            <w:tcW w:w="80" w:type="dxa"/>
            <w:vAlign w:val="bottom"/>
          </w:tcPr>
          <w:p>
            <w:pPr>
              <w:spacing w:after="0"/>
              <w:rPr>
                <w:sz w:val="22"/>
                <w:szCs w:val="22"/>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Senior Vice President and Chief Human Resources Officer</w:t>
            </w:r>
          </w:p>
        </w:tc>
      </w:tr>
      <w:tr>
        <w:trPr>
          <w:trHeight w:val="260"/>
        </w:trPr>
        <w:tc>
          <w:tcPr>
            <w:tcW w:w="2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Jami A. Statham</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44</w:t>
            </w:r>
          </w:p>
        </w:tc>
        <w:tc>
          <w:tcPr>
            <w:tcW w:w="80" w:type="dxa"/>
            <w:vAlign w:val="bottom"/>
          </w:tcPr>
          <w:p>
            <w:pPr>
              <w:spacing w:after="0"/>
              <w:rPr>
                <w:sz w:val="22"/>
                <w:szCs w:val="22"/>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Senior Vice President, General Counsel and Corporate Secretary</w:t>
            </w:r>
          </w:p>
        </w:tc>
      </w:tr>
    </w:tbl>
    <w:p>
      <w:pPr>
        <w:spacing w:after="0" w:line="200" w:lineRule="exact"/>
        <w:rPr>
          <w:sz w:val="20"/>
          <w:szCs w:val="20"/>
          <w:color w:val="auto"/>
        </w:rPr>
      </w:pP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20"/>
          </w:cols>
          <w:pgMar w:left="1000" w:top="793" w:right="1020" w:bottom="0" w:gutter="0" w:footer="0" w:header="0"/>
          <w:type w:val="continuous"/>
        </w:sectPr>
      </w:pPr>
    </w:p>
    <w:bookmarkStart w:id="9" w:name="page10"/>
    <w:bookmarkEnd w:id="9"/>
    <w:p>
      <w:pPr>
        <w:ind w:right="160"/>
        <w:spacing w:after="0" w:line="256" w:lineRule="auto"/>
        <w:rPr>
          <w:sz w:val="20"/>
          <w:szCs w:val="20"/>
          <w:color w:val="auto"/>
        </w:rPr>
      </w:pPr>
      <w:r>
        <w:rPr>
          <w:rFonts w:ascii="Times New Roman" w:cs="Times New Roman" w:eastAsia="Times New Roman" w:hAnsi="Times New Roman"/>
          <w:sz w:val="20"/>
          <w:szCs w:val="20"/>
          <w:color w:val="auto"/>
        </w:rPr>
        <w:t>Harold C. Bevis has served the Company as President, Chief Executive Officer and Director since May 2023. Prior to joining the Company, Mr. Bevis served as President and Chief Executive Officer of Commercial Vehicle Group, Inc. (“CVGI”), from March 2020 to May 2023, and as a Director from June 2014 to May 2023. Mr. Bevis served as Chief Executive Officer of Boxlight Corporation from January 2020 to March 2020 and as a Director from March 2018 to March 2020. Previously, Mr. Bevis served as President of OmniMax International from October 2017 to February 2019 and President, Chief Executive Officer and Director of Xerium Technologies, Inc. from August 2012 to April 2017.</w:t>
      </w:r>
    </w:p>
    <w:p>
      <w:pPr>
        <w:spacing w:after="0" w:line="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Christopher H. Bohnert was appointed Senior Vice President and Chief Financial Officer in June 2024. Prior to joining the Company, Mr. Bohnert served as advisor to the CEO and CFO at CVGI from September 2022 to June 2024 and as Chief Financial Officer of CVGI from October 2020 to September 2022. Previously, Mr. Bohnert served as Chief Accounting Officer at Calumet Specialty Products Partners, L.P. from October 2017 to August 2019 and as Chief Financial Officer of its Finished Lubricants &amp; Chemicals business from August 2019 through October 2020.</w:t>
      </w:r>
    </w:p>
    <w:p>
      <w:pPr>
        <w:spacing w:after="0" w:line="8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Timothy M. French has served the Company as Senior Vice President and Chief Operating Officer since August 2023. Prior to joining the Company, Mr. French was President of Synergein Solutions Limited, which provides executive and C-suite level interim management and consulting services to manufacturing companies, from September 2018 to August 2023. Previously, Mr. French served as Chief Operating Officer at ProAmpac, a leading global flexible packaging company, from 2010 to 2018.</w:t>
      </w:r>
    </w:p>
    <w:p>
      <w:pPr>
        <w:spacing w:after="0" w:line="8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D. Gail Nixon has served the Company as Senior Vice President and Chief Human Resources Officer since January 2018. Ms. Nixon joined the Company in 2007 and previously served as our Vice President of Human Resources as well as Corporate Human Resources Manager. Ms. Nixon is a member of the Society for Human Resource Management (“SHRM”) and has earned her Senior Professional in Human Resources and SHRM – Senior Certified Professional designations.</w:t>
      </w:r>
    </w:p>
    <w:p>
      <w:pPr>
        <w:spacing w:after="0" w:line="8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Jami A. Statham was appointed Senior Vice President, General Counsel and Corporate Secretary in July 2024. Prior to joining the Company, Ms. Statham served as Executive Director, Deputy General Counsel for Nexteer Automotive Corporation from July 2022 to July 2024, and as Assistant General Counsel from June 2019 to July 2022. Previously, she served as Senior Legal Counsel at Autoneum North America, Inc. from March 2017 to May 2019.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 - SEC Filings</w:t>
      </w:r>
    </w:p>
    <w:p>
      <w:pPr>
        <w:spacing w:after="0" w:line="7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We make available free of charge, in the “Investor Relations” section of our website (www.nninc.com), our annual reports on Form 10-K, quarterly reports on Form 10-Q, current reports on Form 8-K, and amendments to those reports filed or furnished pursuant to Section 13(a) or 15(d) of the Exchange Act, as soon as reasonably practicable after electronically filing such material with, or furnishing it to, the SEC.</w:t>
      </w:r>
    </w:p>
    <w:p>
      <w:pPr>
        <w:spacing w:after="0" w:line="19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following risks and uncertainties may have a material effect on our business, prospects, financial condition, results of operations, and cash flows, and should be considered in connection with the other information contained in this Annual Report on Form 10-K. If any of the events described below were to actually occur, our business, prospects, financial condition, results of operations, or cash flows could be adversely affected, and results could differ materially from expected and historical results. The risks and uncertainties described below are not the only risks facing our company. Risks and uncertainties not currently known to us or that we currently deem to be immaterial also may materially adversely affect our business, prospects, financial condition, results of operations,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Operations</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We depend heavily on a relatively limited number of customers, and the loss of any major customer would have a material adverse effect on our business.</w:t>
      </w:r>
    </w:p>
    <w:p>
      <w:pPr>
        <w:spacing w:after="0" w:line="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20"/>
          <w:szCs w:val="20"/>
          <w:color w:val="auto"/>
        </w:rPr>
        <w:t>During 2024, sales to various U.S. and foreign divisions of our ten largest customers accounted for approximately 51% of our consolidated net sales. The loss of all or a substantial portion of sales to these customers would cause us to lose a substantial portion of our revenue and would lower our operating profit margin and cash flows from operations.</w:t>
      </w:r>
    </w:p>
    <w:p>
      <w:pPr>
        <w:spacing w:after="0" w:line="6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Work stoppages or similar difficulties and unanticipated business disruptions could significantly disrupt our operations, reduce our revenues and materially affect our earnings.</w:t>
      </w:r>
    </w:p>
    <w:p>
      <w:pPr>
        <w:spacing w:after="0" w:line="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auto"/>
        </w:rPr>
        <w:t>We have a complex network of suppliers, owned and leased manufacturing locations, co-manufacturing locations, distribution networks, and information systems that support our ability to consistently provide our products to our customers. Factors that are hard to predict or beyond our control, such as supply chain disruptions, weather, raw material shortages, natural disasters, fires or explosions, political unrest, terrorism, generalized labor unrest, including strikes at our suppliers, customers or end-users or public health crises could damage or disrupt our operations or our customers’, suppliers’, co-manufacturers’ or distributors’ operations. These disruptions may require additional resources to restore our supply chain or distribution network. If we cannot respond to disruptions in our operations, whether by finding alternative suppliers or replacing capacity at key manufacturing or distribution locations, or if we are unable to quickly repair damage to our information, production, or supply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40"/>
          </w:cols>
          <w:pgMar w:left="1000" w:top="793" w:right="1000" w:bottom="0" w:gutter="0" w:footer="0" w:header="0"/>
          <w:type w:val="continuous"/>
        </w:sectPr>
      </w:pPr>
    </w:p>
    <w:bookmarkStart w:id="10" w:name="page11"/>
    <w:bookmarkEnd w:id="10"/>
    <w:p>
      <w:pPr>
        <w:spacing w:after="0" w:line="260" w:lineRule="auto"/>
        <w:rPr>
          <w:sz w:val="20"/>
          <w:szCs w:val="20"/>
          <w:color w:val="auto"/>
        </w:rPr>
      </w:pPr>
      <w:r>
        <w:rPr>
          <w:rFonts w:ascii="Times New Roman" w:cs="Times New Roman" w:eastAsia="Times New Roman" w:hAnsi="Times New Roman"/>
          <w:sz w:val="20"/>
          <w:szCs w:val="20"/>
          <w:color w:val="auto"/>
        </w:rPr>
        <w:t>systems, we may be late in delivering, or be unable to deliver, products to our customers and may also be unable to track orders, inventory, receivables, and payables. If that occurs, our customers’ confidence in us and long-term demand for our products could decline. Any of these events could materially and adversely affect our product sales, financial condition, and operating results.</w:t>
      </w:r>
    </w:p>
    <w:p>
      <w:pPr>
        <w:spacing w:after="0" w:line="7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We operate in and sell products to customers outside the U.S. and are subject to several risks related to doing business internationally.</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We obtain a substantial portion of our raw materials from overseas suppliers, actively participate in overseas manufacturing operations, and sell to a large number of international customers. During the year ended December 31, 2024, sales to customers located outside of the U.S. accounted for 43% of our consolidated net sales. As a result of doing business internationally, we face risks associated with the following:</w:t>
      </w:r>
    </w:p>
    <w:p>
      <w:pPr>
        <w:spacing w:after="0" w:line="23" w:lineRule="exact"/>
        <w:rPr>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tariff regulations, which may make our products more costly to export or import;</w:t>
      </w:r>
    </w:p>
    <w:p>
      <w:pPr>
        <w:spacing w:after="0" w:line="7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monetary and fiscal policies, laws and regulations, and other activities of governments, agencies and similar organizations;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recessions or marked declines specific to a particular country or region;</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imposition of trade restrictions or prohibitions;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imposition of import tariffs or other duties or taxes;</w:t>
      </w:r>
    </w:p>
    <w:p>
      <w:pPr>
        <w:spacing w:after="0" w:line="70" w:lineRule="exact"/>
        <w:rPr>
          <w:rFonts w:ascii="Times New Roman" w:cs="Times New Roman" w:eastAsia="Times New Roman" w:hAnsi="Times New Roman"/>
          <w:sz w:val="20"/>
          <w:szCs w:val="20"/>
          <w:color w:val="auto"/>
        </w:rPr>
      </w:pPr>
    </w:p>
    <w:p>
      <w:pPr>
        <w:ind w:left="720" w:right="300" w:hanging="37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establishing and maintaining relationships with local original equipment manufacturers, distributors and dealers;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staffing and managing geographically diverse operations;</w:t>
      </w:r>
    </w:p>
    <w:p>
      <w:pPr>
        <w:spacing w:after="0" w:line="70" w:lineRule="exact"/>
        <w:rPr>
          <w:rFonts w:ascii="Times New Roman" w:cs="Times New Roman" w:eastAsia="Times New Roman" w:hAnsi="Times New Roman"/>
          <w:sz w:val="20"/>
          <w:szCs w:val="20"/>
          <w:color w:val="auto"/>
        </w:rPr>
      </w:pPr>
    </w:p>
    <w:p>
      <w:pPr>
        <w:ind w:left="720" w:right="120" w:hanging="37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respect to anti-bribery, competition, export and import, trade sanctions, data privacy, environmental, human rights and other laws;</w:t>
      </w:r>
    </w:p>
    <w:p>
      <w:pPr>
        <w:spacing w:after="0" w:line="1" w:lineRule="exact"/>
        <w:rPr>
          <w:rFonts w:ascii="Times New Roman" w:cs="Times New Roman" w:eastAsia="Times New Roman" w:hAnsi="Times New Roman"/>
          <w:sz w:val="20"/>
          <w:szCs w:val="20"/>
          <w:color w:val="auto"/>
        </w:rPr>
      </w:pPr>
    </w:p>
    <w:p>
      <w:pPr>
        <w:ind w:left="720" w:right="280" w:hanging="37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uncertainty, instability, civil unrest, government controls over certain sectors and human rights concerns in countries, including but not limited to, China, in which our suppliers, manufacturing operations, and customers are located; and</w:t>
      </w:r>
    </w:p>
    <w:p>
      <w:pPr>
        <w:spacing w:after="0" w:line="15" w:lineRule="exact"/>
        <w:rPr>
          <w:rFonts w:ascii="Times New Roman" w:cs="Times New Roman" w:eastAsia="Times New Roman" w:hAnsi="Times New Roman"/>
          <w:sz w:val="20"/>
          <w:szCs w:val="20"/>
          <w:color w:val="auto"/>
        </w:rPr>
      </w:pPr>
    </w:p>
    <w:p>
      <w:pPr>
        <w:ind w:left="720" w:hanging="370"/>
        <w:spacing w:after="0" w:line="26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geopolitical environment, wars, conflicts, or trade barriers or blockades in the European Union and Asia, which may adversely affect business activity and economic conditions globally and could continue to contribute to instability in global financial and foreign exchange markets, as well as disrupt the free movement of goods, services, and people between countries.</w:t>
      </w:r>
    </w:p>
    <w:p>
      <w:pPr>
        <w:spacing w:after="0" w:line="2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prospects, financial condition, results of operations, or cash flows.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addition, we could be adversely affected by violations of the Foreign Corrupt Practices Act (the “FCPA”) and similar worldwide anti-bribery laws, as well as export controls, which may include International Traffic in Arms Regulation and Export Administration Regulations,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or cash flows.</w:t>
      </w:r>
    </w:p>
    <w:p>
      <w:pPr>
        <w:spacing w:after="0" w:line="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prices we pay for raw materials used in our products may be impacted by tariffs. The tariffs initiated by the U.S. government in 2018 under Section 232 of the Trade Expansion Act of 1962 resulted in increased metals prices in the United States. With respect to taxes, trade policies and tariffs there is uncertainty as the political landscape changes due to the recent U.S. presidential and congressional elections. Changes in U.S. administrative policy may lead to significant increases in tariffs for imported goods among other possible changes, which could strain international trade relations and increase the risk that foreign governments implement retaliatory tariffs on goods imported from the United States. Any widespread imposition of new or increased tariffs could increase the cost of, and reduce the demand for, our products, as well as result in increased inflationary pressure, any of which could have a material adverse effect on our business, prospects, financial condition, results of operations, or cash flows. We cannot predict whether, and to what extent, there may be changes to international trade agreements or whether quotas, duties, tariffs, exchange controls or other restrictions on our products will be changed or imposed.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40"/>
          </w:cols>
          <w:pgMar w:left="1000" w:top="793" w:right="1000" w:bottom="0" w:gutter="0" w:footer="0" w:header="0"/>
          <w:type w:val="continuous"/>
        </w:sectPr>
      </w:pPr>
    </w:p>
    <w:bookmarkStart w:id="11" w:name="page12"/>
    <w:bookmarkEnd w:id="11"/>
    <w:p>
      <w:pPr>
        <w:ind w:right="20"/>
        <w:spacing w:after="0" w:line="254" w:lineRule="auto"/>
        <w:rPr>
          <w:sz w:val="20"/>
          <w:szCs w:val="20"/>
          <w:color w:val="auto"/>
        </w:rPr>
      </w:pPr>
      <w:r>
        <w:rPr>
          <w:rFonts w:ascii="Times New Roman" w:cs="Times New Roman" w:eastAsia="Times New Roman" w:hAnsi="Times New Roman"/>
          <w:sz w:val="20"/>
          <w:szCs w:val="20"/>
          <w:color w:val="auto"/>
        </w:rPr>
        <w:t>In addition, an open conflict or war across any region could affect our ability to obtain raw materials. The military conflicts (including the ongoing war between Russia and Ukraine and conflict in the Middle East), and related sanctions, export controls or other actions that may be initiated by nations could adversely affect our business and our supply chain or our business partners or customers in other countries. If we are unable to source our products from the countries where we wish to purchase them, either because of the occurrence or threat of wars or other conflicts, regulatory changes or for any other reason, or if the cost of doing so increases, it could have a material adverse effect on our business, financial condition and results of operations. Disruptions in the supply of raw materials and components could temporarily impair our ability to manufacture our products for our customers or require us to pay higher prices to obtain these raw materials or components from other sources, which could have a material adverse effect on our business and our results of operations.</w:t>
      </w:r>
    </w:p>
    <w:p>
      <w:pPr>
        <w:spacing w:after="0" w:line="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Quality problems with our products could harm our reputation, erode our competitive advantage and could result in a product recall.</w:t>
      </w:r>
    </w:p>
    <w:p>
      <w:pPr>
        <w:spacing w:after="0" w:line="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auto"/>
        </w:rPr>
        <w:t>Quality is important to us and our customers, and our products and solutions are held to high quality and performance standards. In the event our products and solutions fail to meet these standards, our reputation could be harmed, which could damage our competitive advantage, causing us to lose customers and resulting in lower revenues.</w:t>
      </w:r>
    </w:p>
    <w:p>
      <w:pPr>
        <w:spacing w:after="0" w:line="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The majority of our products are components of our customers’ products that are used in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and damage our reputation. A successful product recall claim requiring that we bear a substantial part of the cost of correction, or the loss of a key customer could have a material adverse effect on our business, prospects, financial condition, results of operations, or cash flows.</w:t>
      </w:r>
    </w:p>
    <w:p>
      <w:pPr>
        <w:spacing w:after="0" w:line="7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Our inability to effectively manage the timing, quality and costs of new program launches could adversely affect our financial performance.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In connection with the award of new business, we obligate ourselves to deliver new products and services that are subject to our customers' timing, performance and quality standards. Additionally, we must effectively coordinate the activities of numerous suppliers in order for the program launches of our products to be successful. Given the complexity of new program launches, we may experience difficulties managing product quality, timeliness and associated costs. In addition, new program launches require a significant ramp up of costs; however, our sales related to these new programs generally are dependent upon the timing and success of our customers' introduction of new products. Our inability to effectively manage the timing, quality and costs of these new program launches could adversely affect our financial condition, operating results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the challenge of accurately aligning our capacity with our demand.</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face periods when demand fluctuates significantly higher or lower than our normal operating levels, including variability driven by supply chain inconsistency. Accurately forecasting our expected volumes and appropriately adjusting our capacity are important factors in determining our results of operations and cash flows. We manage our capacity by adjusting our manufacturing workforce, capital expenditures and purchases from suppliers. In periods of weak demand, we may face under-utilized capacity and un-recovered overhead costs, while in periods of strong demand we may experience unplanned costs and could fail to meet customer demand. We cannot guarantee that we will be able to adequately adjust our manufacturing capacity in response to significant changes in customer demand, which could harm our business. If we do not accurately align our manufacturing capabilities with demand it could have a material adverse effect on our results of operations, financial condition and cash flows.</w:t>
      </w:r>
    </w:p>
    <w:p>
      <w:pPr>
        <w:spacing w:after="0" w:line="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Our markets are highly competitive, and many of our competitors have significant advantages that could adversely affect our business.</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face substantial competition in the sale of components, system subassemblies, and finished devices in the vertical end markets into which we sell our products.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cost-effective manner. Due to this competitiveness, we may not be able to increase prices for our products to cover cost increases. In many cases we face pressure from our customers to reduce prices, which could adversely affect our business, prospects, financial condition, results of operations, or cash flows. In addition, our customers may choose to purchase products from one of our competitors rather than pay the prices we seek for our products, which could adversely affect our business, prospects, financial condition, results of operations, or cash flows.</w:t>
      </w:r>
    </w:p>
    <w:p>
      <w:pPr>
        <w:spacing w:after="0" w:line="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The loss of key personnel and the inability to attract and retain qualified employees could have a material adverse impact on our operations.</w:t>
      </w:r>
    </w:p>
    <w:p>
      <w:pPr>
        <w:spacing w:after="0" w:line="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We are dependent on the continued services of key executives and personnel. The departure of our key personnel without adequate replacement could severely disrupt our business operations. Additionally, we need qualified managers and skilled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40"/>
          </w:cols>
          <w:pgMar w:left="1000" w:top="793" w:right="1000" w:bottom="0" w:gutter="0" w:footer="0" w:header="0"/>
          <w:type w:val="continuous"/>
        </w:sectPr>
      </w:pPr>
    </w:p>
    <w:bookmarkStart w:id="12" w:name="page13"/>
    <w:bookmarkEnd w:id="12"/>
    <w:p>
      <w:pPr>
        <w:ind w:right="320"/>
        <w:spacing w:after="0" w:line="260" w:lineRule="auto"/>
        <w:rPr>
          <w:sz w:val="20"/>
          <w:szCs w:val="20"/>
          <w:color w:val="auto"/>
        </w:rPr>
      </w:pPr>
      <w:r>
        <w:rPr>
          <w:rFonts w:ascii="Times New Roman" w:cs="Times New Roman" w:eastAsia="Times New Roman" w:hAnsi="Times New Roman"/>
          <w:sz w:val="20"/>
          <w:szCs w:val="20"/>
          <w:color w:val="auto"/>
        </w:rPr>
        <w:t>employees with technical and manufacturing industry experience to operate our businesses successfully. From time to time, there may be shortages of skilled labor, which may make it more difficult and expensive for us to attract and retain qualified employees. If we are unable to attract and retain qualified individuals or our costs to do so increase significantly, our operations would be materially adversely affected.</w:t>
      </w:r>
    </w:p>
    <w:p>
      <w:pPr>
        <w:spacing w:after="0" w:line="7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A security breach or disruption to our information technology systems could materially adversely affect our business, financial condition, results of operations, and reputation.</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We rely on proprietary and third-party information technology systems to process, transmit and store information and to manage or support our business processes. We store and maintain confidential financial and business information regarding us and persons with whom we do business on our information technology systems. We also collect and hold personally identifiable information of our employees in connection with their employment. In addition, we engage third-party service providers that may collect and hold personally identifiable information of our employees in connection with providing business services to us, including, but not limited to, web hosting, accounting, payroll and benefit services. The protection of the information technology systems on which we rely is critically important to us. We take steps, and generally require third-party service providers to take steps, to protect the security of the information maintained in our and our service providers’ information technology systems, including the use of systems, software, tools, and monitoring to provide security for processing, transmitting, and storing of the information. Despite our security measures and business continuity plans, we face risks associated with security breaches or disruptions to the information technology systems on which we rely, which could result from, among other incidents, attacks by hackers, computer viruses, malware (including “ransomware”), phishing attacks or breaches due to errors or malfeasance by employees, contractors, and others who have access to these systems. Our third-party service providers could also be the source of a cybersecurity attack on, or breach of, our information technology systems. Techniques used in cybersecurity attacks to obtain unauthorized access, disable or sabotage information technology systems change frequently, as data breaches and other cybersecurity events have become increasingly commonplace, including as a result of the intensification of state-sponsored cybersecurity attacks during periods of geopolitical conflict.</w:t>
      </w:r>
    </w:p>
    <w:p>
      <w:pPr>
        <w:spacing w:after="0" w:line="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security measures put in place by us and our service providers cannot provide absolute security and there can be no assurance that we or our service providers will not suffer a data security incident in the future, that unauthorized parties will not gain access to sensitive information stored on our or our service providers’ systems, that such access will not, whether temporarily or permanently, impact, interfere with, or interrupt our operations, or that any such incident will be discovered in a timely manner. Even the most well-protected information, networks, systems, and facilities remain potentially vulnerable as the techniques used in such attempted security breaches evolve and generally are not recognized until launched against a target, and in some cases are designed to not be detected and, in fact, may not be detected. In addition, third-party information technology providers may not provide us with fixes or updates to hardware or software in a manner as to avoid an unauthorized loss or disclosure or to address a known vulnerability, which may subject us to known threats or downtime as a result of those delays. Accordingly, we and our service providers may be unable to anticipate these techniques or to implement adequate security barriers or other preventative measures. Further, we may be required to expend significant additional resources to continue to enhance information security measures and internal processes and procedures or to investigate and remediate any information security vulnerabilities.</w:t>
      </w:r>
    </w:p>
    <w:p>
      <w:pPr>
        <w:spacing w:after="0" w:line="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 data security incident could compromise our or our service providers’ information technology systems, and the information stored by us or our service providers, including personally identifiable information of employees, could be accessed, misused, publicly disclosed, corrupted, lost, or stolen. Any failure to prevent a data breach or a security failure of our or our service providers’ information technology systems could interrupt our operations, result in downtime, divert our planned efforts and resources from other projects, damage our reputation and brand, damage our competitive position, subject us to liability claims or regulatory penalties under laws protecting the privacy of personal information. Similarly, if our third-party service providers fail to use adequate security or data protection processes, or use personal information in an unpermitted or improper manner, we may be liable for certain losses and it may damage our reputation. Various events described above have occurred in the past and may occur in the future. Although impacts of past events have been immaterial, the impacts of such events in the future may materially and adversely affect our business, financial condition, or results of operations.</w:t>
      </w:r>
    </w:p>
    <w:p>
      <w:pPr>
        <w:spacing w:after="0" w:line="8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Pandemics, epidemics, disease outbreaks and other public health crises could materially adversely impact our business, financial condition, results of operations and cash flows.</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Pandemics, epidemics or disease outbreaks in the U.S. or globally have disrupted, and may in the future disrupt, our business, which could materially affect our results of financial condition, results of operations and cash flows. Any such events may adversely impact our global supply chain and global manufacturing operations and cause us to again suspend our operations in countries and states where we operate. In particular, we have experienced, and could continue to experience, among other things: (1) global supply disruptions, especially in China; (2) labor disruptions; (3) an inability to manufacture; (4) an inability to sell and distribute our products to our customers; (5) a decline in customer demand during and following the pandemic, whether as a result of our inability to satisfy customer demand in a timely manner due to raw material shortages, supply chain disruptions, inflationary cost pressures, or work stoppages experienced by one or more of our customers; and (6) an impaired</w:t>
      </w:r>
    </w:p>
    <w:p>
      <w:pPr>
        <w:sectPr>
          <w:pgSz w:w="12240" w:h="15840" w:orient="portrait"/>
          <w:cols w:equalWidth="0" w:num="1">
            <w:col w:w="10240"/>
          </w:cols>
          <w:pgMar w:left="1000" w:top="793" w:right="1000" w:bottom="0"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40"/>
          </w:cols>
          <w:pgMar w:left="1000" w:top="793" w:right="1000" w:bottom="0" w:gutter="0" w:footer="0" w:header="0"/>
          <w:type w:val="continuous"/>
        </w:sectPr>
      </w:pPr>
    </w:p>
    <w:bookmarkStart w:id="13" w:name="page14"/>
    <w:bookmarkEnd w:id="13"/>
    <w:p>
      <w:pPr>
        <w:ind w:right="100"/>
        <w:spacing w:after="0" w:line="258" w:lineRule="auto"/>
        <w:rPr>
          <w:sz w:val="20"/>
          <w:szCs w:val="20"/>
          <w:color w:val="auto"/>
        </w:rPr>
      </w:pPr>
      <w:r>
        <w:rPr>
          <w:rFonts w:ascii="Times New Roman" w:cs="Times New Roman" w:eastAsia="Times New Roman" w:hAnsi="Times New Roman"/>
          <w:sz w:val="20"/>
          <w:szCs w:val="20"/>
          <w:color w:val="auto"/>
        </w:rPr>
        <w:t>ability to access credit and the capital markets, especially in light of the rising interest rates. Any new pandemic or other public health crises, or future public health crises, could have a material impact on our business, financial condition, results of operations and cash flows going forward. To the extent any new pandemic or other public health crises adversely affects our business, financial condition, results of operation and cash flows, it may also have the effect of heightening other risks and uncertainties disclosed below.</w:t>
      </w:r>
    </w:p>
    <w:p>
      <w:pPr>
        <w:spacing w:after="0" w:line="7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Physical effects of climate change or legal, regulatory or market measures intended to address climate change could materially adversely affect our business and operations.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Risks associated with climate change are subject to increasing societal, regulatory and political focus in the U.S. and globally. Shifts in weather patterns caused by climate change could increase the frequency, severity, or duration of certain adverse weather conditions and natural disasters, such as hurricanes, tornadoes, earthquakes, wildfires, droughts, extreme temperatures, or flooding, which could result in more significant business and supply chain interruptions, damage to our products and facilities as well as the infrastructure of our customers, reduced workforce availability, increased costs of raw materials and components, increased liabilities, and decreased revenues than what we have experienced in the past from such events. In addition, increased public concern over climate change could result in new legal or regulatory requirements designed to mitigate the effects of climate change, which could include the adoption of more stringent environmental laws and regulations or stricter enforcement of existing laws and regulations. Such developments could result in increased compliance costs and adverse impacts on raw material sourcing, manufacturing operations, and the distribution of our products, which could adversely affect our business and operations.</w:t>
      </w:r>
    </w:p>
    <w:p>
      <w:pPr>
        <w:spacing w:after="0" w:line="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secure and maintain patent or other intellectual property protection for our intellectual property, our ability to compete will be harmed.</w:t>
      </w:r>
    </w:p>
    <w:p>
      <w:pPr>
        <w:spacing w:after="0" w:line="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We rely upon patents, copyrights, trademarks, and trade secret laws to establish and maintain its proprietary rights for various trade names . There can be no assurance that any of our patents, trademarks or other intellectual property rights will not be challenged, invalidated, or circumvented, or that any rights granted thereunder will provide competitive advantages to us. In addition, there can be no assurance that patents will be issued from pending patent applications filed by us or that claims allowed on any future patents will be sufficiently broad to protect us from infringement. Further, the laws of some foreign countries may not permit the protection of our proprietary rights to the same extent as do the laws of the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Legal and Regulatory Compliance</w:t>
      </w:r>
    </w:p>
    <w:p>
      <w:pPr>
        <w:spacing w:after="0" w:line="6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Our business activities are subject to various laws and regulations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our past or present facilities and at third-party waste disposal sites. We maintain a compliance program to assist in preventing and, if necessary, correcting environmental problems.</w:t>
      </w:r>
    </w:p>
    <w:p>
      <w:pPr>
        <w:spacing w:after="0" w:line="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results of operations, or cash flows.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40"/>
          </w:cols>
          <w:pgMar w:left="1000" w:top="793" w:right="1000" w:bottom="0" w:gutter="0" w:footer="0" w:header="0"/>
          <w:type w:val="continuous"/>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20"/>
          <w:szCs w:val="20"/>
          <w:color w:val="auto"/>
        </w:rPr>
        <w:t>Some of the medical devices that we produce may be subject to regulation by numerous government agencies, including the Food and Drug Administration (“FDA”) and comparable agencies outside the U.S. To varying degrees, each of these agencies requires us to comply with laws and regulations governing the development, testing, manufacturing, labeling, marketing and distribution of medical devices. We cannot guarantee that we will be able to obtain marketing clearance for our new products or enhancements or modifications to existing products. If such approval is obtained, it may:</w:t>
      </w:r>
    </w:p>
    <w:p>
      <w:pPr>
        <w:spacing w:after="0" w:line="24"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 significant amount of time;</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the expenditure of substantial resources;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 stringent clinical and pre-clinical testing, as well as increased post-market surveillance;</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 modifications, repairs or replacements of our products; and</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limitations on the proposed uses of our products.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are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9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U.S. and foreign governmental regulations have become increasingly stringent and more common, and we may become subject to more rigorous regulation by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7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Increasing scrutiny and evolving expectations with respect to our environmental, social and governance practices may impose additional costs on us or expose us to new or additional risks.</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addition to the increased legislative and regulatory attention to climate change, customer, investor, and employee expectations in ESG have been rapidly evolving and increasing. While we have been committed to continuous improvements to our product portfolio to meet anticipated regulatory standard levels, if customers, regulators or investors demand we increase our greenhouse gas emission or renewable energy disclosures or our ESG initiatives, we may have to implement additional reporting standards and reporting requirements. If we fail to meet customer, investor, or employee expectations, we may be unable to attract or retain our consumer base or talent. Further, there can be no assurance that our commitments will be successful, that our products will be accepted by the market, that proposed regulation or deregulation will not have a negative competitive impact or that economic returns will reflect our investments in new product development.</w:t>
      </w:r>
    </w:p>
    <w:p>
      <w:pPr>
        <w:spacing w:after="0" w:line="9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The standards by which ESG efforts and related matters are measured are developing and evolving, and we could be criticized for the scope of our initiatives and goals, or lack thereof. If we fail to comply with the evolving customer or investor or employee expectations and standards, or if we are perceived to have failed to adequately respond to such expectations and standards, we may suffer from reputational damage, which could have an adverse impact on our business or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Capitalization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indebtedness could adversely affect our business, prospects, financial condition, results of operations, or cash flows.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principal amount outstanding under our term loan facility (the “Term Loan Facility”) as of December 31, 2024, was $114.4 million, and based on the interest rate then in effect, annual cash interest payments would be approximately $13.0 million, with an additional $1.1 million accrued as paid-in-kind interest. In addition, we have $15.0 million available for future borrowings under our asset backed credit facility (the “ABL Facility”). Our debt obligations could have important consequences, including:</w:t>
      </w:r>
    </w:p>
    <w:p>
      <w:pPr>
        <w:spacing w:after="0" w:line="84" w:lineRule="exact"/>
        <w:rPr>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vulnerability to adverse economic, industry, or competitive developments;</w:t>
      </w:r>
    </w:p>
    <w:p>
      <w:pPr>
        <w:spacing w:after="0" w:line="70" w:lineRule="exact"/>
        <w:rPr>
          <w:rFonts w:ascii="Times New Roman" w:cs="Times New Roman" w:eastAsia="Times New Roman" w:hAnsi="Times New Roman"/>
          <w:sz w:val="20"/>
          <w:szCs w:val="20"/>
          <w:color w:val="auto"/>
        </w:rPr>
      </w:pPr>
    </w:p>
    <w:p>
      <w:pPr>
        <w:ind w:left="720" w:right="540" w:hanging="37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20"/>
          </w:cols>
          <w:pgMar w:left="1000" w:top="793" w:right="1020" w:bottom="0" w:gutter="0" w:footer="0" w:header="0"/>
          <w:type w:val="continuous"/>
        </w:sectPr>
      </w:pPr>
    </w:p>
    <w:bookmarkStart w:id="15" w:name="page16"/>
    <w:bookmarkEnd w:id="15"/>
    <w:p>
      <w:pPr>
        <w:ind w:left="720" w:right="820" w:hanging="37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exposing us to the risk of increased interest rates, which could cause our debt service obligations to increase significantly;</w:t>
      </w:r>
    </w:p>
    <w:p>
      <w:pPr>
        <w:spacing w:after="0" w:line="1" w:lineRule="exact"/>
        <w:rPr>
          <w:rFonts w:ascii="Times New Roman" w:cs="Times New Roman" w:eastAsia="Times New Roman" w:hAnsi="Times New Roman"/>
          <w:sz w:val="20"/>
          <w:szCs w:val="20"/>
          <w:color w:val="auto"/>
        </w:rPr>
      </w:pPr>
    </w:p>
    <w:p>
      <w:pPr>
        <w:jc w:val="both"/>
        <w:ind w:left="720" w:right="200" w:hanging="370"/>
        <w:spacing w:after="0" w:line="266"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spacing w:after="0" w:line="1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us from making strategic acquisitions or causing us to make non-strategic divestitures;</w:t>
      </w:r>
    </w:p>
    <w:p>
      <w:pPr>
        <w:spacing w:after="0" w:line="70" w:lineRule="exact"/>
        <w:rPr>
          <w:rFonts w:ascii="Times New Roman" w:cs="Times New Roman" w:eastAsia="Times New Roman" w:hAnsi="Times New Roman"/>
          <w:sz w:val="20"/>
          <w:szCs w:val="20"/>
          <w:color w:val="auto"/>
        </w:rPr>
      </w:pPr>
    </w:p>
    <w:p>
      <w:pPr>
        <w:ind w:left="720" w:right="580" w:hanging="37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obtain additional financing for working capital, capital expenditures, product and service development, debt service requirements, acquisitions, and general corporate or other purposes; and</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If any one of these events were to occur, our business, prospects, financial condition, results of operations, or cash flows could be materially and adversely affected. For more information regarding our indebtedness, please see “Management’s Discussion and Analysis of Financial Condition and Results of Operations — Liquidity and Capital Resources.”</w:t>
      </w:r>
    </w:p>
    <w:p>
      <w:pPr>
        <w:spacing w:after="0" w:line="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Despite our indebtedness level, we may still be able to incur substantial additional amounts of debt, which could further exacerbate the risks associated with our substantial indebtedness.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could increase.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debt agreements contain restrictions that will limit our flexibility in operating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debt agreements contain various incurrence covenants that limit our ability to engage in specified types of transactions.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incurrence covenants will limit our ability to, among other things:</w:t>
      </w:r>
    </w:p>
    <w:p>
      <w:pPr>
        <w:spacing w:after="0" w:line="50" w:lineRule="exact"/>
        <w:rPr>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 or issue certain preferred equity;</w:t>
      </w:r>
    </w:p>
    <w:p>
      <w:pPr>
        <w:spacing w:after="0" w:line="70" w:lineRule="exact"/>
        <w:rPr>
          <w:rFonts w:ascii="Times New Roman" w:cs="Times New Roman" w:eastAsia="Times New Roman" w:hAnsi="Times New Roman"/>
          <w:sz w:val="20"/>
          <w:szCs w:val="20"/>
          <w:color w:val="auto"/>
        </w:rPr>
      </w:pPr>
    </w:p>
    <w:p>
      <w:pPr>
        <w:ind w:left="720" w:right="40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on, repurchase, or make distributions in respect of our capital stock, prepay, redeem, or repurchase certain debt or make other restricted payments;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certain investments and acquisitions;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certain liens;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agreements restricting our subsidiaries’ ability to pay dividends to us;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sell, or otherwise dispose of all or substantially all of our assets;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our existing businesses; and</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certain transactions with our affiliates.</w:t>
      </w:r>
    </w:p>
    <w:p>
      <w:pPr>
        <w:spacing w:after="0" w:line="13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In addition, the covenants in our debt agreements require us to meet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one or more of our debt agreements and permit our lenders to cease making loans to us under our credit facility (as defined below) or to accelerate the maturity date of the indebtedness incurred thereunder. Furthermore, if we were unable to repay the amounts due and payable under our secured debt agreements, our secured lenders could proceed against the collateral granted to them to secure our borrowings. Such actions by the lenders could also cause cross defaults under our other debt agreements.</w:t>
      </w:r>
    </w:p>
    <w:p>
      <w:pPr>
        <w:spacing w:after="0" w:line="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cash to service all of our indebtedness, and we may not be able to refinance our debt obligations as they mature.</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regularly review our capital structure, various financing alternatives and conditions in the debt and equity markets in order to opportunistically enhance our capital structure. In connection therewith, we may seek to refinance or retire existing indebtedness, incur new or additional indebtedness or issue equity or equity-linked securities, in each case, depending on market and other conditions. As our debt obligations mature or if our cash flows and capital resources are insufficient to fund our debt service obligations, we may be forced to reduce or delay investments and capital expenditures, or to sell assets, seek</w:t>
      </w:r>
    </w:p>
    <w:p>
      <w:pPr>
        <w:sectPr>
          <w:pgSz w:w="12240" w:h="15840" w:orient="portrait"/>
          <w:cols w:equalWidth="0" w:num="1">
            <w:col w:w="10160"/>
          </w:cols>
          <w:pgMar w:left="1000" w:top="793" w:right="1080" w:bottom="0" w:gutter="0" w:footer="0" w:header="0"/>
        </w:sect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160"/>
          </w:cols>
          <w:pgMar w:left="1000" w:top="793" w:right="1080" w:bottom="0" w:gutter="0" w:footer="0" w:header="0"/>
          <w:type w:val="continuous"/>
        </w:sectPr>
      </w:pPr>
    </w:p>
    <w:bookmarkStart w:id="16" w:name="page17"/>
    <w:bookmarkEnd w:id="16"/>
    <w:p>
      <w:pPr>
        <w:ind w:right="120"/>
        <w:spacing w:after="0" w:line="255" w:lineRule="auto"/>
        <w:rPr>
          <w:sz w:val="20"/>
          <w:szCs w:val="20"/>
          <w:color w:val="auto"/>
        </w:rPr>
      </w:pPr>
      <w:r>
        <w:rPr>
          <w:rFonts w:ascii="Times New Roman" w:cs="Times New Roman" w:eastAsia="Times New Roman" w:hAnsi="Times New Roman"/>
          <w:sz w:val="20"/>
          <w:szCs w:val="20"/>
          <w:color w:val="auto"/>
        </w:rPr>
        <w:t>additional capital, or restructure or refinance our indebtedness.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international operations that are subject to foreign economic uncertainties and foreign currency fluctuation.</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Approximately 31%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In 2024, the U.S. dollar strengthened against foreign currencies which unfavorably affected our revenue by $3.5 million. In contrast, a weakening of the U.S. dollar may beneficially affect our business, prospects, financial condition, results of operations,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w:t>
      </w:r>
    </w:p>
    <w:p>
      <w:pPr>
        <w:spacing w:after="0" w:line="7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The market price of our common stock could be subject to significant fluctuations and may decline. Among the factors that could affect our stock price are:</w:t>
      </w:r>
    </w:p>
    <w:p>
      <w:pPr>
        <w:spacing w:after="0" w:line="1" w:lineRule="exact"/>
        <w:rPr>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 or micro-economic factors;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and financial performance and prospects;</w:t>
      </w:r>
    </w:p>
    <w:p>
      <w:pPr>
        <w:spacing w:after="0" w:line="70" w:lineRule="exact"/>
        <w:rPr>
          <w:rFonts w:ascii="Times New Roman" w:cs="Times New Roman" w:eastAsia="Times New Roman" w:hAnsi="Times New Roman"/>
          <w:sz w:val="20"/>
          <w:szCs w:val="20"/>
          <w:color w:val="auto"/>
        </w:rPr>
      </w:pPr>
    </w:p>
    <w:p>
      <w:pPr>
        <w:ind w:left="720" w:right="640" w:hanging="37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variations in the rate of growth of our financial indicators, such as earnings per share, net income and revenues;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revenue or earnings estimates or publication of research reports by analysts;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any member of our senior management team;</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speculation in the press or investment community;</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actions by us or our competitors, such as acquisitions or restructuring;</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 by stockholders;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conditions;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domestic and international economic, legal, and regulatory factors unrelated to our performance;</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a major customer; and</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a dividend.</w:t>
      </w:r>
    </w:p>
    <w:p>
      <w:pPr>
        <w:spacing w:after="0" w:line="13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7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charter documents and Delaware law may inhibit a takeover, which could adversely affect the value of our common stock.</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Our certificate of incorporation and bylaws, as well as Delaware corporate law, contain provisions that could delay or prevent a change of control or changes in our management that a stockholder might consider favorable and may prevent stockholders from receiving a takeover premium for their shares. These provisions include, for example, the authorization of our board of directors to issue up to five million preferred shares without a stockholder vote and that stockholders may not call a special meeting.</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9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auto"/>
        </w:rPr>
        <w:t>These provisions apply even if the offer may be considered beneficial by some of our stockholders. If a change of control or change in management is delayed or prevented, the market price of our common stock could decline.</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20"/>
          </w:cols>
          <w:pgMar w:left="1000" w:top="793" w:right="102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Risks Related to Acquisitions and Divestitures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 may constitute an important part of our future growth strategy.</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Acquiring businesses that complement or expand our operations has been and may continue to be a key element of our business strategy. We regularly evaluate acquisition transactions, sign non-disclosure agreements, and participate in processes with respect to acquisitions, some of which may be material to us. We cannot assure you that we will be successful in identifying attractive acquisition candidates or completing acquisitions on favorable terms in the future. In addition, we may borrow funds or issue equity to acquire other businesses, increasing our interest expense and debt levels or diluting our existing stockholders’ ownership interest in us. Our inability to acquire businesses, or to operate them profitably once acquired, could have a material adverse effect on our business, financial condition, results of operations, and cash flows. Our borrowing agreements limit our ability to complete acquisitions without prior approval of our lenders. We have had difficulty with purchase accounting and other aspects related to the accounting for our acquisitions, which resulted in material weaknesses in our internal control over financial reporting. Although we have remediated these material weaknesses, there can be no assurances we will not face similar issues with respect to any future acquisitions.</w:t>
      </w:r>
    </w:p>
    <w:p>
      <w:pPr>
        <w:spacing w:after="0" w:line="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We may not realize all of the anticipated benefits from any future strategic portfolio acquisition, or those benefits may take longer to realize than expected.</w:t>
      </w:r>
    </w:p>
    <w:p>
      <w:pPr>
        <w:spacing w:after="0" w:line="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We either may not realize all of the anticipated benefits from any future strategic portfolio acquisition, or it may take longer to realize such benefits. Achieving those benefits depends on the timely, efficient, and successful execution of a number of post-acquisition events, including integrating the acquired businesses into our existing businesses. The integration process may disrupt the businesses and, if implemented ineffectively, would preclude the realization of the full anticipated benefits. The difficulties of combining the operations of acquired companies include, among others:</w:t>
      </w:r>
    </w:p>
    <w:p>
      <w:pPr>
        <w:spacing w:after="0" w:line="24" w:lineRule="exact"/>
        <w:rPr>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diversion of management’s attention to integration matters;</w:t>
      </w:r>
    </w:p>
    <w:p>
      <w:pPr>
        <w:spacing w:after="0" w:line="70" w:lineRule="exact"/>
        <w:rPr>
          <w:rFonts w:ascii="Times New Roman" w:cs="Times New Roman" w:eastAsia="Times New Roman" w:hAnsi="Times New Roman"/>
          <w:sz w:val="20"/>
          <w:szCs w:val="20"/>
          <w:color w:val="auto"/>
        </w:rPr>
      </w:pPr>
    </w:p>
    <w:p>
      <w:pPr>
        <w:ind w:left="720" w:right="40" w:hanging="370"/>
        <w:spacing w:after="0" w:line="26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the integration of operations and systems, including, without limitation, the complexities associated with managing the expanded operations of a significantly larger and more complex company, addressing possible differences in corporate cultures and management philosophies and the challenge of integrating complex systems, technology, networks, and other assets of each of the acquired companies;</w:t>
      </w:r>
    </w:p>
    <w:p>
      <w:pPr>
        <w:spacing w:after="0" w:line="23" w:lineRule="exact"/>
        <w:rPr>
          <w:rFonts w:ascii="Times New Roman" w:cs="Times New Roman" w:eastAsia="Times New Roman" w:hAnsi="Times New Roman"/>
          <w:sz w:val="20"/>
          <w:szCs w:val="20"/>
          <w:color w:val="auto"/>
        </w:rPr>
      </w:pPr>
    </w:p>
    <w:p>
      <w:pPr>
        <w:ind w:left="720" w:right="700" w:hanging="37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achieving anticipated cost savings, synergies, business opportunities, and growth prospects from combining the acquired businesses with our own;</w:t>
      </w:r>
    </w:p>
    <w:p>
      <w:pPr>
        <w:spacing w:after="0" w:line="1" w:lineRule="exact"/>
        <w:rPr>
          <w:rFonts w:ascii="Times New Roman" w:cs="Times New Roman" w:eastAsia="Times New Roman" w:hAnsi="Times New Roman"/>
          <w:sz w:val="20"/>
          <w:szCs w:val="20"/>
          <w:color w:val="auto"/>
        </w:rPr>
      </w:pPr>
    </w:p>
    <w:p>
      <w:pPr>
        <w:ind w:left="720" w:right="220" w:hanging="37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implement effective internal controls, procedures, and policies for acquired businesses as required by the Sarbanes-Oxley Act of 2002 within the time periods prescribed thereby;</w:t>
      </w:r>
    </w:p>
    <w:p>
      <w:pPr>
        <w:spacing w:after="0" w:line="1" w:lineRule="exact"/>
        <w:rPr>
          <w:rFonts w:ascii="Times New Roman" w:cs="Times New Roman" w:eastAsia="Times New Roman" w:hAnsi="Times New Roman"/>
          <w:sz w:val="20"/>
          <w:szCs w:val="20"/>
          <w:color w:val="auto"/>
        </w:rPr>
      </w:pPr>
    </w:p>
    <w:p>
      <w:pPr>
        <w:ind w:left="720" w:right="340" w:hanging="37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exposure to potential unknown liabilities and unforeseen increased expenses or delays associated with acquired businesses;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keeping existing customers and obtaining new customers;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attracting and retaining key personnel; and</w:t>
      </w:r>
    </w:p>
    <w:p>
      <w:pPr>
        <w:spacing w:after="0" w:line="70" w:lineRule="exact"/>
        <w:rPr>
          <w:rFonts w:ascii="Times New Roman" w:cs="Times New Roman" w:eastAsia="Times New Roman" w:hAnsi="Times New Roman"/>
          <w:sz w:val="20"/>
          <w:szCs w:val="20"/>
          <w:color w:val="auto"/>
        </w:rPr>
      </w:pPr>
    </w:p>
    <w:p>
      <w:pPr>
        <w:ind w:left="720" w:right="60" w:hanging="37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disruption of, or the loss of momentum in, ongoing operations or inconsistencies in standards, controls, procedures and policies.</w:t>
      </w:r>
    </w:p>
    <w:p>
      <w:pPr>
        <w:spacing w:after="0" w:line="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Many of these factors will be outside of our control and any one of them could result in increased costs, decreases in the amount of expected revenues and diversion of management’s time and energy, which could materially impact our business, prospects, financial condition, results of operations, or cash flows.</w:t>
      </w:r>
    </w:p>
    <w:p>
      <w:pPr>
        <w:spacing w:after="0" w:line="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The indemnification provisions of acquisition agreements by which we have acquired companies may not fully protect us and may result in unexpected liabilities.</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Certain of the acquisition agreements from past acquisitions require the former owners to indemnify us against certain liabilities related to the operation of each of their companies before we acquired it. In most of these agreements, however, the liability of the former owners is limited in amount and duration and certain former owners may not be able to meet their indemnification responsibilities. These indemnification provisions may not fully protect us, and as a result we may face unexpected liabilities that adversely affect our profitability and financial position.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participation in joint ventures could expose us to additional risks from time to time.</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We currently have a 49% investment in a Chinese joint venture (the “JV”) and may participate in additional joint ventures from time to time. Our participation in joint ventures is subject to risks that may not be present with other methods of ownership, including:</w:t>
      </w:r>
    </w:p>
    <w:p>
      <w:pPr>
        <w:spacing w:after="0" w:line="15" w:lineRule="exact"/>
        <w:rPr>
          <w:sz w:val="20"/>
          <w:szCs w:val="20"/>
          <w:color w:val="auto"/>
        </w:rPr>
      </w:pPr>
    </w:p>
    <w:p>
      <w:pPr>
        <w:ind w:left="720" w:right="620" w:hanging="370"/>
        <w:spacing w:after="0" w:line="309" w:lineRule="auto"/>
        <w:tabs>
          <w:tab w:leader="none" w:pos="72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joint venture partners could have investment and financing goals that are not consistent with our objectives, including the timing, terms, and strategies for any investments, and what levels of debt to incur or carry;</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40"/>
          </w:cols>
          <w:pgMar w:left="1000" w:top="786" w:right="1000" w:bottom="0" w:gutter="0" w:footer="0" w:header="0"/>
          <w:type w:val="continuous"/>
        </w:sectPr>
      </w:pPr>
    </w:p>
    <w:bookmarkStart w:id="18" w:name="page19"/>
    <w:bookmarkEnd w:id="18"/>
    <w:p>
      <w:pPr>
        <w:ind w:left="720" w:hanging="370"/>
        <w:spacing w:after="0" w:line="26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experience an impasse on certain decisions because we do not have sole decision-making authority, which could require us to expend additional resources on resolving such impasses or potential disputes, including litigation or arbitration;</w:t>
      </w:r>
    </w:p>
    <w:p>
      <w:pPr>
        <w:spacing w:after="0" w:line="15" w:lineRule="exact"/>
        <w:rPr>
          <w:rFonts w:ascii="Times New Roman" w:cs="Times New Roman" w:eastAsia="Times New Roman" w:hAnsi="Times New Roman"/>
          <w:sz w:val="20"/>
          <w:szCs w:val="20"/>
          <w:color w:val="auto"/>
        </w:rPr>
      </w:pPr>
    </w:p>
    <w:p>
      <w:pPr>
        <w:ind w:left="720" w:right="3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transfer our interest in a joint venture to a third party may be restricted and the market for our interest may be limited;</w:t>
      </w:r>
    </w:p>
    <w:p>
      <w:pPr>
        <w:spacing w:after="0" w:line="1" w:lineRule="exact"/>
        <w:rPr>
          <w:rFonts w:ascii="Times New Roman" w:cs="Times New Roman" w:eastAsia="Times New Roman" w:hAnsi="Times New Roman"/>
          <w:sz w:val="20"/>
          <w:szCs w:val="20"/>
          <w:color w:val="auto"/>
        </w:rPr>
      </w:pPr>
    </w:p>
    <w:p>
      <w:pPr>
        <w:jc w:val="both"/>
        <w:ind w:left="720" w:right="240" w:hanging="370"/>
        <w:spacing w:after="0" w:line="26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joint venture partners might become bankrupt, fail to fund their share of required capital contributions or fail to fulfill their obligations as a joint venture partner, which may require us to infuse our own capital into the venture on behalf of the partner despite other competing uses for such capital; and</w:t>
      </w:r>
    </w:p>
    <w:p>
      <w:pPr>
        <w:spacing w:after="0" w:line="1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joint venture partners may have competing interests in our markets that could create conflict of interest issues.</w:t>
      </w:r>
    </w:p>
    <w:p>
      <w:pPr>
        <w:spacing w:after="0" w:line="1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Any divestitures and discontinued operations could negatively impact our business and retained liabilities from businesses that we may sell could adversely affect our financial results.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As part of our portfolio management process, we review our operations for businesses which may no longer be aligned with our strategic initiatives and long-term objectives.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After reaching an agreement with a buyer for the disposition of a business, we are also subject to satisfaction of pre-closing conditions, as well as necessary regulatory and governmental approvals on acceptable terms, which may prevent us from completing a transaction. Dispositions may also involve continued financial involvement, as we may be required to retain responsibility for, or agree to indemnify buyers against contingent liabilities related to businesses sold, such as lawsuits, tax liabilities, lease payments, product liability claims, or environmental matters. Under these types of arrangements, performance by the divested businesses or other conditions outside of our control could affect future financial results.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Damage to our reputation could harm our business, including our competitive position and business prospects.</w:t>
      </w:r>
    </w:p>
    <w:p>
      <w:pPr>
        <w:spacing w:after="0" w:line="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Our ability to attract and retain customers, suppliers, investors, and employees is impacted by our reputation. Harm to our reputation can arise from various sources, including employee misconduct, security breaches, unethical behavior, litigation, or regulatory outcomes. The consequences of damage to our reputation include, among other things, increasing the number of litigation claims and the size of damages asserted or subjecting us to enforcement actions, fines, and penalties, all of which would cause us to incur significant defense related costs and expenses.</w:t>
      </w:r>
    </w:p>
    <w:p>
      <w:pPr>
        <w:spacing w:after="0" w:line="7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Changes in U.S. or foreign tax laws could have a material adverse effect on our business, cash flow, results of operations, and financial condition.</w:t>
      </w:r>
    </w:p>
    <w:p>
      <w:pPr>
        <w:spacing w:after="0" w:line="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The U.S. and foreign tax laws and regulations, as well as the administrative interpretations of those laws and regulations, are constantly under review and may be changed at any time, possibly with retroactive effect. No assurance can be given as to whether, when, or in what form changes to the applicable tax laws applicable to us may be enacted. Changes in tax laws, tax rulings, or interpretations of existing laws could materially affect our business, cash flow, results of operations, and financial condition.</w:t>
      </w:r>
    </w:p>
    <w:p>
      <w:pPr>
        <w:spacing w:after="0" w:line="7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The global credit and financial markets have recently experienced extreme volatility and disruptions, including severely diminished liquidity and credit availability, declines in consumer confidence, declines in economic growth, inflationary pressure and interest rate changes,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and other countries in response to such conflicts may also adversely impact the financial markets and the global economy, and any economic countermeasures by the affected countries or others could exacerbate market and economic instability.</w:t>
      </w:r>
    </w:p>
    <w:p>
      <w:pPr>
        <w:spacing w:after="0" w:line="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More recently, the closures of Silicon Valley Bank and Signature Bank and their placement into receivership with the Federal Deposit Insurance Corporation (“FDIC”) created bank-specific and broader financial institution liquidity risk and concerns. Although the Department of the Treasury, the Federal Reserve and the FDIC jointly confirmed that depositors at Silicon Valley Bank and Signature Bank would continue to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Although we do not have any funds deposited with SVB or Signature Bank, we currently have our cash and cash equivalents held in deposit in accounts at certain FDIC-insured financial institutions, some of which include amounts in excess of the insurance coverage offered by the FDIC. In the future, we may maintain our cash and cash equivalents at financial institutions in the United States in amounts that may be in excess of the FDIC insurance limit of $250,000. Though to date, we have experienced no loss or lack of access to cash in our</w:t>
      </w:r>
    </w:p>
    <w:p>
      <w:pPr>
        <w:sectPr>
          <w:pgSz w:w="12240" w:h="15840" w:orient="portrait"/>
          <w:cols w:equalWidth="0" w:num="1">
            <w:col w:w="10220"/>
          </w:cols>
          <w:pgMar w:left="1000" w:top="793" w:right="1020" w:bottom="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20"/>
          </w:cols>
          <w:pgMar w:left="1000" w:top="793" w:right="1020" w:bottom="0" w:gutter="0" w:footer="0" w:header="0"/>
          <w:type w:val="continuous"/>
        </w:sectPr>
      </w:pPr>
    </w:p>
    <w:bookmarkStart w:id="19" w:name="page20"/>
    <w:bookmarkEnd w:id="19"/>
    <w:p>
      <w:pPr>
        <w:ind w:right="20"/>
        <w:spacing w:after="0" w:line="249" w:lineRule="auto"/>
        <w:rPr>
          <w:sz w:val="20"/>
          <w:szCs w:val="20"/>
          <w:color w:val="auto"/>
        </w:rPr>
      </w:pPr>
      <w:r>
        <w:rPr>
          <w:rFonts w:ascii="Times New Roman" w:cs="Times New Roman" w:eastAsia="Times New Roman" w:hAnsi="Times New Roman"/>
          <w:sz w:val="20"/>
          <w:szCs w:val="20"/>
          <w:color w:val="auto"/>
        </w:rPr>
        <w:t>operating accounts, in the event of a failure of any of these financial institutions where we maintain our deposits or other assets, we may incur a loss to the extent such loss exceeds the FDIC insurance limitation, which could have a material adverse effect upon our liquidity, financial condition and our results of operations.</w:t>
      </w:r>
    </w:p>
    <w:p>
      <w:pPr>
        <w:spacing w:after="0" w:line="76"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modify our business plans.</w:t>
      </w:r>
    </w:p>
    <w:p>
      <w:pPr>
        <w:spacing w:after="0" w:line="1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Overview</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We rely on proprietary and third-party information systems to process, transmit and store information and to manage or support our business processes. We store and maintain confidential financial and business information regarding us and persons with whom we do business on our information technology systems. We also collect and hold personally identifiable information of our employees in connection with their employment. In addition, we engage third-party service providers that may collect and hold personally identifiable information of our employees in connection with providing business services to us, including web hosting, accounting, payroll and benefit services.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Governance</w:t>
      </w:r>
    </w:p>
    <w:p>
      <w:pPr>
        <w:spacing w:after="0" w:line="7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The protection of the information technology systems on which we rely is critically important to us. The Audit Committee of the Board of Directors has oversight for the reliability and security of our information systems, including identifying material risks and cybersecurity threats arising in our business. The Audit Committee receives updates from management of the ongoing cybersecurity initiatives and events at least once per quarter. In the event of a material cybersecurity incident, management will notify the Cybersecurity Sub-Committee of the Board of Directors, which will provide oversight for the Company’s response and mitigation to the incident.</w:t>
      </w:r>
    </w:p>
    <w:p>
      <w:pPr>
        <w:spacing w:after="0" w:line="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Chief Financial Officer is responsible for the management of the Company’s information systems and oversees the Company’s information technology team (“IT Team”). The IT Team has in place documented procedures for cybersecurity response plans, which are reviewed annually or as events warrant. The IT Team utilizes third party security experts to provide continuous external penetration testing, conduct security reviews, and to provide a managed security operations center that does 24/7 monitoring as well as provide additional resources for threat and incident response activities.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 and Strategy</w:t>
      </w:r>
    </w:p>
    <w:p>
      <w:pPr>
        <w:spacing w:after="0" w:line="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We employ a multi-layered approach to protect our information systems from cybersecurity threats. We have around the clock security operations center coverage that uses an industry leading security information and event management tool to aggregate and analyze data and provide immediate alerts of potential breaches. All hardware within our information systems run an industry-standard anti-virus solution, and we have an established patching program in place to keep security updates current. Penetration testing is conducted by an outside party on a continual basis, resulting in rapid discovery and remediation of potential weaknesses. To ensure employee compliance with our processes, we require yearly cybersecurity training and conduct phish testing, including simulated phishing attempts, multiple times per month. Additional training is assigned to employees as deemed necessary to reduce the risk of cybersecurity threats. In case of a cybersecurity incident, we maintain a cybersecurity insurance policy to reduce any direct costs that could be incurred.</w:t>
      </w:r>
    </w:p>
    <w:p>
      <w:pPr>
        <w:spacing w:after="0" w:line="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 cybersecurity incident could interrupt our operations, result in downtime, divert our planned efforts and resources from other projects, damage our reputation and brand, damage our competitive position, subject us to liability claims or regulatory penalties under laws protecting the privacy of personal information. Although impacts of past cybersecurity incidents have been immaterial to date, the impacts of such events in the future may materially and adversely affect our business, financial condition, or results of operations.</w:t>
      </w:r>
    </w:p>
    <w:p>
      <w:pPr>
        <w:spacing w:after="0" w:line="19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color w:val="auto"/>
        </w:rPr>
        <w:t>As of December 31, 2024, we owned or leased 26 facilities in a total of six countries, which includes a manufacturing facility owned by the JV in China. Utilization of these sites may vary with product mix and economic, seasonal, and other business conditions. Our plants generally have sufficient capacity for existing needs and expected near-term growth. These plants are</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20"/>
          </w:cols>
          <w:pgMar w:left="1000" w:top="793" w:right="1020" w:bottom="0" w:gutter="0" w:footer="0" w:header="0"/>
          <w:type w:val="continuous"/>
        </w:sectPr>
      </w:pPr>
    </w:p>
    <w:bookmarkStart w:id="20" w:name="page21"/>
    <w:bookmarkEnd w:id="20"/>
    <w:p>
      <w:pPr>
        <w:ind w:right="300"/>
        <w:spacing w:after="0" w:line="281" w:lineRule="auto"/>
        <w:rPr>
          <w:sz w:val="20"/>
          <w:szCs w:val="20"/>
          <w:color w:val="auto"/>
        </w:rPr>
      </w:pPr>
      <w:r>
        <w:rPr>
          <w:rFonts w:ascii="Times New Roman" w:cs="Times New Roman" w:eastAsia="Times New Roman" w:hAnsi="Times New Roman"/>
          <w:sz w:val="20"/>
          <w:szCs w:val="20"/>
          <w:color w:val="auto"/>
        </w:rPr>
        <w:t>generally well maintained, in good operating condition, and suitable and adequate for their use. The following table lists the current locations of our facilities by segment.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Mobile Solutions Group</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0" w:type="dxa"/>
            <w:vAlign w:val="bottom"/>
          </w:tcPr>
          <w:p>
            <w:pPr>
              <w:spacing w:after="0"/>
              <w:rPr>
                <w:sz w:val="18"/>
                <w:szCs w:val="18"/>
                <w:color w:val="auto"/>
              </w:rPr>
            </w:pPr>
          </w:p>
        </w:tc>
        <w:tc>
          <w:tcPr>
            <w:tcW w:w="16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General Character</w:t>
            </w:r>
          </w:p>
        </w:tc>
        <w:tc>
          <w:tcPr>
            <w:tcW w:w="60" w:type="dxa"/>
            <w:vAlign w:val="bottom"/>
          </w:tcPr>
          <w:p>
            <w:pPr>
              <w:spacing w:after="0"/>
              <w:rPr>
                <w:sz w:val="18"/>
                <w:szCs w:val="18"/>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Owned or Leased</w:t>
            </w:r>
          </w:p>
        </w:tc>
      </w:tr>
      <w:tr>
        <w:trPr>
          <w:trHeight w:val="275"/>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Campinas, Brazil</w:t>
            </w:r>
          </w:p>
        </w:tc>
        <w:tc>
          <w:tcPr>
            <w:tcW w:w="80" w:type="dxa"/>
            <w:vAlign w:val="bottom"/>
          </w:tcPr>
          <w:p>
            <w:pPr>
              <w:spacing w:after="0"/>
              <w:rPr>
                <w:sz w:val="23"/>
                <w:szCs w:val="23"/>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7"/>
              </w:rPr>
              <w:t>Office</w:t>
            </w:r>
          </w:p>
        </w:tc>
        <w:tc>
          <w:tcPr>
            <w:tcW w:w="60" w:type="dxa"/>
            <w:vAlign w:val="bottom"/>
          </w:tcPr>
          <w:p>
            <w:pPr>
              <w:spacing w:after="0"/>
              <w:rPr>
                <w:sz w:val="23"/>
                <w:szCs w:val="23"/>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Brazil</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78"/>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Dowagiac, Michigan (1)</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Owned</w:t>
            </w:r>
          </w:p>
        </w:tc>
      </w:tr>
      <w:tr>
        <w:trPr>
          <w:trHeight w:val="292"/>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Juarez, Mexico (1)</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Mexico</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78"/>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Kamienna Gora, Poland</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Poland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Owned</w:t>
            </w:r>
          </w:p>
        </w:tc>
      </w:tr>
      <w:tr>
        <w:trPr>
          <w:trHeight w:val="292"/>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Kentwood, Michigan</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 1</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78"/>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Kentwood, Michigan</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 2</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92"/>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Kentwood, Michigan</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8"/>
              </w:rPr>
              <w:t>Plant 3, Warehouse</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78"/>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Kentwood, Michigan</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7"/>
              </w:rPr>
              <w:t>Office</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Owned</w:t>
            </w:r>
          </w:p>
        </w:tc>
      </w:tr>
      <w:tr>
        <w:trPr>
          <w:trHeight w:val="292"/>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Marnaz, France</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France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6"/>
              </w:rPr>
              <w:t>Owned</w:t>
            </w:r>
          </w:p>
        </w:tc>
      </w:tr>
      <w:tr>
        <w:trPr>
          <w:trHeight w:val="278"/>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Marshall, Michigan</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 1</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92"/>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Sao Joao da Boa Vista, Brazil</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 1</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Brazil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78"/>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Sao Joao da Boa Vista, Brazil</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 2</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Brazil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92"/>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Sao Joao da Boa Vista, Brazil</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 3</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Brazil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78"/>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Wellington, Ohio</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 1</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92"/>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Wuxi, China</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China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415"/>
        </w:trPr>
        <w:tc>
          <w:tcPr>
            <w:tcW w:w="49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Power Solutions Group</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5"/>
        </w:trPr>
        <w:tc>
          <w:tcPr>
            <w:tcW w:w="4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0" w:type="dxa"/>
            <w:vAlign w:val="bottom"/>
          </w:tcPr>
          <w:p>
            <w:pPr>
              <w:spacing w:after="0"/>
              <w:rPr>
                <w:sz w:val="23"/>
                <w:szCs w:val="23"/>
                <w:color w:val="auto"/>
              </w:rPr>
            </w:pPr>
          </w:p>
        </w:tc>
        <w:tc>
          <w:tcPr>
            <w:tcW w:w="16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General Character</w:t>
            </w:r>
          </w:p>
        </w:tc>
        <w:tc>
          <w:tcPr>
            <w:tcW w:w="60" w:type="dxa"/>
            <w:vAlign w:val="bottom"/>
          </w:tcPr>
          <w:p>
            <w:pPr>
              <w:spacing w:after="0"/>
              <w:rPr>
                <w:sz w:val="23"/>
                <w:szCs w:val="23"/>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Owned or Leased</w:t>
            </w:r>
          </w:p>
        </w:tc>
      </w:tr>
      <w:tr>
        <w:trPr>
          <w:trHeight w:val="262"/>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Algonquin, Illinois</w:t>
            </w:r>
          </w:p>
        </w:tc>
        <w:tc>
          <w:tcPr>
            <w:tcW w:w="80" w:type="dxa"/>
            <w:vAlign w:val="bottom"/>
          </w:tcPr>
          <w:p>
            <w:pPr>
              <w:spacing w:after="0"/>
              <w:rPr>
                <w:sz w:val="22"/>
                <w:szCs w:val="22"/>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2"/>
                <w:szCs w:val="22"/>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Owned</w:t>
            </w:r>
          </w:p>
        </w:tc>
      </w:tr>
      <w:tr>
        <w:trPr>
          <w:trHeight w:val="285"/>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Attleboro, Massachusetts</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 1</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85"/>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Attleboro, Massachusetts</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 2</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85"/>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Attleboro, Massachusetts</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 3</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85"/>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Attleboro, Massachusetts</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9"/>
              </w:rPr>
              <w:t>Office, Warehouse</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85"/>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Foshan City, China</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China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85"/>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Mexico City, Mexico</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Mexico</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Owned</w:t>
            </w:r>
          </w:p>
        </w:tc>
      </w:tr>
      <w:tr>
        <w:trPr>
          <w:trHeight w:val="285"/>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North Attleboro, Massachusetts</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Owned</w:t>
            </w:r>
          </w:p>
        </w:tc>
      </w:tr>
      <w:tr>
        <w:trPr>
          <w:trHeight w:val="285"/>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Palmer, Massachusetts</w:t>
            </w:r>
          </w:p>
        </w:tc>
        <w:tc>
          <w:tcPr>
            <w:tcW w:w="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U.S.A.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428"/>
        </w:trPr>
        <w:tc>
          <w:tcPr>
            <w:tcW w:w="49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Joint Venture</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90"/>
        </w:trPr>
        <w:tc>
          <w:tcPr>
            <w:tcW w:w="4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General Character</w:t>
            </w: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Owned or Leased</w:t>
            </w:r>
          </w:p>
        </w:tc>
      </w:tr>
      <w:tr>
        <w:trPr>
          <w:trHeight w:val="262"/>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Wuxi, China</w:t>
            </w:r>
          </w:p>
        </w:tc>
        <w:tc>
          <w:tcPr>
            <w:tcW w:w="80" w:type="dxa"/>
            <w:vAlign w:val="bottom"/>
          </w:tcPr>
          <w:p>
            <w:pPr>
              <w:spacing w:after="0"/>
              <w:rPr>
                <w:sz w:val="22"/>
                <w:szCs w:val="22"/>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Plant</w:t>
            </w:r>
          </w:p>
        </w:tc>
        <w:tc>
          <w:tcPr>
            <w:tcW w:w="60" w:type="dxa"/>
            <w:vAlign w:val="bottom"/>
          </w:tcPr>
          <w:p>
            <w:pPr>
              <w:spacing w:after="0"/>
              <w:rPr>
                <w:sz w:val="22"/>
                <w:szCs w:val="22"/>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rPr>
              <w:t>China</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Leased</w:t>
            </w:r>
          </w:p>
        </w:tc>
      </w:tr>
      <w:tr>
        <w:trPr>
          <w:trHeight w:val="428"/>
        </w:trPr>
        <w:tc>
          <w:tcPr>
            <w:tcW w:w="49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Corporate</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90"/>
        </w:trPr>
        <w:tc>
          <w:tcPr>
            <w:tcW w:w="4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General Character</w:t>
            </w: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Owned or Leased</w:t>
            </w:r>
          </w:p>
        </w:tc>
      </w:tr>
      <w:tr>
        <w:trPr>
          <w:trHeight w:val="262"/>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Charlotte, North Carolina</w:t>
            </w:r>
          </w:p>
        </w:tc>
        <w:tc>
          <w:tcPr>
            <w:tcW w:w="80" w:type="dxa"/>
            <w:vAlign w:val="bottom"/>
          </w:tcPr>
          <w:p>
            <w:pPr>
              <w:spacing w:after="0"/>
              <w:rPr>
                <w:sz w:val="22"/>
                <w:szCs w:val="22"/>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7"/>
              </w:rPr>
              <w:t>Office</w:t>
            </w:r>
          </w:p>
        </w:tc>
        <w:tc>
          <w:tcPr>
            <w:tcW w:w="6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U.S.A</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Leased</w:t>
            </w:r>
          </w:p>
        </w:tc>
      </w:tr>
      <w:tr>
        <w:trPr>
          <w:trHeight w:val="432"/>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 Facilities that we plan to close during 2025.</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-6336030</wp:posOffset>
            </wp:positionV>
            <wp:extent cx="6530975" cy="6083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6530975" cy="6083300"/>
                    </a:xfrm>
                    <a:prstGeom prst="rect">
                      <a:avLst/>
                    </a:prstGeom>
                    <a:noFill/>
                  </pic:spPr>
                </pic:pic>
              </a:graphicData>
            </a:graphic>
          </wp:anchor>
        </w:drawing>
      </w:r>
    </w:p>
    <w:p>
      <w:pPr>
        <w:spacing w:after="0" w:line="19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As disclosed in Note 12 of the Notes to Consolidated Financial Statements included elsewhere in this Annual Report, we are engaged in certain legal proceedings, and the disclosure set forth in Note 12 relating to certain commitments and contingencies is incorporated herein by reference.</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40"/>
          </w:cols>
          <w:pgMar w:left="1000" w:top="793" w:right="1000" w:bottom="0" w:gutter="0" w:footer="0" w:header="0"/>
          <w:type w:val="continuous"/>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left="1080" w:right="40" w:hanging="1079"/>
        <w:spacing w:after="0" w:line="285"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the Registrant’s Common Equity, Related Stockholder Matters, and Issuer Purchases of Equity Securities</w:t>
      </w:r>
    </w:p>
    <w:p>
      <w:pPr>
        <w:spacing w:after="0" w:line="1"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20"/>
          <w:szCs w:val="20"/>
          <w:color w:val="auto"/>
        </w:rPr>
        <w:t>Our common stock is traded on Nasdaq under the trading symbol “NNBR.” As of February 11, 2025, there were 4,040 beneficial owners of record of our common stock.</w:t>
      </w:r>
    </w:p>
    <w:p>
      <w:pPr>
        <w:spacing w:after="0" w:line="61"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0"/>
          <w:szCs w:val="20"/>
          <w:color w:val="auto"/>
        </w:rPr>
        <w:t>The following graph and table compare the cumulative total shareholder return on our common stock with the cumulative total shareholder return of: (i) the Russell 2000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Index, which is a broad equity market index, and (ii) the S&amp;P SmallCap 600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Industrials Index, which is a published industry index, for the period from December 31, 2019, to December 31, 2024. The following graph and table assume that a $100 investment was made at the close of trading on December 31, 2019. We cannot assure you that the performance of our common stock will continue in the future with the same or similar trend depicted on the graph.</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Comparison of Five-Year Cumulative Total Return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(Performance results through December 31, 2024)</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595959"/>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-62865</wp:posOffset>
            </wp:positionV>
            <wp:extent cx="5340350" cy="2790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5340350" cy="279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595959"/>
        </w:rPr>
        <w:t>200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595959"/>
        </w:rPr>
        <w:t>150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595959"/>
        </w:rPr>
        <w:t>100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595959"/>
        </w:rPr>
        <w:t>50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595959"/>
        </w:rPr>
        <w:t>0</w:t>
      </w:r>
    </w:p>
    <w:p>
      <w:pPr>
        <w:spacing w:after="0" w:line="30" w:lineRule="exact"/>
        <w:rPr>
          <w:sz w:val="20"/>
          <w:szCs w:val="20"/>
          <w:color w:val="auto"/>
        </w:rPr>
      </w:pPr>
    </w:p>
    <w:tbl>
      <w:tblPr>
        <w:tblLayout w:type="fixed"/>
        <w:tblInd w:w="100" w:type="dxa"/>
        <w:tblCellMar>
          <w:top w:w="0" w:type="dxa"/>
          <w:left w:w="0" w:type="dxa"/>
          <w:bottom w:w="0" w:type="dxa"/>
          <w:right w:w="0" w:type="dxa"/>
        </w:tblCellMar>
      </w:tblPr>
      <w:tr>
        <w:trPr>
          <w:trHeight w:val="265"/>
        </w:trPr>
        <w:tc>
          <w:tcPr>
            <w:tcW w:w="1900" w:type="dxa"/>
            <w:vAlign w:val="bottom"/>
          </w:tcPr>
          <w:p>
            <w:pPr>
              <w:jc w:val="right"/>
              <w:ind w:right="400"/>
              <w:spacing w:after="0"/>
              <w:rPr>
                <w:sz w:val="20"/>
                <w:szCs w:val="20"/>
                <w:color w:val="auto"/>
              </w:rPr>
            </w:pPr>
            <w:r>
              <w:rPr>
                <w:rFonts w:ascii="Arial" w:cs="Arial" w:eastAsia="Arial" w:hAnsi="Arial"/>
                <w:sz w:val="20"/>
                <w:szCs w:val="20"/>
                <w:b w:val="1"/>
                <w:bCs w:val="1"/>
                <w:color w:val="595959"/>
              </w:rPr>
              <w:t>2019</w:t>
            </w:r>
          </w:p>
        </w:tc>
        <w:tc>
          <w:tcPr>
            <w:tcW w:w="13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595959"/>
              </w:rPr>
              <w:t>2020</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20"/>
                <w:szCs w:val="20"/>
                <w:b w:val="1"/>
                <w:bCs w:val="1"/>
                <w:color w:val="595959"/>
                <w:w w:val="94"/>
              </w:rPr>
              <w:t>2021</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204"/>
              <w:spacing w:after="0"/>
              <w:rPr>
                <w:sz w:val="20"/>
                <w:szCs w:val="20"/>
                <w:color w:val="auto"/>
              </w:rPr>
            </w:pPr>
            <w:r>
              <w:rPr>
                <w:rFonts w:ascii="Arial" w:cs="Arial" w:eastAsia="Arial" w:hAnsi="Arial"/>
                <w:sz w:val="20"/>
                <w:szCs w:val="20"/>
                <w:b w:val="1"/>
                <w:bCs w:val="1"/>
                <w:color w:val="595959"/>
              </w:rPr>
              <w:t>2022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20"/>
                <w:szCs w:val="20"/>
                <w:b w:val="1"/>
                <w:bCs w:val="1"/>
                <w:color w:val="595959"/>
              </w:rPr>
              <w:t>2023</w:t>
            </w:r>
          </w:p>
        </w:tc>
        <w:tc>
          <w:tcPr>
            <w:tcW w:w="740" w:type="dxa"/>
            <w:vAlign w:val="bottom"/>
          </w:tcPr>
          <w:p>
            <w:pPr>
              <w:spacing w:after="0"/>
              <w:rPr>
                <w:sz w:val="23"/>
                <w:szCs w:val="23"/>
                <w:color w:val="auto"/>
              </w:rPr>
            </w:pPr>
          </w:p>
        </w:tc>
        <w:tc>
          <w:tcPr>
            <w:tcW w:w="1160" w:type="dxa"/>
            <w:vAlign w:val="bottom"/>
            <w:gridSpan w:val="3"/>
          </w:tcPr>
          <w:p>
            <w:pPr>
              <w:jc w:val="right"/>
              <w:ind w:right="405"/>
              <w:spacing w:after="0"/>
              <w:rPr>
                <w:sz w:val="20"/>
                <w:szCs w:val="20"/>
                <w:color w:val="auto"/>
              </w:rPr>
            </w:pPr>
            <w:r>
              <w:rPr>
                <w:rFonts w:ascii="Arial" w:cs="Arial" w:eastAsia="Arial" w:hAnsi="Arial"/>
                <w:sz w:val="20"/>
                <w:szCs w:val="20"/>
                <w:b w:val="1"/>
                <w:bCs w:val="1"/>
                <w:color w:val="595959"/>
              </w:rPr>
              <w:t>2024</w:t>
            </w:r>
          </w:p>
        </w:tc>
        <w:tc>
          <w:tcPr>
            <w:tcW w:w="0" w:type="dxa"/>
            <w:vAlign w:val="bottom"/>
          </w:tcPr>
          <w:p>
            <w:pPr>
              <w:spacing w:after="0"/>
              <w:rPr>
                <w:sz w:val="1"/>
                <w:szCs w:val="1"/>
                <w:color w:val="auto"/>
              </w:rPr>
            </w:pPr>
          </w:p>
        </w:tc>
      </w:tr>
      <w:tr>
        <w:trPr>
          <w:trHeight w:val="365"/>
        </w:trPr>
        <w:tc>
          <w:tcPr>
            <w:tcW w:w="1900" w:type="dxa"/>
            <w:vAlign w:val="bottom"/>
          </w:tcPr>
          <w:p>
            <w:pPr>
              <w:spacing w:after="0"/>
              <w:rPr>
                <w:sz w:val="24"/>
                <w:szCs w:val="24"/>
                <w:color w:val="auto"/>
              </w:rPr>
            </w:pPr>
          </w:p>
        </w:tc>
        <w:tc>
          <w:tcPr>
            <w:tcW w:w="300" w:type="dxa"/>
            <w:vAlign w:val="bottom"/>
            <w:tcBorders>
              <w:bottom w:val="single" w:sz="8" w:color="0A2299"/>
            </w:tcBorders>
          </w:tcPr>
          <w:p>
            <w:pPr>
              <w:spacing w:after="0"/>
              <w:rPr>
                <w:sz w:val="24"/>
                <w:szCs w:val="2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595959"/>
              </w:rPr>
              <w:t>NN, Inc.</w:t>
            </w:r>
          </w:p>
        </w:tc>
        <w:tc>
          <w:tcPr>
            <w:tcW w:w="300" w:type="dxa"/>
            <w:vAlign w:val="bottom"/>
            <w:tcBorders>
              <w:bottom w:val="single" w:sz="8" w:color="40AEFF"/>
            </w:tcBorders>
          </w:tcPr>
          <w:p>
            <w:pPr>
              <w:spacing w:after="0"/>
              <w:rPr>
                <w:sz w:val="24"/>
                <w:szCs w:val="24"/>
                <w:color w:val="auto"/>
              </w:rPr>
            </w:pPr>
          </w:p>
        </w:tc>
        <w:tc>
          <w:tcPr>
            <w:tcW w:w="1540" w:type="dxa"/>
            <w:vAlign w:val="bottom"/>
            <w:gridSpan w:val="5"/>
            <w:vMerge w:val="restart"/>
          </w:tcPr>
          <w:p>
            <w:pPr>
              <w:jc w:val="right"/>
              <w:ind w:right="225"/>
              <w:spacing w:after="0"/>
              <w:rPr>
                <w:sz w:val="20"/>
                <w:szCs w:val="20"/>
                <w:color w:val="auto"/>
              </w:rPr>
            </w:pPr>
            <w:r>
              <w:rPr>
                <w:rFonts w:ascii="Arial" w:cs="Arial" w:eastAsia="Arial" w:hAnsi="Arial"/>
                <w:sz w:val="20"/>
                <w:szCs w:val="20"/>
                <w:b w:val="1"/>
                <w:bCs w:val="1"/>
                <w:color w:val="595959"/>
                <w:w w:val="98"/>
              </w:rPr>
              <w:t>Russell 2000</w:t>
            </w:r>
          </w:p>
        </w:tc>
        <w:tc>
          <w:tcPr>
            <w:tcW w:w="300" w:type="dxa"/>
            <w:vAlign w:val="bottom"/>
            <w:tcBorders>
              <w:bottom w:val="single" w:sz="8" w:color="FBC150"/>
            </w:tcBorders>
          </w:tcPr>
          <w:p>
            <w:pPr>
              <w:spacing w:after="0"/>
              <w:rPr>
                <w:sz w:val="24"/>
                <w:szCs w:val="24"/>
                <w:color w:val="auto"/>
              </w:rPr>
            </w:pPr>
          </w:p>
        </w:tc>
        <w:tc>
          <w:tcPr>
            <w:tcW w:w="60" w:type="dxa"/>
            <w:vAlign w:val="bottom"/>
            <w:vMerge w:val="restart"/>
          </w:tcPr>
          <w:p>
            <w:pPr>
              <w:spacing w:after="0"/>
              <w:rPr>
                <w:sz w:val="24"/>
                <w:szCs w:val="24"/>
                <w:color w:val="auto"/>
              </w:rPr>
            </w:pPr>
          </w:p>
        </w:tc>
        <w:tc>
          <w:tcPr>
            <w:tcW w:w="2720" w:type="dxa"/>
            <w:vAlign w:val="bottom"/>
            <w:gridSpan w:val="8"/>
            <w:vMerge w:val="restart"/>
          </w:tcPr>
          <w:p>
            <w:pPr>
              <w:jc w:val="center"/>
              <w:ind w:right="40"/>
              <w:spacing w:after="0"/>
              <w:rPr>
                <w:sz w:val="20"/>
                <w:szCs w:val="20"/>
                <w:color w:val="auto"/>
              </w:rPr>
            </w:pPr>
            <w:r>
              <w:rPr>
                <w:rFonts w:ascii="Arial" w:cs="Arial" w:eastAsia="Arial" w:hAnsi="Arial"/>
                <w:sz w:val="20"/>
                <w:szCs w:val="20"/>
                <w:b w:val="1"/>
                <w:bCs w:val="1"/>
                <w:color w:val="595959"/>
                <w:w w:val="94"/>
              </w:rPr>
              <w:t>S&amp;P SmallCap 600 Industrials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2720" w:type="dxa"/>
            <w:vAlign w:val="bottom"/>
            <w:gridSpan w:val="8"/>
            <w:vMerge w:val="continue"/>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5"/>
        </w:trPr>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62"/>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NN, Inc.</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71.02</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44.31</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35.33</w:t>
            </w: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Russell 2000</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119.96</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137.74</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142.93</w:t>
            </w:r>
          </w:p>
        </w:tc>
        <w:tc>
          <w:tcPr>
            <w:tcW w:w="0" w:type="dxa"/>
            <w:vAlign w:val="bottom"/>
          </w:tcPr>
          <w:p>
            <w:pPr>
              <w:spacing w:after="0"/>
              <w:rPr>
                <w:sz w:val="1"/>
                <w:szCs w:val="1"/>
                <w:color w:val="auto"/>
              </w:rPr>
            </w:pPr>
          </w:p>
        </w:tc>
      </w:tr>
      <w:tr>
        <w:trPr>
          <w:trHeight w:val="285"/>
        </w:trPr>
        <w:tc>
          <w:tcPr>
            <w:tcW w:w="3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S&amp;P SmallCap 600 Industrials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111.97</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140.98</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197.28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-1078230</wp:posOffset>
            </wp:positionV>
            <wp:extent cx="139700" cy="139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-1078230</wp:posOffset>
            </wp:positionV>
            <wp:extent cx="139700" cy="139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-1078230</wp:posOffset>
            </wp:positionV>
            <wp:extent cx="139700" cy="139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-548005</wp:posOffset>
            </wp:positionV>
            <wp:extent cx="6464300" cy="568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464300" cy="56832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Source: Zachs Investment Research, Inc.</w:t>
      </w:r>
    </w:p>
    <w:p>
      <w:pPr>
        <w:spacing w:after="0" w:line="13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w:t>
      </w:r>
    </w:p>
    <w:p>
      <w:pPr>
        <w:spacing w:after="0" w:line="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See Part III, Item 12 – “Security Ownership of Certain Beneficial Owners and Management and Related Stockholder Matters” of this Annual Report for information required by Item 201(d) of Regulation S-K.</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0"/>
          </w:cols>
          <w:pgMar w:left="1000" w:top="786" w:right="9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information about purchases we made during the quarter ended December 31, 2024.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Total Number of</w:t>
            </w:r>
          </w:p>
        </w:tc>
        <w:tc>
          <w:tcPr>
            <w:tcW w:w="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Maximum Number (or</w:t>
            </w:r>
          </w:p>
        </w:tc>
        <w:tc>
          <w:tcPr>
            <w:tcW w:w="0" w:type="dxa"/>
            <w:vAlign w:val="bottom"/>
          </w:tcPr>
          <w:p>
            <w:pPr>
              <w:spacing w:after="0"/>
              <w:rPr>
                <w:sz w:val="1"/>
                <w:szCs w:val="1"/>
                <w:color w:val="auto"/>
              </w:rPr>
            </w:pPr>
          </w:p>
        </w:tc>
      </w:tr>
      <w:tr>
        <w:trPr>
          <w:trHeight w:val="160"/>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Shares Purchased</w:t>
            </w:r>
          </w:p>
        </w:tc>
        <w:tc>
          <w:tcPr>
            <w:tcW w:w="80" w:type="dxa"/>
            <w:vAlign w:val="bottom"/>
          </w:tcPr>
          <w:p>
            <w:pPr>
              <w:spacing w:after="0"/>
              <w:rPr>
                <w:sz w:val="13"/>
                <w:szCs w:val="13"/>
                <w:color w:val="auto"/>
              </w:rPr>
            </w:pPr>
          </w:p>
        </w:tc>
        <w:tc>
          <w:tcPr>
            <w:tcW w:w="1940" w:type="dxa"/>
            <w:vAlign w:val="bottom"/>
          </w:tcPr>
          <w:p>
            <w:pPr>
              <w:jc w:val="right"/>
              <w:ind w:right="11"/>
              <w:spacing w:after="0" w:line="160" w:lineRule="exact"/>
              <w:rPr>
                <w:sz w:val="20"/>
                <w:szCs w:val="20"/>
                <w:color w:val="auto"/>
              </w:rPr>
            </w:pPr>
            <w:r>
              <w:rPr>
                <w:rFonts w:ascii="Times New Roman" w:cs="Times New Roman" w:eastAsia="Times New Roman" w:hAnsi="Times New Roman"/>
                <w:sz w:val="16"/>
                <w:szCs w:val="16"/>
                <w:color w:val="auto"/>
              </w:rPr>
              <w:t>Approximate Dollar Value)</w:t>
            </w:r>
          </w:p>
        </w:tc>
        <w:tc>
          <w:tcPr>
            <w:tcW w:w="0" w:type="dxa"/>
            <w:vAlign w:val="bottom"/>
          </w:tcPr>
          <w:p>
            <w:pPr>
              <w:spacing w:after="0"/>
              <w:rPr>
                <w:sz w:val="1"/>
                <w:szCs w:val="1"/>
                <w:color w:val="auto"/>
              </w:rPr>
            </w:pPr>
          </w:p>
        </w:tc>
      </w:tr>
      <w:tr>
        <w:trPr>
          <w:trHeight w:val="160"/>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vMerge w:val="restart"/>
          </w:tcPr>
          <w:p>
            <w:pPr>
              <w:jc w:val="right"/>
              <w:ind w:right="130"/>
              <w:spacing w:after="0"/>
              <w:rPr>
                <w:sz w:val="20"/>
                <w:szCs w:val="20"/>
                <w:color w:val="auto"/>
              </w:rPr>
            </w:pPr>
            <w:r>
              <w:rPr>
                <w:rFonts w:ascii="Times New Roman" w:cs="Times New Roman" w:eastAsia="Times New Roman" w:hAnsi="Times New Roman"/>
                <w:sz w:val="16"/>
                <w:szCs w:val="16"/>
                <w:color w:val="auto"/>
              </w:rPr>
              <w:t>Total Number of</w:t>
            </w:r>
          </w:p>
        </w:tc>
        <w:tc>
          <w:tcPr>
            <w:tcW w:w="8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Average Price Paid</w:t>
            </w:r>
          </w:p>
        </w:tc>
        <w:tc>
          <w:tcPr>
            <w:tcW w:w="8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as Part of Publicly</w:t>
            </w:r>
          </w:p>
        </w:tc>
        <w:tc>
          <w:tcPr>
            <w:tcW w:w="8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of Shares That May Yet</w:t>
            </w:r>
          </w:p>
        </w:tc>
        <w:tc>
          <w:tcPr>
            <w:tcW w:w="0" w:type="dxa"/>
            <w:vAlign w:val="bottom"/>
          </w:tcPr>
          <w:p>
            <w:pPr>
              <w:spacing w:after="0"/>
              <w:rPr>
                <w:sz w:val="1"/>
                <w:szCs w:val="1"/>
                <w:color w:val="auto"/>
              </w:rPr>
            </w:pPr>
          </w:p>
        </w:tc>
      </w:tr>
      <w:tr>
        <w:trPr>
          <w:trHeight w:val="160"/>
        </w:trPr>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Period</w:t>
            </w:r>
          </w:p>
        </w:tc>
        <w:tc>
          <w:tcPr>
            <w:tcW w:w="8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Announced Plans</w:t>
            </w:r>
          </w:p>
        </w:tc>
        <w:tc>
          <w:tcPr>
            <w:tcW w:w="8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Be Purchased Under the</w:t>
            </w:r>
          </w:p>
        </w:tc>
        <w:tc>
          <w:tcPr>
            <w:tcW w:w="0" w:type="dxa"/>
            <w:vAlign w:val="bottom"/>
          </w:tcPr>
          <w:p>
            <w:pPr>
              <w:spacing w:after="0"/>
              <w:rPr>
                <w:sz w:val="1"/>
                <w:szCs w:val="1"/>
                <w:color w:val="auto"/>
              </w:rPr>
            </w:pPr>
          </w:p>
        </w:tc>
      </w:tr>
      <w:tr>
        <w:trPr>
          <w:trHeight w:val="214"/>
        </w:trPr>
        <w:tc>
          <w:tcPr>
            <w:tcW w:w="3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ind w:right="30"/>
              <w:spacing w:after="0" w:line="214" w:lineRule="exact"/>
              <w:rPr>
                <w:sz w:val="20"/>
                <w:szCs w:val="20"/>
                <w:color w:val="auto"/>
              </w:rPr>
            </w:pPr>
            <w:r>
              <w:rPr>
                <w:rFonts w:ascii="Times New Roman" w:cs="Times New Roman" w:eastAsia="Times New Roman" w:hAnsi="Times New Roman"/>
                <w:sz w:val="16"/>
                <w:szCs w:val="16"/>
                <w:color w:val="auto"/>
              </w:rPr>
              <w:t xml:space="preserve">Shares Purchased </w:t>
            </w:r>
            <w:r>
              <w:rPr>
                <w:rFonts w:ascii="Times New Roman" w:cs="Times New Roman" w:eastAsia="Times New Roman" w:hAnsi="Times New Roman"/>
                <w:sz w:val="20"/>
                <w:szCs w:val="20"/>
                <w:color w:val="auto"/>
                <w:vertAlign w:val="superscript"/>
              </w:rPr>
              <w:t>(1)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color w:val="auto"/>
              </w:rPr>
              <w:t>Per Share</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color w:val="auto"/>
                <w:w w:val="95"/>
              </w:rPr>
              <w:t xml:space="preserve">or Programs </w:t>
            </w:r>
            <w:r>
              <w:rPr>
                <w:rFonts w:ascii="Times New Roman" w:cs="Times New Roman" w:eastAsia="Times New Roman" w:hAnsi="Times New Roman"/>
                <w:sz w:val="20"/>
                <w:szCs w:val="20"/>
                <w:color w:val="auto"/>
                <w:w w:val="95"/>
                <w:vertAlign w:val="superscript"/>
              </w:rPr>
              <w:t>(1)</w:t>
            </w:r>
          </w:p>
        </w:tc>
        <w:tc>
          <w:tcPr>
            <w:tcW w:w="80" w:type="dxa"/>
            <w:vAlign w:val="bottom"/>
          </w:tcPr>
          <w:p>
            <w:pPr>
              <w:spacing w:after="0"/>
              <w:rPr>
                <w:sz w:val="18"/>
                <w:szCs w:val="18"/>
                <w:color w:val="auto"/>
              </w:rPr>
            </w:pPr>
          </w:p>
        </w:tc>
        <w:tc>
          <w:tcPr>
            <w:tcW w:w="194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color w:val="auto"/>
                <w:w w:val="97"/>
              </w:rPr>
              <w:t xml:space="preserve">Plan or Programs </w:t>
            </w:r>
            <w:r>
              <w:rPr>
                <w:rFonts w:ascii="Times New Roman" w:cs="Times New Roman" w:eastAsia="Times New Roman" w:hAnsi="Times New Roman"/>
                <w:sz w:val="20"/>
                <w:szCs w:val="20"/>
                <w:color w:val="auto"/>
                <w:w w:val="97"/>
                <w:vertAlign w:val="superscript"/>
              </w:rPr>
              <w:t>(1)</w:t>
            </w:r>
          </w:p>
        </w:tc>
        <w:tc>
          <w:tcPr>
            <w:tcW w:w="0" w:type="dxa"/>
            <w:vAlign w:val="bottom"/>
          </w:tcPr>
          <w:p>
            <w:pPr>
              <w:spacing w:after="0"/>
              <w:rPr>
                <w:sz w:val="1"/>
                <w:szCs w:val="1"/>
                <w:color w:val="auto"/>
              </w:rPr>
            </w:pPr>
          </w:p>
        </w:tc>
      </w:tr>
      <w:tr>
        <w:trPr>
          <w:trHeight w:val="277"/>
        </w:trPr>
        <w:tc>
          <w:tcPr>
            <w:tcW w:w="3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October 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8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2024</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3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2024</w:t>
            </w:r>
          </w:p>
        </w:tc>
        <w:tc>
          <w:tcPr>
            <w:tcW w:w="8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80" w:type="dxa"/>
            <w:vAlign w:val="bottom"/>
          </w:tcPr>
          <w:p>
            <w:pPr>
              <w:spacing w:after="0"/>
              <w:rPr>
                <w:sz w:val="24"/>
                <w:szCs w:val="24"/>
                <w:color w:val="auto"/>
              </w:rPr>
            </w:pPr>
          </w:p>
        </w:tc>
        <w:tc>
          <w:tcPr>
            <w:tcW w:w="13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3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5,085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80" w:type="dxa"/>
            <w:vAlign w:val="bottom"/>
          </w:tcPr>
          <w:p>
            <w:pPr>
              <w:spacing w:after="0"/>
              <w:rPr>
                <w:sz w:val="22"/>
                <w:szCs w:val="22"/>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40500" cy="215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-412115</wp:posOffset>
            </wp:positionV>
            <wp:extent cx="6540500" cy="215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-56515</wp:posOffset>
            </wp:positionV>
            <wp:extent cx="4165600" cy="76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4165600" cy="7620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16" w:lineRule="exact"/>
        <w:rPr>
          <w:sz w:val="20"/>
          <w:szCs w:val="20"/>
          <w:color w:val="auto"/>
        </w:rPr>
      </w:pPr>
    </w:p>
    <w:p>
      <w:pPr>
        <w:ind w:left="720" w:right="40" w:hanging="370"/>
        <w:spacing w:after="0" w:line="258" w:lineRule="auto"/>
        <w:tabs>
          <w:tab w:leader="none" w:pos="7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Shares were withheld to pay for tax obligations due upon the vesting of share-based awards held by employees granted under the NN, Inc. Amended and Restated 2022 Omnibus Incentive Plan and prior plans (collectively the “Incentive Plans”). The Incentive Plans provides for the withholding of shares or units to satisfy income tax obligations. It does not specify a maximum number of shares or units that can be withheld for this purpose. These shares may be deemed to be “issuer purchases” of shares that are required to be disclosed pursuant to this Item.</w:t>
      </w:r>
    </w:p>
    <w:p>
      <w:pPr>
        <w:spacing w:after="0" w:line="19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786" w:right="980" w:bottom="0" w:gutter="0" w:footer="0" w:header="0"/>
          <w:type w:val="continuous"/>
        </w:sectPr>
      </w:pPr>
    </w:p>
    <w:bookmarkStart w:id="23" w:name="page24"/>
    <w:bookmarkEnd w:id="23"/>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7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and is qualified in its entirety by, the Consolidated Financial Statements and the Notes thereto included elsewhere in this Annual Report. Historical operating results and percentage relationships among any amounts included in the Consolidated Financial Statements are not necessarily indicative of trends in operating results for any future period. Unless as otherwise noted indicated, all U.S. dollar amounts presented in tables are in thousands.</w:t>
      </w:r>
    </w:p>
    <w:p>
      <w:pPr>
        <w:spacing w:after="0" w:line="8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A detailed discussion of our results of operations and liquidity and capital resources for the year ended December 31, 2023 compared to the year ended December 31, 2022 are not included herein and can be found in Item 7. Management's Discussion and Analysis of Financial Condition and Results of Operations of our Annual Report on Form 10-K for the fiscal year ended December 31, 2023, filed with the SEC on March 12,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and Management Focus</w:t>
      </w:r>
    </w:p>
    <w:p>
      <w:pPr>
        <w:spacing w:after="0" w:line="7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auto"/>
        </w:rPr>
        <w:t>During 2024, the Company continued its enterprise transformation plan to grow sales, profits, free cash flow and shareholder value. The main tenets of the Company’s transformation plan are:</w:t>
      </w:r>
    </w:p>
    <w:p>
      <w:pPr>
        <w:spacing w:after="0" w:line="1" w:lineRule="exact"/>
        <w:rPr>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Strengthening our team with new executive and functional leadership;</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Fixing unprofitable areas of the business;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Advancing and strengthening profitability;</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Improving our balance sheet; and</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Accelerating sales growth.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continue to execute our transformation plan through:</w:t>
      </w:r>
    </w:p>
    <w:p>
      <w:pPr>
        <w:spacing w:after="0" w:line="70"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new business wins in targeted growth areas;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improvement plans and the rationalizing of our footprint;</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Improving underperforming plants;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Achieving net cost-down through our continuous improvement program;</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leverage through improved operating performance and a strategic divestiture; and</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Lowering our cost of capital and improving our capital structure.</w:t>
      </w:r>
    </w:p>
    <w:p>
      <w:pPr>
        <w:spacing w:after="0" w:line="1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We are a strategic partner to a diversified and global customer base with long standing business relationships and long-running business streams. We participate in growing and attractive end markets, including global automotive parts and passenger vehicles, commercial vehicles, grid and electrical investment, and medical components.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generally focuses on these trends and relevant market indicators:</w:t>
      </w:r>
    </w:p>
    <w:p>
      <w:pPr>
        <w:spacing w:after="0" w:line="70"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Trends related to the geographic migration of competitive manufacturing, electric vehicles, and electrification;</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subject to regional and global inflationary environments, including, but not limited to:</w:t>
      </w:r>
    </w:p>
    <w:p>
      <w:pPr>
        <w:spacing w:after="0" w:line="70" w:lineRule="exact"/>
        <w:rPr>
          <w:rFonts w:ascii="Times New Roman" w:cs="Times New Roman" w:eastAsia="Times New Roman" w:hAnsi="Times New Roman"/>
          <w:sz w:val="20"/>
          <w:szCs w:val="20"/>
          <w:color w:val="auto"/>
        </w:rPr>
      </w:pPr>
    </w:p>
    <w:p>
      <w:pPr>
        <w:ind w:left="1120" w:hanging="365"/>
        <w:spacing w:after="0"/>
        <w:tabs>
          <w:tab w:leader="none" w:pos="112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Raw materials;</w:t>
      </w:r>
    </w:p>
    <w:p>
      <w:pPr>
        <w:spacing w:after="0" w:line="70" w:lineRule="exact"/>
        <w:rPr>
          <w:rFonts w:ascii="Times New Roman" w:cs="Times New Roman" w:eastAsia="Times New Roman" w:hAnsi="Times New Roman"/>
          <w:sz w:val="20"/>
          <w:szCs w:val="20"/>
          <w:color w:val="auto"/>
        </w:rPr>
      </w:pPr>
    </w:p>
    <w:p>
      <w:pPr>
        <w:ind w:left="1120" w:hanging="365"/>
        <w:spacing w:after="0"/>
        <w:tabs>
          <w:tab w:leader="none" w:pos="112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Wages and benefits, including health care costs;</w:t>
      </w:r>
    </w:p>
    <w:p>
      <w:pPr>
        <w:spacing w:after="0" w:line="70" w:lineRule="exact"/>
        <w:rPr>
          <w:rFonts w:ascii="Times New Roman" w:cs="Times New Roman" w:eastAsia="Times New Roman" w:hAnsi="Times New Roman"/>
          <w:sz w:val="20"/>
          <w:szCs w:val="20"/>
          <w:color w:val="auto"/>
        </w:rPr>
      </w:pPr>
    </w:p>
    <w:p>
      <w:pPr>
        <w:ind w:left="1120" w:hanging="365"/>
        <w:spacing w:after="0"/>
        <w:tabs>
          <w:tab w:leader="none" w:pos="112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compliance; and</w:t>
      </w:r>
    </w:p>
    <w:p>
      <w:pPr>
        <w:spacing w:after="0" w:line="70" w:lineRule="exact"/>
        <w:rPr>
          <w:rFonts w:ascii="Times New Roman" w:cs="Times New Roman" w:eastAsia="Times New Roman" w:hAnsi="Times New Roman"/>
          <w:sz w:val="20"/>
          <w:szCs w:val="20"/>
          <w:color w:val="auto"/>
        </w:rPr>
      </w:pPr>
    </w:p>
    <w:p>
      <w:pPr>
        <w:ind w:left="1120" w:hanging="365"/>
        <w:spacing w:after="0"/>
        <w:tabs>
          <w:tab w:leader="none" w:pos="112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Energy;</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automotive production rates;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industrial growth and economics;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Residential and non-residential construction rates;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environment for U.S. public companies and manufacturing companies;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and exchange rate movements and trends;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levels and expectations; and</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tariff regulations.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Factors That May Influence Results of Operations</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following paragraphs describe factors that have influenced results of operations for the year ended December 31, 2024, that management believes are important to provide an understanding of the business and results of operations or that may influence operations in the future.</w:t>
      </w: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20"/>
          </w:cols>
          <w:pgMar w:left="1000" w:top="786" w:right="102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auto"/>
        </w:rPr>
        <w:t>Macroeconomic Conditions</w:t>
      </w:r>
    </w:p>
    <w:p>
      <w:pPr>
        <w:spacing w:after="0" w:line="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We continue to monitor the ongoing impacts of current macroeconomic and geopolitical events, including changing conditions from ongoing military conflicts, inflationary cost pressures, elevated interest rates, supply chain disruptions, and labor shortages and disruptions.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Ongoing military conflicts continue to create volatility in global financial and energy markets, creating energy and supply chain shortages, which has added to the inflationary pressures experienced by the global economy. We continue to actively work with our suppliers to minimize impacts of supply shortages on our manufacturing capabilities. Although our business has not been materially impacted by these ongoing military conflicts as of the date of this filing, we cannot reasonably predict the extent to which our operations, or those of our customers or suppliers, will be impacted in the future, or the ways in which the conflicts may impact our business, financial condition, results of operations and cash flows.</w:t>
      </w:r>
    </w:p>
    <w:p>
      <w:pPr>
        <w:spacing w:after="0" w:line="8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U.S. economy has experienced inflationary increases and elevated interest rates, as well as supply issues in materials, services, and labor due to economic policy and military conflicts. We cannot predict the future impact on our end-markets or input costs nor our ability to recover cost increases through pricing.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Footprint Optimization</w:t>
      </w:r>
    </w:p>
    <w:p>
      <w:pPr>
        <w:spacing w:after="0" w:line="7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We have taken specific steps to consolidate our footprint by identifying less profitable end markets and focusing our strategic growth initiatives in markets where we believe we will be able to maximize profitability. During the second half of 2024, we identified two manufacturing facilities to close due to volume rationalization which will reduce costs and improve operational efficiency. In January 2025, we ceased production activities at our Mobile Solutions plant in Juarez, Mexico. We plan to stop production activity at our Mobile Solutions plant in Dowagiac, Michigan by the end of the first quarter of 2025. Additionally, we continue to evaluate our global footprint, which may result in further consolidation actions to further improve our overall cost structure.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Concentration</w:t>
      </w:r>
    </w:p>
    <w:p>
      <w:pPr>
        <w:spacing w:after="0" w:line="7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During the years ended December 31, 2024, 2023 and 2022, no single customer accounted for 10% or more of consolidated net sales.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Data as a Percentage of Net Sales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percentage of our net sales represented by statement of operations line item.</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310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00" w:type="dxa"/>
            <w:vAlign w:val="bottom"/>
          </w:tcPr>
          <w:p>
            <w:pPr>
              <w:spacing w:after="0"/>
              <w:rPr>
                <w:sz w:val="20"/>
                <w:szCs w:val="20"/>
                <w:color w:val="auto"/>
              </w:rPr>
            </w:pPr>
          </w:p>
        </w:tc>
        <w:tc>
          <w:tcPr>
            <w:tcW w:w="13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4"/>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25"/>
        </w:trPr>
        <w:tc>
          <w:tcPr>
            <w:tcW w:w="61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Cost of sales (exclusive of depreciation and amortization shown separately</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below)</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85.7 %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84.4 %</w:t>
            </w:r>
          </w:p>
        </w:tc>
        <w:tc>
          <w:tcPr>
            <w:tcW w:w="0" w:type="dxa"/>
            <w:vAlign w:val="bottom"/>
          </w:tcPr>
          <w:p>
            <w:pPr>
              <w:spacing w:after="0"/>
              <w:rPr>
                <w:sz w:val="1"/>
                <w:szCs w:val="1"/>
                <w:color w:val="auto"/>
              </w:rPr>
            </w:pPr>
          </w:p>
        </w:tc>
      </w:tr>
      <w:tr>
        <w:trPr>
          <w:trHeight w:val="287"/>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0" w:type="dxa"/>
            <w:vAlign w:val="bottom"/>
          </w:tcPr>
          <w:p>
            <w:pPr>
              <w:spacing w:after="0"/>
              <w:rPr>
                <w:sz w:val="1"/>
                <w:szCs w:val="1"/>
                <w:color w:val="auto"/>
              </w:rPr>
            </w:pPr>
          </w:p>
        </w:tc>
      </w:tr>
      <w:tr>
        <w:trPr>
          <w:trHeight w:val="285"/>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9.5 %</w:t>
            </w:r>
          </w:p>
        </w:tc>
        <w:tc>
          <w:tcPr>
            <w:tcW w:w="0" w:type="dxa"/>
            <w:vAlign w:val="bottom"/>
          </w:tcPr>
          <w:p>
            <w:pPr>
              <w:spacing w:after="0"/>
              <w:rPr>
                <w:sz w:val="1"/>
                <w:szCs w:val="1"/>
                <w:color w:val="auto"/>
              </w:rPr>
            </w:pPr>
          </w:p>
        </w:tc>
      </w:tr>
      <w:tr>
        <w:trPr>
          <w:trHeight w:val="286"/>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 (income), net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0.5 %</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0" w:type="dxa"/>
            <w:vAlign w:val="bottom"/>
          </w:tcPr>
          <w:p>
            <w:pPr>
              <w:spacing w:after="0"/>
              <w:rPr>
                <w:sz w:val="1"/>
                <w:szCs w:val="1"/>
                <w:color w:val="auto"/>
              </w:rPr>
            </w:pPr>
          </w:p>
        </w:tc>
      </w:tr>
      <w:tr>
        <w:trPr>
          <w:trHeight w:val="262"/>
        </w:trPr>
        <w:tc>
          <w:tcPr>
            <w:tcW w:w="6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Loss from operations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87"/>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0" w:type="dxa"/>
            <w:vAlign w:val="bottom"/>
          </w:tcPr>
          <w:p>
            <w:pPr>
              <w:spacing w:after="0"/>
              <w:rPr>
                <w:sz w:val="1"/>
                <w:szCs w:val="1"/>
                <w:color w:val="auto"/>
              </w:rPr>
            </w:pPr>
          </w:p>
        </w:tc>
      </w:tr>
      <w:tr>
        <w:trPr>
          <w:trHeight w:val="298"/>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80" w:type="dxa"/>
            <w:vAlign w:val="bottom"/>
          </w:tcPr>
          <w:p>
            <w:pPr>
              <w:spacing w:after="0"/>
              <w:rPr>
                <w:sz w:val="24"/>
                <w:szCs w:val="24"/>
                <w:color w:val="auto"/>
              </w:rPr>
            </w:pP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20"/>
                <w:szCs w:val="20"/>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88"/>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(income), net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2.2 %</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04"/>
        </w:trPr>
        <w:tc>
          <w:tcPr>
            <w:tcW w:w="610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Loss before provision for income taxes and share of net income from joint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60"/>
        </w:trPr>
        <w:tc>
          <w:tcPr>
            <w:tcW w:w="6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venture</w:t>
            </w:r>
          </w:p>
        </w:tc>
        <w:tc>
          <w:tcPr>
            <w:tcW w:w="13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86"/>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Share of net income from joint venture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45"/>
        </w:trPr>
        <w:tc>
          <w:tcPr>
            <w:tcW w:w="6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-2650490</wp:posOffset>
            </wp:positionV>
            <wp:extent cx="6524625" cy="2670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6524625" cy="2670175"/>
                    </a:xfrm>
                    <a:prstGeom prst="rect">
                      <a:avLst/>
                    </a:prstGeom>
                    <a:noFill/>
                  </pic:spPr>
                </pic:pic>
              </a:graphicData>
            </a:graphic>
          </wp:anchor>
        </w:drawing>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40"/>
          </w:cols>
          <w:pgMar w:left="1000" w:top="793" w:right="100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to the Year Ended December 31, 2023</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4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464,290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489,270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(24,980)</w:t>
            </w:r>
          </w:p>
        </w:tc>
      </w:tr>
      <w:tr>
        <w:trPr>
          <w:trHeight w:val="227"/>
        </w:trPr>
        <w:tc>
          <w:tcPr>
            <w:tcW w:w="61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Cost of sales (exclusive of depreciation and amortization shown separately</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8"/>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below)</w:t>
            </w:r>
          </w:p>
        </w:tc>
        <w:tc>
          <w:tcPr>
            <w:tcW w:w="320" w:type="dxa"/>
            <w:vAlign w:val="bottom"/>
          </w:tcPr>
          <w:p>
            <w:pPr>
              <w:spacing w:after="0"/>
              <w:rPr>
                <w:sz w:val="23"/>
                <w:szCs w:val="2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394,812</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419,175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(24,363)</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49,481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47,436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2,045</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45,302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46,120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 (income), net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2,243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3,900</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Loss from operations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(27,548)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(5,744)</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22,095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21,137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958</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349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349</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(income), net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10,730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(15,288)</w:t>
            </w:r>
          </w:p>
        </w:tc>
      </w:tr>
      <w:tr>
        <w:trPr>
          <w:trHeight w:val="204"/>
        </w:trPr>
        <w:tc>
          <w:tcPr>
            <w:tcW w:w="614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Loss before provision for income taxes and share of net income from joint</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8"/>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venture</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(53,671)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8,237</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Share of net income from joint venture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9,571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5,806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3,765</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(38,273)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11,877</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-2755265</wp:posOffset>
            </wp:positionV>
            <wp:extent cx="6553200" cy="2774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6553200" cy="2774950"/>
                    </a:xfrm>
                    <a:prstGeom prst="rect">
                      <a:avLst/>
                    </a:prstGeom>
                    <a:noFill/>
                  </pic:spPr>
                </pic:pic>
              </a:graphicData>
            </a:graphic>
          </wp:anchor>
        </w:drawing>
      </w:r>
    </w:p>
    <w:p>
      <w:pPr>
        <w:spacing w:after="0" w:line="105"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Net Sales</w:t>
      </w:r>
      <w:r>
        <w:rPr>
          <w:rFonts w:ascii="Times New Roman" w:cs="Times New Roman" w:eastAsia="Times New Roman" w:hAnsi="Times New Roman"/>
          <w:sz w:val="20"/>
          <w:szCs w:val="20"/>
          <w:color w:val="auto"/>
        </w:rPr>
        <w:t>. Net sales decreased by $25.0 million, or 5.1%, during the year ended December 31, 2024, compared to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2023, primarily due to the sale of our Lubbock operations, customer settlements received in 2023, rationalized volume at plants undergoing turnarounds and unfavorable foreign exchange effects of $3.5 million. These decreases were partially offset by the net impact of contractual pass-through material pricing provisions.</w:t>
      </w:r>
    </w:p>
    <w:p>
      <w:pPr>
        <w:spacing w:after="0" w:line="76"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Cost of Sales. </w:t>
      </w:r>
      <w:r>
        <w:rPr>
          <w:rFonts w:ascii="Times New Roman" w:cs="Times New Roman" w:eastAsia="Times New Roman" w:hAnsi="Times New Roman"/>
          <w:sz w:val="20"/>
          <w:szCs w:val="20"/>
          <w:color w:val="auto"/>
        </w:rPr>
        <w:t>Cost of sales decreased by $24.4 million, or 5.8%, during the year ended December 31, 2024, compared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2023, primarily due to lower sales volume and lower labor costs associated with facility closures.</w:t>
      </w:r>
    </w:p>
    <w:p>
      <w:pPr>
        <w:spacing w:after="0" w:line="5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Selling, General, and Administrative Expense. </w:t>
      </w:r>
      <w:r>
        <w:rPr>
          <w:rFonts w:ascii="Times New Roman" w:cs="Times New Roman" w:eastAsia="Times New Roman" w:hAnsi="Times New Roman"/>
          <w:sz w:val="20"/>
          <w:szCs w:val="20"/>
          <w:color w:val="auto"/>
        </w:rPr>
        <w:t>Selling, general, and administrative expense increased by $2.0 million during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year ended December 31, 2024, compared to the year ended December 31, 2023, primarily due to higher travel, stock compensation and severance expense, partially offset by lower salaries due to a reduction in headcount.</w:t>
      </w:r>
    </w:p>
    <w:p>
      <w:pPr>
        <w:spacing w:after="0" w:line="7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Operating Expense (Income), Net. </w:t>
      </w:r>
      <w:r>
        <w:rPr>
          <w:rFonts w:ascii="Times New Roman" w:cs="Times New Roman" w:eastAsia="Times New Roman" w:hAnsi="Times New Roman"/>
          <w:sz w:val="20"/>
          <w:szCs w:val="20"/>
          <w:color w:val="auto"/>
        </w:rPr>
        <w:t>Other operating expense (income), net changed unfavorably by $3.9 million primarily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due to the impairment of machinery and equipment at a plant that will close in 2025, partially offset by increased sublease income earned on closed facilities and gains on sale of property, plant and equipment.</w:t>
      </w:r>
    </w:p>
    <w:p>
      <w:pPr>
        <w:spacing w:after="0" w:line="7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w:t>
      </w:r>
      <w:r>
        <w:rPr>
          <w:rFonts w:ascii="Times New Roman" w:cs="Times New Roman" w:eastAsia="Times New Roman" w:hAnsi="Times New Roman"/>
          <w:sz w:val="20"/>
          <w:szCs w:val="20"/>
          <w:color w:val="auto"/>
        </w:rPr>
        <w:t>Interest expense increased by $1.0 million during the year ended December 31, 2024, compared to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2023, primarily due to a decrease in the gain recognized on interest rate swap and an increase in the amortization of debt issuance costs. These were partially offset by lower interest rates and lower outstanding balances.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20"/>
        </w:trPr>
        <w:tc>
          <w:tcPr>
            <w:tcW w:w="7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Interest on debt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21,320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21,638</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Gain recognized on interest rate swap</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(1,815)</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debt issuance costs and discount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1,941</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Capitalized interest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w:t>
            </w:r>
          </w:p>
        </w:tc>
      </w:tr>
      <w:tr>
        <w:trPr>
          <w:trHeight w:val="286"/>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703</w:t>
            </w:r>
          </w:p>
        </w:tc>
      </w:tr>
      <w:tr>
        <w:trPr>
          <w:trHeight w:val="245"/>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interest expense</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22,095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21,137</w:t>
            </w:r>
          </w:p>
        </w:tc>
      </w:tr>
      <w:tr>
        <w:trPr>
          <w:trHeight w:val="20"/>
        </w:trPr>
        <w:tc>
          <w:tcPr>
            <w:tcW w:w="7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10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Expense (Income), Net. </w:t>
      </w:r>
      <w:r>
        <w:rPr>
          <w:rFonts w:ascii="Times New Roman" w:cs="Times New Roman" w:eastAsia="Times New Roman" w:hAnsi="Times New Roman"/>
          <w:sz w:val="20"/>
          <w:szCs w:val="20"/>
          <w:color w:val="auto"/>
        </w:rPr>
        <w:t>Other expense (income), net changed favorably by $15.3 million during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2024, compared to the year ended December 31, 2023, primarily due to the $7.2 million gain on sale of the Lubbock operations and a $10.8 million decrease in noncash derivative mark-to-market losses, partially offset by unfavorable foreign exchange effects associated with intercompany borrowings.</w:t>
      </w:r>
    </w:p>
    <w:p>
      <w:pPr>
        <w:spacing w:after="0" w:line="76"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Provision for Income Taxes. </w:t>
      </w:r>
      <w:r>
        <w:rPr>
          <w:rFonts w:ascii="Times New Roman" w:cs="Times New Roman" w:eastAsia="Times New Roman" w:hAnsi="Times New Roman"/>
          <w:sz w:val="19"/>
          <w:szCs w:val="19"/>
          <w:color w:val="auto"/>
        </w:rPr>
        <w:t>Our effective tax rate was (5.3)% for the year ended December 31, 2024, compared to (4.3)%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year ended December 31, 2023. Our effective tax rate for the years ended December 31, 2024 and 2023 were unfavorably impacted by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The effective tax rate for the years ended December 31, 2024 and</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60"/>
          </w:cols>
          <w:pgMar w:left="1000" w:top="789" w:right="980" w:bottom="0" w:gutter="0" w:footer="0" w:header="0"/>
          <w:type w:val="continuous"/>
        </w:sectPr>
      </w:pPr>
    </w:p>
    <w:bookmarkStart w:id="26" w:name="page27"/>
    <w:bookmarkEnd w:id="26"/>
    <w:p>
      <w:pPr>
        <w:jc w:val="both"/>
        <w:ind w:right="180"/>
        <w:spacing w:after="0" w:line="309" w:lineRule="auto"/>
        <w:rPr>
          <w:sz w:val="20"/>
          <w:szCs w:val="20"/>
          <w:color w:val="auto"/>
        </w:rPr>
      </w:pPr>
      <w:r>
        <w:rPr>
          <w:rFonts w:ascii="Times New Roman" w:cs="Times New Roman" w:eastAsia="Times New Roman" w:hAnsi="Times New Roman"/>
          <w:sz w:val="19"/>
          <w:szCs w:val="19"/>
          <w:color w:val="auto"/>
        </w:rPr>
        <w:t>2023 were favorably impacted by the recording of interest income on the Company’s federal income tax refund requested as a result of the Coronavirus Aid, Relief, and Economic Security Act, as well as the recording of a benefit of a state refund claim.</w:t>
      </w:r>
    </w:p>
    <w:p>
      <w:pPr>
        <w:spacing w:after="0" w:line="3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 xml:space="preserve">Share of Net Income from Joint Venture. </w:t>
      </w:r>
      <w:r>
        <w:rPr>
          <w:rFonts w:ascii="Times New Roman" w:cs="Times New Roman" w:eastAsia="Times New Roman" w:hAnsi="Times New Roman"/>
          <w:sz w:val="19"/>
          <w:szCs w:val="19"/>
          <w:color w:val="auto"/>
        </w:rPr>
        <w:t>Share of net income from the joint venture increased by $3.8 million during the year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ended December 31, 2024, compared to the year ended December 31, 2023, primarily due to higher sales and increased margin partially offset by higher fixed costs, depreciation and income taxes. The joint venture, in which we own a 49% investment, recognized net sales of $130.8 million and $109.6 million for the years ended December 31, 2024 and 2023,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Results by Segment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MOBILE SOLUTIONS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283,944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303,335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(19,391)</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(18,078)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-519430</wp:posOffset>
            </wp:positionV>
            <wp:extent cx="6540500" cy="539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extLst>
                    </a:blip>
                    <a:srcRect/>
                    <a:stretch>
                      <a:fillRect/>
                    </a:stretch>
                  </pic:blipFill>
                  <pic:spPr bwMode="auto">
                    <a:xfrm>
                      <a:off x="0" y="0"/>
                      <a:ext cx="6540500" cy="539750"/>
                    </a:xfrm>
                    <a:prstGeom prst="rect">
                      <a:avLst/>
                    </a:prstGeom>
                    <a:noFill/>
                  </pic:spPr>
                </pic:pic>
              </a:graphicData>
            </a:graphic>
          </wp:anchor>
        </w:drawing>
      </w:r>
    </w:p>
    <w:p>
      <w:pPr>
        <w:spacing w:after="0" w:line="1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auto"/>
        </w:rPr>
        <w:t>Net sales decreased by $19.4 million, or 6.4%, during the year ended December 31, 2024, compared to the year ended December 31, 2023, primarily due rationalized volume at plants undergoing turnarounds, contractual reduction in customer pass-through material pricing, a customer settlement received in 2023 and unfavorable foreign exchange effects of $3.3 million.</w:t>
      </w:r>
    </w:p>
    <w:p>
      <w:pPr>
        <w:spacing w:after="0" w:line="5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auto"/>
        </w:rPr>
        <w:t>Loss from operations changed unfavorably by $6.3 million during the year ended December 31, 2024 compared to the prior year, primarily due to the impairment of machinery and equipment at a plant that will close in 2025. The change was also impacted by higher depreciation expense and selling, general and administrative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SOLUTIONS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20"/>
        </w:trPr>
        <w:tc>
          <w:tcPr>
            <w:tcW w:w="6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7"/>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180,545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185,948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(5,403)</w:t>
            </w:r>
          </w:p>
        </w:tc>
      </w:tr>
      <w:tr>
        <w:trPr>
          <w:trHeight w:val="287"/>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Income from operations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-376555</wp:posOffset>
            </wp:positionV>
            <wp:extent cx="6540500" cy="396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6540500" cy="396875"/>
                    </a:xfrm>
                    <a:prstGeom prst="rect">
                      <a:avLst/>
                    </a:prstGeom>
                    <a:noFill/>
                  </pic:spPr>
                </pic:pic>
              </a:graphicData>
            </a:graphic>
          </wp:anchor>
        </w:drawing>
      </w:r>
    </w:p>
    <w:p>
      <w:pPr>
        <w:spacing w:after="0" w:line="150"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20"/>
          <w:szCs w:val="20"/>
          <w:color w:val="auto"/>
        </w:rPr>
        <w:t>Net sales decreased by $5.4 million, or 2.9%, during the year ended December 31, 2024, compared to the year ended December 31, 2023, primarily due to the sale of our Lubbock operations, premium pricing received on a certain customer project during the first quarter of 2023 and unfavorable foreign exchange effects of $0.2 million. These decreases were partially offset by higher precious metals pass-through pricing.</w:t>
      </w:r>
    </w:p>
    <w:p>
      <w:pPr>
        <w:spacing w:after="0" w:line="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auto"/>
        </w:rPr>
        <w:t>Income from operations increased by $2.0 million during the year ended December 31, 2024 compared to the same period in the prior year, primarily due to an increase in sublease income earned on closed facilities and lower depreciation and amortization expense due to sold or fully utilized assets.</w:t>
      </w:r>
    </w:p>
    <w:p>
      <w:pPr>
        <w:spacing w:after="0" w:line="188" w:lineRule="exact"/>
        <w:rPr>
          <w:sz w:val="20"/>
          <w:szCs w:val="20"/>
          <w:color w:val="auto"/>
        </w:rPr>
      </w:pPr>
    </w:p>
    <w:p>
      <w:pPr>
        <w:ind w:right="3540"/>
        <w:spacing w:after="0" w:line="348" w:lineRule="auto"/>
        <w:rPr>
          <w:sz w:val="20"/>
          <w:szCs w:val="20"/>
          <w:color w:val="auto"/>
        </w:rPr>
      </w:pPr>
      <w:r>
        <w:rPr>
          <w:rFonts w:ascii="Times New Roman" w:cs="Times New Roman" w:eastAsia="Times New Roman" w:hAnsi="Times New Roman"/>
          <w:sz w:val="20"/>
          <w:szCs w:val="20"/>
          <w:b w:val="1"/>
          <w:bCs w:val="1"/>
          <w:color w:val="auto"/>
        </w:rPr>
        <w:t xml:space="preserve">Changes in Financial Condition from December 31, 2023 to December 31, 2024 </w:t>
      </w:r>
      <w:r>
        <w:rPr>
          <w:rFonts w:ascii="Times New Roman" w:cs="Times New Roman" w:eastAsia="Times New Roman" w:hAnsi="Times New Roman"/>
          <w:sz w:val="20"/>
          <w:szCs w:val="20"/>
          <w:b w:val="1"/>
          <w:bCs w:val="1"/>
          <w:i w:val="1"/>
          <w:iCs w:val="1"/>
          <w:color w:val="auto"/>
        </w:rPr>
        <w:t>Overview</w:t>
      </w:r>
    </w:p>
    <w:p>
      <w:pPr>
        <w:ind w:right="60"/>
        <w:spacing w:after="0" w:line="258" w:lineRule="auto"/>
        <w:rPr>
          <w:sz w:val="20"/>
          <w:szCs w:val="20"/>
          <w:color w:val="auto"/>
        </w:rPr>
      </w:pPr>
      <w:r>
        <w:rPr>
          <w:rFonts w:ascii="Times New Roman" w:cs="Times New Roman" w:eastAsia="Times New Roman" w:hAnsi="Times New Roman"/>
          <w:sz w:val="20"/>
          <w:szCs w:val="20"/>
          <w:color w:val="auto"/>
        </w:rPr>
        <w:t>From December 31, 2023 to December 31, 2024, total assets decreased by $54.0 million primarily due to decreases in property, plant and equipment and intangible assets due to depreciation and amortization as well as the impairment of machinery and equipment at a plant that will close in 2025. Additionally, accounts receivable, inventory and property, plant and equipment decreased due to the sale of our Lubbock operations during the year. These decreases were partially offset by increases in our investment in a joint venture.</w:t>
      </w:r>
    </w:p>
    <w:p>
      <w:pPr>
        <w:spacing w:after="0" w:line="8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From December 31, 2023 to December 31, 2024, total liabilities decreased by $19.2 million, primarily due to a decrease in accounts payable, a decrease in other non-current liabilities due to the exercise of warrants in 2024 and a reduction in long-term debt due to the partial pay down of the outstanding balance with proceeds from the sale of our Lubbock operations. These decreases were partially offset by an increase in accrued salaries, wages and benefits.</w:t>
      </w:r>
    </w:p>
    <w:p>
      <w:pPr>
        <w:spacing w:after="0" w:line="8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Working capital, which consists of current assets less current liabilities, was $83.7 million as of December 31, 2024, compared to $100.9 million as of December 31, 2023. The decrease in working capital was primarily due to decreases in accounts receivable and inventory, and an increase in accrued salaries, wages and benefits. These were partially offset by a decrease in accounts payable.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7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Cash provided by operations was $11.1 million for the year ended December 31, 2024, compared with $29.3 million for the year ended December 31, 2023. The decline was due to decreases in accounts receivable and inventory during 2023 compared</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60"/>
          </w:cols>
          <w:pgMar w:left="1000" w:top="793" w:right="980" w:bottom="0" w:gutter="0" w:footer="0" w:header="0"/>
          <w:type w:val="continuous"/>
        </w:sectPr>
      </w:pPr>
    </w:p>
    <w:bookmarkStart w:id="27" w:name="page28"/>
    <w:bookmarkEnd w:id="27"/>
    <w:p>
      <w:pPr>
        <w:spacing w:after="0" w:line="281" w:lineRule="auto"/>
        <w:rPr>
          <w:sz w:val="20"/>
          <w:szCs w:val="20"/>
          <w:color w:val="auto"/>
        </w:rPr>
      </w:pPr>
      <w:r>
        <w:rPr>
          <w:rFonts w:ascii="Times New Roman" w:cs="Times New Roman" w:eastAsia="Times New Roman" w:hAnsi="Times New Roman"/>
          <w:sz w:val="20"/>
          <w:szCs w:val="20"/>
          <w:color w:val="auto"/>
        </w:rPr>
        <w:t>with a decrease in accounts payable during 2024. These declines were partially offset by a larger dividend received from the JV in 2024.</w:t>
      </w:r>
    </w:p>
    <w:p>
      <w:pPr>
        <w:spacing w:after="0" w:line="6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Cash used in investing activities was $1.0 million for the year ended December 31, 2024, compared with cash used in investing activities of $17.6 million for the year ended December 31, 2023. The favorable change is primarily due to the $17.0 million received for the sale of the Lubbock operations during 2024.</w:t>
      </w:r>
    </w:p>
    <w:p>
      <w:pPr>
        <w:spacing w:after="0" w:line="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Cash used in financing activities increased by $10.4 million during the year ended December 31, 2024 compared to the same period in 2023, primarily due to higher repayments of long-term debt and debt issuance costs in 2024, partially offset by proceeds from the sale-leaseback transactions in 2024 and proceeds from international loans in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Facilities</w:t>
      </w:r>
    </w:p>
    <w:p>
      <w:pPr>
        <w:spacing w:after="0" w:line="7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auto"/>
        </w:rPr>
        <w:t>The principal amount outstanding under our Term Loan Facility as of December 31, 2024, was $114.4 million, without regard to unamortized debt issuance costs and discount. As of December 31, 2024, we had $5.4 million outstanding borrowings under the ABL Facility and $15.0 million available for future borrowings under the ABL Facility. This amount of borrowing capacity is net of $10.4 million of outstanding letters of credit at December 31, 2024, which are considered as usage of the ABL Facility.</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Term Loan Facility requires quarterly principal payments of $0.4 million with the remaining unpaid principal amount due on the final maturity date of September 22, 2026. We may be required to make additional principal payments annually that are calculated as a percentage of our excess cash flow, as defined by the lender, based on our net leverage ratio. Outstanding borrowings under the Term Loan Facility bear interest at either: 1) one-month, three-month, or six-month Adjusted Term SOFR, subject to a 1.00% floor, plus an applicable margin of 6.875%; or 2) the greater of various benchmark rates plus an applicable margin of 5.875%. Beginning with the second quarter of 2023, interest was increased on a paid-in-kind basis at a rate between 1.00% and 2.00%, dependent on our net leverage ratio, for the most recently reported fiscal quarter and subject to reduction upon the occurrence of certain conditions as set forth in the credit agreement governing the Term Loan Facility. Based on the interest rate in effect at December 31, 2024, annual cash interest payments would be approximately $13.0 million, with an additional $1.1 million accrued as paid-in-kind interest.</w:t>
      </w:r>
    </w:p>
    <w:p>
      <w:pPr>
        <w:spacing w:after="0" w:line="9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The ABL Facility bears interest on a variable borrowing rate based on either: 1) the one, three or six month SOFR plus 1.50%, plus an adjustment of 0.10% (“Term SOFR Rate”); or 2) the highest of the base commercial lending rate of the lender or various benchmark rates plus an applicable margin of 0.50% or 1.0%, depending on the benchmark. We pay a commitment fee of 0.25% for unused capacity under the ABL Facility.</w:t>
      </w:r>
    </w:p>
    <w:p>
      <w:pPr>
        <w:spacing w:after="0" w:line="8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We were in compliance with all requirements under our Term Loan Facility and ABL Facility as of December 31, 2024. Both credit facilities allow for optional expansion of available borrowings, subject to certain terms and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Leaseback Transactions</w:t>
      </w:r>
    </w:p>
    <w:p>
      <w:pPr>
        <w:spacing w:after="0" w:line="7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2024, we entered into several sale-leaseback transactions. We received $16.9 million from the sale and leaseback of three properties, with the net proceeds used to repay a portion of the outstanding borrowings under the Term Loan Facility. The effective interest rate of 9.715% on this transaction, which terminates in 2044, was lower than the borrowings on the Term Loan Facility. In addition, we received $8.3 million from the sale and leaseback of equipment, with $3.4 million of the net proceeds used to repay a portion of the outstanding borrowings under the Term Loan Facility and the balance used for ongoing operational investments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Sales Programs</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at the same or lower interest rates as available on our ABL Facility.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Receivables</w:t>
      </w:r>
    </w:p>
    <w:p>
      <w:pPr>
        <w:spacing w:after="0" w:line="7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In 2021, we filed a refund claim with the IRS as a result of the Coronavirus Aid, Relief, and Economic Security Act. Including interest accrued on the initial refund amount, we have a $12.3 million tax refund receivable at December 31, 2024, which is in the process of IRS review. The timing of the receipt of the refund is expected in the first half of 2025.</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40"/>
          </w:cols>
          <w:pgMar w:left="1000" w:top="793" w:right="100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Functional Currencies</w:t>
      </w:r>
    </w:p>
    <w:p>
      <w:pPr>
        <w:spacing w:after="0" w:line="7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We currently have foreign operations in Brazil, China, France, Mexico, and Poland. The local currency of each foreign facility is also its functional currency.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 and Fluctuation in Quarterly Results</w:t>
      </w:r>
    </w:p>
    <w:p>
      <w:pPr>
        <w:spacing w:after="0" w:line="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Our significant accounting policies, including the assumptions and judgment underlying them, are disclosed in Note 1 of the Notes to Consolidated Financial Statements. As disclosed in Note 1, 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eliminate disproportionate tax effects from accumulated other comprehensive income (loss) when the circumstances upon which they are premised cease to exist.</w:t>
      </w:r>
    </w:p>
    <w:p>
      <w:pPr>
        <w:spacing w:after="0" w:line="9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 significant piece of objective negative evidence evaluated is cumulative losses incurred over the three-year period ended December 31, 2024. Such objective evidence limits the ability to consider other subjective evidence, such as our projections for future earnings growth. We have recorded a U.S. deferred tax liability for foreign earnings which are not indefinitely reinvested. We treat global intangible low-taxed income (“GILTI”) as a periodic charge in the year in which it arises and therefore do not record deferred taxes for basis differences associated with GILTI.</w:t>
      </w:r>
    </w:p>
    <w:p>
      <w:pPr>
        <w:spacing w:after="0" w:line="8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20"/>
          <w:szCs w:val="20"/>
          <w:color w:val="auto"/>
        </w:rPr>
        <w:t>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financial position.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7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deemed not recoverable, then the asset is considered impaired and adjusted to fair value which is then depreciated or amortized over its remaining useful life. Assets to be disposed of are recorded at the lesser of carrying value or fair value less costs of disposal. In assessing potential impairment for long-lived assets, we consider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20"/>
          </w:cols>
          <w:pgMar w:left="1000" w:top="786" w:right="1020" w:bottom="0" w:gutter="0" w:footer="0" w:header="0"/>
          <w:type w:val="continuous"/>
        </w:sectPr>
      </w:pPr>
    </w:p>
    <w:bookmarkStart w:id="29" w:name="page30"/>
    <w:bookmarkEnd w:id="29"/>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7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We are subject to interest rate risk due to our variable rate debt, which comprises a majority of our outstanding indebtedness. The nature and amount of borrowings may vary as a result of future business requirements, market conditions, and other factors. To manage interest rate risk, we have used, and may in the future use, interest rate swap agreements.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At December 31, 2024, we had $114.4 million of principal outstanding under the Term Loan Facility without regard to capitalized debt issuance costs. A one-percent increase in one-month SOFR would have resulted in a net increase in interest expense of $1.1 million on an annualized basis.</w:t>
      </w:r>
    </w:p>
    <w:p>
      <w:pPr>
        <w:spacing w:after="0" w:line="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At December 31, 2024, based on a one-month Term SOFR Rate, the interest rate on outstanding borrowings under the ABL Facility was 5.94%.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Risk</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To help reduce exposure to foreign currency fluctuation, we have incurred debt in euros in the past. Various strategies to manage this risk are available to management, including producing and selling in local currencies and hedging programs. We did not hold a position in any foreign currency derivatives as of December 31, 2024.</w:t>
      </w:r>
    </w:p>
    <w:p>
      <w:pPr>
        <w:sectPr>
          <w:pgSz w:w="12240" w:h="15840" w:orient="portrait"/>
          <w:cols w:equalWidth="0" w:num="1">
            <w:col w:w="10080"/>
          </w:cols>
          <w:pgMar w:left="1000" w:top="78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80"/>
          </w:cols>
          <w:pgMar w:left="1000" w:top="786" w:right="1160" w:bottom="0" w:gutter="0" w:footer="0" w:header="0"/>
          <w:type w:val="continuous"/>
        </w:sectPr>
      </w:pPr>
    </w:p>
    <w:bookmarkStart w:id="30" w:name="page31"/>
    <w:bookmarkEnd w:id="30"/>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Page</w:t>
      </w:r>
    </w:p>
    <w:p>
      <w:pPr>
        <w:spacing w:after="0" w:line="55" w:lineRule="exact"/>
        <w:rPr>
          <w:sz w:val="20"/>
          <w:szCs w:val="20"/>
          <w:color w:val="auto"/>
        </w:rPr>
      </w:pPr>
    </w:p>
    <w:p>
      <w:pPr>
        <w:ind w:left="4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Reports of Independent Registered Public Accounting Firm (PCAOB ID: 248) </w:t>
      </w:r>
      <w:r>
        <w:rPr>
          <w:rFonts w:ascii="Times New Roman" w:cs="Times New Roman" w:eastAsia="Times New Roman" w:hAnsi="Times New Roman"/>
          <w:sz w:val="20"/>
          <w:szCs w:val="20"/>
          <w:color w:val="B4B4B4"/>
        </w:rPr>
        <w:t>. . . . . . . . . . . . . . . . . . . . . . . . . . . . . . . . .</w:t>
      </w:r>
      <w:r>
        <w:rPr>
          <w:rFonts w:ascii="Times New Roman" w:cs="Times New Roman" w:eastAsia="Times New Roman" w:hAnsi="Times New Roman"/>
          <w:sz w:val="20"/>
          <w:szCs w:val="20"/>
          <w:color w:val="auto"/>
        </w:rPr>
        <w:tab/>
        <w:t>32</w:t>
      </w:r>
    </w:p>
    <w:p>
      <w:pPr>
        <w:spacing w:after="0" w:line="55" w:lineRule="exact"/>
        <w:rPr>
          <w:sz w:val="20"/>
          <w:szCs w:val="20"/>
          <w:color w:val="auto"/>
        </w:rPr>
      </w:pPr>
    </w:p>
    <w:p>
      <w:pPr>
        <w:ind w:left="4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Consolidated Statements of Operations and Comprehensive Income (Loss)  </w:t>
      </w:r>
      <w:r>
        <w:rPr>
          <w:rFonts w:ascii="Times New Roman" w:cs="Times New Roman" w:eastAsia="Times New Roman" w:hAnsi="Times New Roman"/>
          <w:sz w:val="20"/>
          <w:szCs w:val="20"/>
          <w:color w:val="B4B4B4"/>
        </w:rPr>
        <w:t>. . . . . . . . . . . . . . . . . . . . . . . . . . . . . . . . . . . .</w:t>
      </w:r>
      <w:r>
        <w:rPr>
          <w:rFonts w:ascii="Times New Roman" w:cs="Times New Roman" w:eastAsia="Times New Roman" w:hAnsi="Times New Roman"/>
          <w:sz w:val="20"/>
          <w:szCs w:val="20"/>
          <w:color w:val="auto"/>
        </w:rPr>
        <w:tab/>
        <w:t>34</w:t>
      </w:r>
    </w:p>
    <w:p>
      <w:pPr>
        <w:spacing w:after="0" w:line="55" w:lineRule="exact"/>
        <w:rPr>
          <w:sz w:val="20"/>
          <w:szCs w:val="20"/>
          <w:color w:val="auto"/>
        </w:rPr>
      </w:pPr>
    </w:p>
    <w:p>
      <w:pPr>
        <w:ind w:left="4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Consolidated Balance Sheets </w:t>
      </w:r>
      <w:r>
        <w:rPr>
          <w:rFonts w:ascii="Times New Roman" w:cs="Times New Roman" w:eastAsia="Times New Roman" w:hAnsi="Times New Roman"/>
          <w:sz w:val="20"/>
          <w:szCs w:val="20"/>
          <w:color w:val="B4B4B4"/>
        </w:rPr>
        <w:t>. . . . . . . . . . . . . . . . . . . . . . . . . . . . . . . . . . . . . . . . . . . . . . . . . . . . . . . . . . . . . . . . . . . . . . . . .</w:t>
      </w:r>
      <w:r>
        <w:rPr>
          <w:rFonts w:ascii="Times New Roman" w:cs="Times New Roman" w:eastAsia="Times New Roman" w:hAnsi="Times New Roman"/>
          <w:sz w:val="20"/>
          <w:szCs w:val="20"/>
          <w:color w:val="auto"/>
        </w:rPr>
        <w:tab/>
        <w:t>35</w:t>
      </w:r>
    </w:p>
    <w:p>
      <w:pPr>
        <w:spacing w:after="0" w:line="55" w:lineRule="exact"/>
        <w:rPr>
          <w:sz w:val="20"/>
          <w:szCs w:val="20"/>
          <w:color w:val="auto"/>
        </w:rPr>
      </w:pPr>
    </w:p>
    <w:p>
      <w:pPr>
        <w:ind w:left="4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Consolidated Statements of Cash Flows  </w:t>
      </w:r>
      <w:r>
        <w:rPr>
          <w:rFonts w:ascii="Times New Roman" w:cs="Times New Roman" w:eastAsia="Times New Roman" w:hAnsi="Times New Roman"/>
          <w:sz w:val="20"/>
          <w:szCs w:val="20"/>
          <w:color w:val="B4B4B4"/>
        </w:rPr>
        <w:t>. . . . . . . . . . . . . . . . . . . . . . . . . . . . . . . . . . . . . . . . . . . . . . . . . . . . . . . . . . . . . . . .</w:t>
      </w:r>
      <w:r>
        <w:rPr>
          <w:rFonts w:ascii="Times New Roman" w:cs="Times New Roman" w:eastAsia="Times New Roman" w:hAnsi="Times New Roman"/>
          <w:sz w:val="20"/>
          <w:szCs w:val="20"/>
          <w:color w:val="auto"/>
        </w:rPr>
        <w:tab/>
        <w:t>36</w:t>
      </w:r>
    </w:p>
    <w:p>
      <w:pPr>
        <w:spacing w:after="0" w:line="55" w:lineRule="exact"/>
        <w:rPr>
          <w:sz w:val="20"/>
          <w:szCs w:val="20"/>
          <w:color w:val="auto"/>
        </w:rPr>
      </w:pPr>
    </w:p>
    <w:p>
      <w:pPr>
        <w:ind w:left="4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Consolidated Statements of Changes in Stockholders’ Equity  </w:t>
      </w:r>
      <w:r>
        <w:rPr>
          <w:rFonts w:ascii="Times New Roman" w:cs="Times New Roman" w:eastAsia="Times New Roman" w:hAnsi="Times New Roman"/>
          <w:sz w:val="20"/>
          <w:szCs w:val="20"/>
          <w:color w:val="B4B4B4"/>
        </w:rPr>
        <w:t>. . . . . . . . . . . . . . . . . . . . . . . . . . . . . . . . . . . . . . . . . . . . . . .</w:t>
      </w:r>
      <w:r>
        <w:rPr>
          <w:rFonts w:ascii="Times New Roman" w:cs="Times New Roman" w:eastAsia="Times New Roman" w:hAnsi="Times New Roman"/>
          <w:sz w:val="20"/>
          <w:szCs w:val="20"/>
          <w:color w:val="auto"/>
        </w:rPr>
        <w:tab/>
        <w:t>38</w:t>
      </w:r>
    </w:p>
    <w:p>
      <w:pPr>
        <w:spacing w:after="0" w:line="55" w:lineRule="exact"/>
        <w:rPr>
          <w:sz w:val="20"/>
          <w:szCs w:val="20"/>
          <w:color w:val="auto"/>
        </w:rPr>
      </w:pPr>
    </w:p>
    <w:p>
      <w:pPr>
        <w:ind w:left="4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Notes to Consolidated Financial Statements </w:t>
      </w:r>
      <w:r>
        <w:rPr>
          <w:rFonts w:ascii="Times New Roman" w:cs="Times New Roman" w:eastAsia="Times New Roman" w:hAnsi="Times New Roman"/>
          <w:sz w:val="20"/>
          <w:szCs w:val="20"/>
          <w:color w:val="B4B4B4"/>
        </w:rPr>
        <w:t>. . . . . . . . . . . . . . . . . . . . . . . . . . . . . . . . . . . . . . . . . . . . . . . . . . . . . . . . . . . . .</w:t>
      </w:r>
      <w:r>
        <w:rPr>
          <w:rFonts w:ascii="Times New Roman" w:cs="Times New Roman" w:eastAsia="Times New Roman" w:hAnsi="Times New Roman"/>
          <w:sz w:val="20"/>
          <w:szCs w:val="20"/>
          <w:color w:val="auto"/>
        </w:rPr>
        <w:tab/>
        <w:t>39</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 Significant Accounting Policies </w:t>
      </w:r>
      <w:r>
        <w:rPr>
          <w:rFonts w:ascii="Times New Roman" w:cs="Times New Roman" w:eastAsia="Times New Roman" w:hAnsi="Times New Roman"/>
          <w:sz w:val="20"/>
          <w:szCs w:val="20"/>
          <w:color w:val="B4B4B4"/>
        </w:rPr>
        <w:t>. . . . . . . . . . . . . . . . . . . . . . . . . . . . . . . . . . . . . . . . . . . . . . . . . . . . . . . . . . . . . .</w:t>
      </w:r>
      <w:r>
        <w:rPr>
          <w:rFonts w:ascii="Times New Roman" w:cs="Times New Roman" w:eastAsia="Times New Roman" w:hAnsi="Times New Roman"/>
          <w:sz w:val="20"/>
          <w:szCs w:val="20"/>
          <w:color w:val="auto"/>
        </w:rPr>
        <w:tab/>
        <w:t>39</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2. Segment Information  </w:t>
      </w:r>
      <w:r>
        <w:rPr>
          <w:rFonts w:ascii="Times New Roman" w:cs="Times New Roman" w:eastAsia="Times New Roman" w:hAnsi="Times New Roman"/>
          <w:sz w:val="20"/>
          <w:szCs w:val="20"/>
          <w:color w:val="B4B4B4"/>
        </w:rPr>
        <w:t>. . . . . . . . . . . . . . . . . . . . . . . . . . . . . . . . . . . . . . . . . . . . . . . . . . . . . . . . . . . . . . . . . . . . . .</w:t>
      </w:r>
      <w:r>
        <w:rPr>
          <w:rFonts w:ascii="Times New Roman" w:cs="Times New Roman" w:eastAsia="Times New Roman" w:hAnsi="Times New Roman"/>
          <w:sz w:val="20"/>
          <w:szCs w:val="20"/>
          <w:color w:val="auto"/>
        </w:rPr>
        <w:tab/>
        <w:t>42</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3. Revenue from Contracts with Customers </w:t>
      </w:r>
      <w:r>
        <w:rPr>
          <w:rFonts w:ascii="Times New Roman" w:cs="Times New Roman" w:eastAsia="Times New Roman" w:hAnsi="Times New Roman"/>
          <w:sz w:val="20"/>
          <w:szCs w:val="20"/>
          <w:color w:val="B4B4B4"/>
        </w:rPr>
        <w:t>. . . . . . . . . . . . . . . . . . . . . . . . . . . . . . . . . . . . . . . . . . . . . . . . . . . . . . .</w:t>
      </w:r>
      <w:r>
        <w:rPr>
          <w:rFonts w:ascii="Times New Roman" w:cs="Times New Roman" w:eastAsia="Times New Roman" w:hAnsi="Times New Roman"/>
          <w:sz w:val="20"/>
          <w:szCs w:val="20"/>
          <w:color w:val="auto"/>
        </w:rPr>
        <w:tab/>
        <w:t>45</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4. Accounts Receivable </w:t>
      </w:r>
      <w:r>
        <w:rPr>
          <w:rFonts w:ascii="Times New Roman" w:cs="Times New Roman" w:eastAsia="Times New Roman" w:hAnsi="Times New Roman"/>
          <w:sz w:val="20"/>
          <w:szCs w:val="20"/>
          <w:color w:val="B4B4B4"/>
        </w:rPr>
        <w:t>. . . . . . . . . . . . . . . . . . . . . . . . . . . . . . . . . . . . . . . . . . . . . . . . . . . . . . . . . . . . . . . . . . . . . . .</w:t>
      </w:r>
      <w:r>
        <w:rPr>
          <w:rFonts w:ascii="Times New Roman" w:cs="Times New Roman" w:eastAsia="Times New Roman" w:hAnsi="Times New Roman"/>
          <w:sz w:val="20"/>
          <w:szCs w:val="20"/>
          <w:color w:val="auto"/>
        </w:rPr>
        <w:tab/>
        <w:t>46</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5. Inventories  </w:t>
      </w:r>
      <w:r>
        <w:rPr>
          <w:rFonts w:ascii="Times New Roman" w:cs="Times New Roman" w:eastAsia="Times New Roman" w:hAnsi="Times New Roman"/>
          <w:sz w:val="20"/>
          <w:szCs w:val="20"/>
          <w:color w:val="B4B4B4"/>
        </w:rPr>
        <w:t>. . . . . . . . . . . . . . . . . . . . . . . . . . . . . . . . . . . . . . . . . . . . . . . . . . . . . . . . . . . . . . . . . . . . . . . . . . . . . .</w:t>
      </w:r>
      <w:r>
        <w:rPr>
          <w:rFonts w:ascii="Times New Roman" w:cs="Times New Roman" w:eastAsia="Times New Roman" w:hAnsi="Times New Roman"/>
          <w:sz w:val="20"/>
          <w:szCs w:val="20"/>
          <w:color w:val="auto"/>
        </w:rPr>
        <w:tab/>
        <w:t>46</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6. Property, Plant and Equipment </w:t>
      </w:r>
      <w:r>
        <w:rPr>
          <w:rFonts w:ascii="Times New Roman" w:cs="Times New Roman" w:eastAsia="Times New Roman" w:hAnsi="Times New Roman"/>
          <w:sz w:val="20"/>
          <w:szCs w:val="20"/>
          <w:color w:val="B4B4B4"/>
        </w:rPr>
        <w:t>. . . . . . . . . . . . . . . . . . . . . . . . . . . . . . . . . . . . . . . . . . . . . . . . . . . . . . . . . . . . . . .</w:t>
      </w:r>
      <w:r>
        <w:rPr>
          <w:rFonts w:ascii="Times New Roman" w:cs="Times New Roman" w:eastAsia="Times New Roman" w:hAnsi="Times New Roman"/>
          <w:sz w:val="20"/>
          <w:szCs w:val="20"/>
          <w:color w:val="auto"/>
        </w:rPr>
        <w:tab/>
        <w:t>47</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7. Intangible Assets </w:t>
      </w:r>
      <w:r>
        <w:rPr>
          <w:rFonts w:ascii="Times New Roman" w:cs="Times New Roman" w:eastAsia="Times New Roman" w:hAnsi="Times New Roman"/>
          <w:sz w:val="20"/>
          <w:szCs w:val="20"/>
          <w:color w:val="B4B4B4"/>
        </w:rPr>
        <w:t>. . . . . . . . . . . . . . . . . . . . . . . . . . . . . . . . . . . . . . . . . . . . . . . . . . . . . . . . . . . . . . . . . . . . . . . . . .</w:t>
      </w:r>
      <w:r>
        <w:rPr>
          <w:rFonts w:ascii="Times New Roman" w:cs="Times New Roman" w:eastAsia="Times New Roman" w:hAnsi="Times New Roman"/>
          <w:sz w:val="20"/>
          <w:szCs w:val="20"/>
          <w:color w:val="auto"/>
        </w:rPr>
        <w:tab/>
        <w:t>47</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8. Investment in Joint Venture </w:t>
      </w:r>
      <w:r>
        <w:rPr>
          <w:rFonts w:ascii="Times New Roman" w:cs="Times New Roman" w:eastAsia="Times New Roman" w:hAnsi="Times New Roman"/>
          <w:sz w:val="20"/>
          <w:szCs w:val="20"/>
          <w:color w:val="B4B4B4"/>
        </w:rPr>
        <w:t>. . . . . . . . . . . . . . . . . . . . . . . . . . . . . . . . . . . . . . . . . . . . . . . . . . . . . . . . . . . . . . . . .</w:t>
      </w:r>
      <w:r>
        <w:rPr>
          <w:rFonts w:ascii="Times New Roman" w:cs="Times New Roman" w:eastAsia="Times New Roman" w:hAnsi="Times New Roman"/>
          <w:sz w:val="20"/>
          <w:szCs w:val="20"/>
          <w:color w:val="auto"/>
        </w:rPr>
        <w:tab/>
        <w:t>48</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9. Debt </w:t>
      </w:r>
      <w:r>
        <w:rPr>
          <w:rFonts w:ascii="Times New Roman" w:cs="Times New Roman" w:eastAsia="Times New Roman" w:hAnsi="Times New Roman"/>
          <w:sz w:val="20"/>
          <w:szCs w:val="20"/>
          <w:color w:val="B4B4B4"/>
        </w:rPr>
        <w:t>. . . . . . . . . . . . . . . . . . . . . . . . . . . . . . . . . . . . . . . . . . . . . . . . . . . . . . . . . . . . . . . . . . . . . . . . . . . . . . . . . . . .</w:t>
      </w:r>
      <w:r>
        <w:rPr>
          <w:rFonts w:ascii="Times New Roman" w:cs="Times New Roman" w:eastAsia="Times New Roman" w:hAnsi="Times New Roman"/>
          <w:sz w:val="20"/>
          <w:szCs w:val="20"/>
          <w:color w:val="auto"/>
        </w:rPr>
        <w:tab/>
        <w:t>48</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10. Preferred Stock </w:t>
      </w:r>
      <w:r>
        <w:rPr>
          <w:rFonts w:ascii="Times New Roman" w:cs="Times New Roman" w:eastAsia="Times New Roman" w:hAnsi="Times New Roman"/>
          <w:sz w:val="20"/>
          <w:szCs w:val="20"/>
          <w:color w:val="B4B4B4"/>
        </w:rPr>
        <w:t>. . . . . . . . . . . . . . . . . . . . . . . . . . . . . . . . . . . . . . . . . . . . . . . . . . . . . . . . . . . . . . . . . . . . . . . . . .</w:t>
      </w:r>
      <w:r>
        <w:rPr>
          <w:rFonts w:ascii="Times New Roman" w:cs="Times New Roman" w:eastAsia="Times New Roman" w:hAnsi="Times New Roman"/>
          <w:sz w:val="20"/>
          <w:szCs w:val="20"/>
          <w:color w:val="auto"/>
        </w:rPr>
        <w:tab/>
        <w:t>50</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11. Leases </w:t>
      </w:r>
      <w:r>
        <w:rPr>
          <w:rFonts w:ascii="Times New Roman" w:cs="Times New Roman" w:eastAsia="Times New Roman" w:hAnsi="Times New Roman"/>
          <w:sz w:val="20"/>
          <w:szCs w:val="20"/>
          <w:color w:val="B4B4B4"/>
        </w:rPr>
        <w:t>. . . . . . . . . . . . . . . . . . . . . . . . . . . . . . . . . . . . . . . . . . . . . . . . . . . . . . . . . . . . . . . . . . . . . . . . . . . . . . . . .</w:t>
      </w:r>
      <w:r>
        <w:rPr>
          <w:rFonts w:ascii="Times New Roman" w:cs="Times New Roman" w:eastAsia="Times New Roman" w:hAnsi="Times New Roman"/>
          <w:sz w:val="20"/>
          <w:szCs w:val="20"/>
          <w:color w:val="auto"/>
        </w:rPr>
        <w:tab/>
        <w:t>51</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12. Commitments and Contingencies </w:t>
      </w:r>
      <w:r>
        <w:rPr>
          <w:rFonts w:ascii="Times New Roman" w:cs="Times New Roman" w:eastAsia="Times New Roman" w:hAnsi="Times New Roman"/>
          <w:sz w:val="20"/>
          <w:szCs w:val="20"/>
          <w:color w:val="B4B4B4"/>
        </w:rPr>
        <w:t>. . . . . . . . . . . . . . . . . . . . . . . . . . . . . . . . . . . . . . . . . . . . . . . . . . . . . . . . . . . .</w:t>
      </w:r>
      <w:r>
        <w:rPr>
          <w:rFonts w:ascii="Times New Roman" w:cs="Times New Roman" w:eastAsia="Times New Roman" w:hAnsi="Times New Roman"/>
          <w:sz w:val="20"/>
          <w:szCs w:val="20"/>
          <w:color w:val="auto"/>
        </w:rPr>
        <w:tab/>
        <w:t>52</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13. Income Taxes </w:t>
      </w:r>
      <w:r>
        <w:rPr>
          <w:rFonts w:ascii="Times New Roman" w:cs="Times New Roman" w:eastAsia="Times New Roman" w:hAnsi="Times New Roman"/>
          <w:sz w:val="20"/>
          <w:szCs w:val="20"/>
          <w:color w:val="B4B4B4"/>
        </w:rPr>
        <w:t>. . . . . . . . . . . . . . . . . . . . . . . . . . . . . . . . . . . . . . . . . . . . . . . . . . . . . . . . . . . . . . . . . . . . . . . . . . .</w:t>
      </w:r>
      <w:r>
        <w:rPr>
          <w:rFonts w:ascii="Times New Roman" w:cs="Times New Roman" w:eastAsia="Times New Roman" w:hAnsi="Times New Roman"/>
          <w:sz w:val="20"/>
          <w:szCs w:val="20"/>
          <w:color w:val="auto"/>
        </w:rPr>
        <w:tab/>
        <w:t>53</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14. Net Income (Loss) Per Common Share </w:t>
      </w:r>
      <w:r>
        <w:rPr>
          <w:rFonts w:ascii="Times New Roman" w:cs="Times New Roman" w:eastAsia="Times New Roman" w:hAnsi="Times New Roman"/>
          <w:sz w:val="20"/>
          <w:szCs w:val="20"/>
          <w:color w:val="B4B4B4"/>
        </w:rPr>
        <w:t>. . . . . . . . . . . . . . . . . . . . . . . . . . . . . . . . . . . . . . . . . . . . . . . . . . . . . . .</w:t>
      </w:r>
      <w:r>
        <w:rPr>
          <w:rFonts w:ascii="Times New Roman" w:cs="Times New Roman" w:eastAsia="Times New Roman" w:hAnsi="Times New Roman"/>
          <w:sz w:val="20"/>
          <w:szCs w:val="20"/>
          <w:color w:val="auto"/>
        </w:rPr>
        <w:tab/>
        <w:t>56</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15. Share-Based Compensation </w:t>
      </w:r>
      <w:r>
        <w:rPr>
          <w:rFonts w:ascii="Times New Roman" w:cs="Times New Roman" w:eastAsia="Times New Roman" w:hAnsi="Times New Roman"/>
          <w:sz w:val="20"/>
          <w:szCs w:val="20"/>
          <w:color w:val="B4B4B4"/>
        </w:rPr>
        <w:t>. . . . . . . . . . . . . . . . . . . . . . . . . . . . . . . . . . . . . . . . . . . . . . . . . . . . . . . . . . . . . . . .</w:t>
      </w:r>
      <w:r>
        <w:rPr>
          <w:rFonts w:ascii="Times New Roman" w:cs="Times New Roman" w:eastAsia="Times New Roman" w:hAnsi="Times New Roman"/>
          <w:sz w:val="20"/>
          <w:szCs w:val="20"/>
          <w:color w:val="auto"/>
        </w:rPr>
        <w:tab/>
        <w:t>56</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16. Accumulated Other Comprehensive Income </w:t>
      </w:r>
      <w:r>
        <w:rPr>
          <w:rFonts w:ascii="Times New Roman" w:cs="Times New Roman" w:eastAsia="Times New Roman" w:hAnsi="Times New Roman"/>
          <w:sz w:val="20"/>
          <w:szCs w:val="20"/>
          <w:color w:val="B4B4B4"/>
        </w:rPr>
        <w:t>. . . . . . . . . . . . . . . . . . . . . . . . . . . . . . . . . . . . . . . . . . . . . . . . . . .</w:t>
      </w:r>
      <w:r>
        <w:rPr>
          <w:rFonts w:ascii="Times New Roman" w:cs="Times New Roman" w:eastAsia="Times New Roman" w:hAnsi="Times New Roman"/>
          <w:sz w:val="20"/>
          <w:szCs w:val="20"/>
          <w:color w:val="auto"/>
        </w:rPr>
        <w:tab/>
        <w:t>58</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17. Fair Value Measurements </w:t>
      </w:r>
      <w:r>
        <w:rPr>
          <w:rFonts w:ascii="Times New Roman" w:cs="Times New Roman" w:eastAsia="Times New Roman" w:hAnsi="Times New Roman"/>
          <w:sz w:val="20"/>
          <w:szCs w:val="20"/>
          <w:color w:val="B4B4B4"/>
        </w:rPr>
        <w:t>. . . . . . . . . . . . . . . . . . . . . . . . . . . . . . . . . . . . . . . . . . . . . . . . . . . . . . . . . . . . . . . . . .</w:t>
      </w:r>
      <w:r>
        <w:rPr>
          <w:rFonts w:ascii="Times New Roman" w:cs="Times New Roman" w:eastAsia="Times New Roman" w:hAnsi="Times New Roman"/>
          <w:sz w:val="20"/>
          <w:szCs w:val="20"/>
          <w:color w:val="auto"/>
        </w:rPr>
        <w:tab/>
        <w:t>58</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18. Divestiture </w:t>
      </w:r>
      <w:r>
        <w:rPr>
          <w:rFonts w:ascii="Times New Roman" w:cs="Times New Roman" w:eastAsia="Times New Roman" w:hAnsi="Times New Roman"/>
          <w:sz w:val="20"/>
          <w:szCs w:val="20"/>
          <w:color w:val="B4B4B4"/>
        </w:rPr>
        <w:t>. . . . . . . . . . . . . . . . . . . . . . . . . . . . . . . . . . . . . . . . . . . . . . . . . . . . . . . . . . . . . . . . . . . . . . . . . . . . . .</w:t>
      </w:r>
      <w:r>
        <w:rPr>
          <w:rFonts w:ascii="Times New Roman" w:cs="Times New Roman" w:eastAsia="Times New Roman" w:hAnsi="Times New Roman"/>
          <w:sz w:val="20"/>
          <w:szCs w:val="20"/>
          <w:color w:val="auto"/>
        </w:rPr>
        <w:tab/>
        <w:t>60</w:t>
      </w:r>
    </w:p>
    <w:p>
      <w:pPr>
        <w:spacing w:after="0" w:line="55" w:lineRule="exact"/>
        <w:rPr>
          <w:sz w:val="20"/>
          <w:szCs w:val="20"/>
          <w:color w:val="auto"/>
        </w:rPr>
      </w:pPr>
    </w:p>
    <w:p>
      <w:pPr>
        <w:ind w:left="280"/>
        <w:spacing w:after="0"/>
        <w:tabs>
          <w:tab w:leader="none" w:pos="9980" w:val="left"/>
        </w:tabs>
        <w:rPr>
          <w:sz w:val="20"/>
          <w:szCs w:val="20"/>
          <w:color w:val="auto"/>
        </w:rPr>
      </w:pPr>
      <w:r>
        <w:rPr>
          <w:rFonts w:ascii="Times New Roman" w:cs="Times New Roman" w:eastAsia="Times New Roman" w:hAnsi="Times New Roman"/>
          <w:sz w:val="20"/>
          <w:szCs w:val="20"/>
          <w:color w:val="auto"/>
        </w:rPr>
        <w:t xml:space="preserve">Note 19. Plant Optimization Activities </w:t>
      </w:r>
      <w:r>
        <w:rPr>
          <w:rFonts w:ascii="Times New Roman" w:cs="Times New Roman" w:eastAsia="Times New Roman" w:hAnsi="Times New Roman"/>
          <w:sz w:val="20"/>
          <w:szCs w:val="20"/>
          <w:color w:val="B4B4B4"/>
        </w:rPr>
        <w:t>. . . . . . . . . . . . . . . . . . . . . . . . . . . . . . . . . . . . . . . . . . . . . . . . . . . . . . . . . . . . . . .</w:t>
      </w:r>
      <w:r>
        <w:rPr>
          <w:rFonts w:ascii="Times New Roman" w:cs="Times New Roman" w:eastAsia="Times New Roman" w:hAnsi="Times New Roman"/>
          <w:sz w:val="20"/>
          <w:szCs w:val="20"/>
          <w:color w:val="auto"/>
        </w:rPr>
        <w:tab/>
        <w:t>60</w:t>
      </w:r>
    </w:p>
    <w:p>
      <w:pPr>
        <w:sectPr>
          <w:pgSz w:w="12240" w:h="15840" w:orient="portrait"/>
          <w:cols w:equalWidth="0" w:num="1">
            <w:col w:w="10200"/>
          </w:cols>
          <w:pgMar w:left="1000" w:top="78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00"/>
          </w:cols>
          <w:pgMar w:left="1000" w:top="786" w:right="1040" w:bottom="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Stockholders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NN, Inc.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34"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NN, Inc. (a Delaware corporation) and subsidiaries (the “Company”) as of December 31, 2024, based on criteria established in the 2013 </w:t>
      </w:r>
      <w:r>
        <w:rPr>
          <w:rFonts w:ascii="Times New Roman" w:cs="Times New Roman" w:eastAsia="Times New Roman" w:hAnsi="Times New Roman"/>
          <w:sz w:val="20"/>
          <w:szCs w:val="20"/>
          <w:b w:val="1"/>
          <w:bCs w:val="1"/>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20"/>
          <w:szCs w:val="20"/>
          <w:b w:val="1"/>
          <w:bCs w:val="1"/>
          <w:i w:val="1"/>
          <w:iCs w:val="1"/>
          <w:color w:val="auto"/>
        </w:rPr>
        <w:t>Internal Control—Integrated Framework</w:t>
      </w:r>
      <w:r>
        <w:rPr>
          <w:rFonts w:ascii="Times New Roman" w:cs="Times New Roman" w:eastAsia="Times New Roman" w:hAnsi="Times New Roman"/>
          <w:sz w:val="20"/>
          <w:szCs w:val="20"/>
          <w:color w:val="auto"/>
        </w:rPr>
        <w:t xml:space="preserve"> issued by COSO.</w:t>
      </w:r>
    </w:p>
    <w:p>
      <w:pPr>
        <w:spacing w:after="0" w:line="116" w:lineRule="exact"/>
        <w:rPr>
          <w:sz w:val="20"/>
          <w:szCs w:val="20"/>
          <w:color w:val="auto"/>
        </w:rPr>
      </w:pPr>
    </w:p>
    <w:p>
      <w:pPr>
        <w:jc w:val="both"/>
        <w:ind w:right="300"/>
        <w:spacing w:after="0" w:line="241"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Company as of and for the year ended December 31, 2024, and our report dated March 5, 2025 expressed an unqualified opinion on those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3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ind w:right="460"/>
        <w:spacing w:after="0" w:line="260"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North Carolina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5, 2025</w:t>
      </w:r>
    </w:p>
    <w:p>
      <w:pPr>
        <w:sectPr>
          <w:pgSz w:w="12240" w:h="15840" w:orient="portrait"/>
          <w:cols w:equalWidth="0" w:num="1">
            <w:col w:w="10240"/>
          </w:cols>
          <w:pgMar w:left="1000" w:top="9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40"/>
          </w:cols>
          <w:pgMar w:left="1000" w:top="993" w:right="1000" w:bottom="0" w:gutter="0" w:footer="0" w:header="0"/>
          <w:type w:val="continuous"/>
        </w:sectPr>
      </w:pPr>
    </w:p>
    <w:bookmarkStart w:id="32" w:name="page33"/>
    <w:bookmarkEnd w:id="32"/>
    <w:p>
      <w:pPr>
        <w:ind w:left="17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Stockholders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NN,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NN, Inc. (a Delaware corporation) and subsidiaries (the “Company”) as of December 31, 2024 and 2023, the related consolidated statements of operations and comprehensive income (loss),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3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20"/>
          <w:szCs w:val="20"/>
          <w:b w:val="1"/>
          <w:bCs w:val="1"/>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(“COSO”), and our report dated March 5, 2025 expressed an unqualified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North Carolina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5, 2025</w:t>
      </w:r>
    </w:p>
    <w:p>
      <w:pPr>
        <w:sectPr>
          <w:pgSz w:w="12240" w:h="15840" w:orient="portrait"/>
          <w:cols w:equalWidth="0" w:num="1">
            <w:col w:w="10220"/>
          </w:cols>
          <w:pgMar w:left="1000" w:top="100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20"/>
          </w:cols>
          <w:pgMar w:left="1000" w:top="1000" w:right="1020" w:bottom="0" w:gutter="0" w:footer="0" w:header="0"/>
          <w:type w:val="continuous"/>
        </w:sectPr>
      </w:pPr>
    </w:p>
    <w:bookmarkStart w:id="33" w:name="page34"/>
    <w:bookmarkEnd w:id="33"/>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 (Loss)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464,290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489,270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498,738</w:t>
            </w:r>
          </w:p>
        </w:tc>
        <w:tc>
          <w:tcPr>
            <w:tcW w:w="0" w:type="dxa"/>
            <w:vAlign w:val="bottom"/>
          </w:tcPr>
          <w:p>
            <w:pPr>
              <w:spacing w:after="0"/>
              <w:rPr>
                <w:sz w:val="1"/>
                <w:szCs w:val="1"/>
                <w:color w:val="auto"/>
              </w:rPr>
            </w:pPr>
          </w:p>
        </w:tc>
      </w:tr>
      <w:tr>
        <w:trPr>
          <w:trHeight w:val="30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 shown separately below)</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394,812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419,175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421,105</w:t>
            </w:r>
          </w:p>
        </w:tc>
        <w:tc>
          <w:tcPr>
            <w:tcW w:w="0" w:type="dxa"/>
            <w:vAlign w:val="bottom"/>
          </w:tcPr>
          <w:p>
            <w:pPr>
              <w:spacing w:after="0"/>
              <w:rPr>
                <w:sz w:val="1"/>
                <w:szCs w:val="1"/>
                <w:color w:val="auto"/>
              </w:rPr>
            </w:pPr>
          </w:p>
        </w:tc>
      </w:tr>
      <w:tr>
        <w:trPr>
          <w:trHeight w:val="30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47,436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49,635</w:t>
            </w:r>
          </w:p>
        </w:tc>
        <w:tc>
          <w:tcPr>
            <w:tcW w:w="0" w:type="dxa"/>
            <w:vAlign w:val="bottom"/>
          </w:tcPr>
          <w:p>
            <w:pPr>
              <w:spacing w:after="0"/>
              <w:rPr>
                <w:sz w:val="1"/>
                <w:szCs w:val="1"/>
                <w:color w:val="auto"/>
              </w:rPr>
            </w:pPr>
          </w:p>
        </w:tc>
      </w:tr>
      <w:tr>
        <w:trPr>
          <w:trHeight w:val="30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46,120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47,231</w:t>
            </w:r>
          </w:p>
        </w:tc>
        <w:tc>
          <w:tcPr>
            <w:tcW w:w="0" w:type="dxa"/>
            <w:vAlign w:val="bottom"/>
          </w:tcPr>
          <w:p>
            <w:pPr>
              <w:spacing w:after="0"/>
              <w:rPr>
                <w:sz w:val="1"/>
                <w:szCs w:val="1"/>
                <w:color w:val="auto"/>
              </w:rPr>
            </w:pPr>
          </w:p>
        </w:tc>
      </w:tr>
      <w:tr>
        <w:trPr>
          <w:trHeight w:val="303"/>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 (income), net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(1,657)</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1,859</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Loss from operations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(21,804)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(21,092)</w:t>
            </w:r>
          </w:p>
        </w:tc>
        <w:tc>
          <w:tcPr>
            <w:tcW w:w="0" w:type="dxa"/>
            <w:vAlign w:val="bottom"/>
          </w:tcPr>
          <w:p>
            <w:pPr>
              <w:spacing w:after="0"/>
              <w:rPr>
                <w:sz w:val="1"/>
                <w:szCs w:val="1"/>
                <w:color w:val="auto"/>
              </w:rPr>
            </w:pPr>
          </w:p>
        </w:tc>
      </w:tr>
      <w:tr>
        <w:trPr>
          <w:trHeight w:val="30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22,095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21,137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15,041</w:t>
            </w:r>
          </w:p>
        </w:tc>
        <w:tc>
          <w:tcPr>
            <w:tcW w:w="0" w:type="dxa"/>
            <w:vAlign w:val="bottom"/>
          </w:tcPr>
          <w:p>
            <w:pPr>
              <w:spacing w:after="0"/>
              <w:rPr>
                <w:sz w:val="1"/>
                <w:szCs w:val="1"/>
                <w:color w:val="auto"/>
              </w:rPr>
            </w:pPr>
          </w:p>
        </w:tc>
      </w:tr>
      <w:tr>
        <w:trPr>
          <w:trHeight w:val="30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(income), net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10,730</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(5,064)</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Loss before provision for income taxes and share of net income from joint venture</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(53,671)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(31,069)</w:t>
            </w:r>
          </w:p>
        </w:tc>
        <w:tc>
          <w:tcPr>
            <w:tcW w:w="0" w:type="dxa"/>
            <w:vAlign w:val="bottom"/>
          </w:tcPr>
          <w:p>
            <w:pPr>
              <w:spacing w:after="0"/>
              <w:rPr>
                <w:sz w:val="1"/>
                <w:szCs w:val="1"/>
                <w:color w:val="auto"/>
              </w:rPr>
            </w:pPr>
          </w:p>
        </w:tc>
      </w:tr>
      <w:tr>
        <w:trPr>
          <w:trHeight w:val="30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w:t>
            </w:r>
          </w:p>
        </w:tc>
        <w:tc>
          <w:tcPr>
            <w:tcW w:w="0" w:type="dxa"/>
            <w:vAlign w:val="bottom"/>
          </w:tcPr>
          <w:p>
            <w:pPr>
              <w:spacing w:after="0"/>
              <w:rPr>
                <w:sz w:val="1"/>
                <w:szCs w:val="1"/>
                <w:color w:val="auto"/>
              </w:rPr>
            </w:pPr>
          </w:p>
        </w:tc>
      </w:tr>
      <w:tr>
        <w:trPr>
          <w:trHeight w:val="303"/>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Share of net income from joint venture</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9,571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5,806</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6,592</w:t>
            </w:r>
          </w:p>
        </w:tc>
        <w:tc>
          <w:tcPr>
            <w:tcW w:w="0" w:type="dxa"/>
            <w:vAlign w:val="bottom"/>
          </w:tcPr>
          <w:p>
            <w:pPr>
              <w:spacing w:after="0"/>
              <w:rPr>
                <w:sz w:val="1"/>
                <w:szCs w:val="1"/>
                <w:color w:val="auto"/>
              </w:rPr>
            </w:pPr>
          </w:p>
        </w:tc>
      </w:tr>
      <w:tr>
        <w:trPr>
          <w:trHeight w:val="280"/>
        </w:trPr>
        <w:tc>
          <w:tcPr>
            <w:tcW w:w="6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(26,098)</w:t>
            </w: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68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Foreign currency translation gain (loss)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(8,156)</w:t>
            </w:r>
          </w:p>
        </w:tc>
        <w:tc>
          <w:tcPr>
            <w:tcW w:w="0" w:type="dxa"/>
            <w:vAlign w:val="bottom"/>
          </w:tcPr>
          <w:p>
            <w:pPr>
              <w:spacing w:after="0"/>
              <w:rPr>
                <w:sz w:val="1"/>
                <w:szCs w:val="1"/>
                <w:color w:val="auto"/>
              </w:rPr>
            </w:pPr>
          </w:p>
        </w:tc>
      </w:tr>
      <w:tr>
        <w:trPr>
          <w:trHeight w:val="300"/>
        </w:trPr>
        <w:tc>
          <w:tcPr>
            <w:tcW w:w="68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rate swap:</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Change in fair value, net of tax</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3,358</w:t>
            </w:r>
          </w:p>
        </w:tc>
        <w:tc>
          <w:tcPr>
            <w:tcW w:w="0" w:type="dxa"/>
            <w:vAlign w:val="bottom"/>
          </w:tcPr>
          <w:p>
            <w:pPr>
              <w:spacing w:after="0"/>
              <w:rPr>
                <w:sz w:val="1"/>
                <w:szCs w:val="1"/>
                <w:color w:val="auto"/>
              </w:rPr>
            </w:pPr>
          </w:p>
        </w:tc>
      </w:tr>
      <w:tr>
        <w:trPr>
          <w:trHeight w:val="303"/>
        </w:trPr>
        <w:tc>
          <w:tcPr>
            <w:tcW w:w="6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Reclassification adjustments included in net loss, net of tax</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(1,815)</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0" w:type="dxa"/>
            <w:vAlign w:val="bottom"/>
          </w:tcPr>
          <w:p>
            <w:pPr>
              <w:spacing w:after="0"/>
              <w:rPr>
                <w:sz w:val="1"/>
                <w:szCs w:val="1"/>
                <w:color w:val="auto"/>
              </w:rPr>
            </w:pPr>
          </w:p>
        </w:tc>
      </w:tr>
      <w:tr>
        <w:trPr>
          <w:trHeight w:val="28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(10,412)</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(5,218)</w:t>
            </w:r>
          </w:p>
        </w:tc>
        <w:tc>
          <w:tcPr>
            <w:tcW w:w="0" w:type="dxa"/>
            <w:vAlign w:val="bottom"/>
          </w:tcPr>
          <w:p>
            <w:pPr>
              <w:spacing w:after="0"/>
              <w:rPr>
                <w:sz w:val="1"/>
                <w:szCs w:val="1"/>
                <w:color w:val="auto"/>
              </w:rPr>
            </w:pPr>
          </w:p>
        </w:tc>
      </w:tr>
      <w:tr>
        <w:trPr>
          <w:trHeight w:val="260"/>
        </w:trPr>
        <w:tc>
          <w:tcPr>
            <w:tcW w:w="6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Comprehensive loss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(48,685)</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(50,785)</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(31,316)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Basic and diluted net loss per common share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6860" w:type="dxa"/>
            <w:vAlign w:val="bottom"/>
            <w:vMerge w:val="continue"/>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(0.83)</w:t>
            </w:r>
          </w:p>
        </w:tc>
        <w:tc>
          <w:tcPr>
            <w:tcW w:w="0" w:type="dxa"/>
            <w:vAlign w:val="bottom"/>
          </w:tcPr>
          <w:p>
            <w:pPr>
              <w:spacing w:after="0"/>
              <w:rPr>
                <w:sz w:val="1"/>
                <w:szCs w:val="1"/>
                <w:color w:val="auto"/>
              </w:rPr>
            </w:pPr>
          </w:p>
        </w:tc>
      </w:tr>
      <w:tr>
        <w:trPr>
          <w:trHeight w:val="30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Shares used to calculate basic and diluted net loss per share</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48,653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46,738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-4375785</wp:posOffset>
            </wp:positionV>
            <wp:extent cx="6553200" cy="4397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6553200" cy="4397375"/>
                    </a:xfrm>
                    <a:prstGeom prst="rect">
                      <a:avLst/>
                    </a:prstGeom>
                    <a:noFill/>
                  </pic:spPr>
                </pic:pic>
              </a:graphicData>
            </a:graphic>
          </wp:anchor>
        </w:drawing>
      </w:r>
    </w:p>
    <w:p>
      <w:pPr>
        <w:spacing w:after="0" w:line="2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See Notes to Consolidated Financial Statements.</w:t>
      </w:r>
    </w:p>
    <w:p>
      <w:pPr>
        <w:sectPr>
          <w:pgSz w:w="12240" w:h="15840" w:orient="portrait"/>
          <w:cols w:equalWidth="0" w:num="1">
            <w:col w:w="10220"/>
          </w:cols>
          <w:pgMar w:left="104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20"/>
          </w:cols>
          <w:pgMar w:left="1040" w:top="786" w:right="980" w:bottom="0" w:gutter="0" w:footer="0" w:header="0"/>
          <w:type w:val="continuous"/>
        </w:sectPr>
      </w:pPr>
    </w:p>
    <w:bookmarkStart w:id="34" w:name="page35"/>
    <w:bookmarkEnd w:id="34"/>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0"/>
        </w:trPr>
        <w:tc>
          <w:tcPr>
            <w:tcW w:w="7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18,128</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21,903</w:t>
            </w:r>
          </w:p>
        </w:tc>
        <w:tc>
          <w:tcPr>
            <w:tcW w:w="0" w:type="dxa"/>
            <w:vAlign w:val="bottom"/>
          </w:tcPr>
          <w:p>
            <w:pPr>
              <w:spacing w:after="0"/>
              <w:rPr>
                <w:sz w:val="1"/>
                <w:szCs w:val="1"/>
                <w:color w:val="auto"/>
              </w:rPr>
            </w:pPr>
          </w:p>
        </w:tc>
      </w:tr>
      <w:tr>
        <w:trPr>
          <w:trHeight w:val="30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receivable, net</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61,549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65,545</w:t>
            </w:r>
          </w:p>
        </w:tc>
        <w:tc>
          <w:tcPr>
            <w:tcW w:w="0" w:type="dxa"/>
            <w:vAlign w:val="bottom"/>
          </w:tcPr>
          <w:p>
            <w:pPr>
              <w:spacing w:after="0"/>
              <w:rPr>
                <w:sz w:val="1"/>
                <w:szCs w:val="1"/>
                <w:color w:val="auto"/>
              </w:rPr>
            </w:pPr>
          </w:p>
        </w:tc>
      </w:tr>
      <w:tr>
        <w:trPr>
          <w:trHeight w:val="30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Inventories</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61,877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71,563</w:t>
            </w:r>
          </w:p>
        </w:tc>
        <w:tc>
          <w:tcPr>
            <w:tcW w:w="0" w:type="dxa"/>
            <w:vAlign w:val="bottom"/>
          </w:tcPr>
          <w:p>
            <w:pPr>
              <w:spacing w:after="0"/>
              <w:rPr>
                <w:sz w:val="1"/>
                <w:szCs w:val="1"/>
                <w:color w:val="auto"/>
              </w:rPr>
            </w:pPr>
          </w:p>
        </w:tc>
      </w:tr>
      <w:tr>
        <w:trPr>
          <w:trHeight w:val="30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 tax receivable</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12,634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11,885</w:t>
            </w:r>
          </w:p>
        </w:tc>
        <w:tc>
          <w:tcPr>
            <w:tcW w:w="0" w:type="dxa"/>
            <w:vAlign w:val="bottom"/>
          </w:tcPr>
          <w:p>
            <w:pPr>
              <w:spacing w:after="0"/>
              <w:rPr>
                <w:sz w:val="1"/>
                <w:szCs w:val="1"/>
                <w:color w:val="auto"/>
              </w:rPr>
            </w:pPr>
          </w:p>
        </w:tc>
      </w:tr>
      <w:tr>
        <w:trPr>
          <w:trHeight w:val="30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Prepaid assets</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2,855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2,464</w:t>
            </w:r>
          </w:p>
        </w:tc>
        <w:tc>
          <w:tcPr>
            <w:tcW w:w="0" w:type="dxa"/>
            <w:vAlign w:val="bottom"/>
          </w:tcPr>
          <w:p>
            <w:pPr>
              <w:spacing w:after="0"/>
              <w:rPr>
                <w:sz w:val="1"/>
                <w:szCs w:val="1"/>
                <w:color w:val="auto"/>
              </w:rPr>
            </w:pPr>
          </w:p>
        </w:tc>
      </w:tr>
      <w:tr>
        <w:trPr>
          <w:trHeight w:val="303"/>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assets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10,519</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9,194</w:t>
            </w:r>
          </w:p>
        </w:tc>
        <w:tc>
          <w:tcPr>
            <w:tcW w:w="0" w:type="dxa"/>
            <w:vAlign w:val="bottom"/>
          </w:tcPr>
          <w:p>
            <w:pPr>
              <w:spacing w:after="0"/>
              <w:rPr>
                <w:sz w:val="1"/>
                <w:szCs w:val="1"/>
                <w:color w:val="auto"/>
              </w:rPr>
            </w:pPr>
          </w:p>
        </w:tc>
      </w:tr>
      <w:tr>
        <w:trPr>
          <w:trHeight w:val="277"/>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167,562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182,554</w:t>
            </w: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162,034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185,812</w:t>
            </w: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39,317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43,357</w:t>
            </w: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44,410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58,724</w:t>
            </w: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joint venture</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34,971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32,701</w:t>
            </w: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1,329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734</w:t>
            </w:r>
          </w:p>
        </w:tc>
        <w:tc>
          <w:tcPr>
            <w:tcW w:w="0" w:type="dxa"/>
            <w:vAlign w:val="bottom"/>
          </w:tcPr>
          <w:p>
            <w:pPr>
              <w:spacing w:after="0"/>
              <w:rPr>
                <w:sz w:val="1"/>
                <w:szCs w:val="1"/>
                <w:color w:val="auto"/>
              </w:rPr>
            </w:pPr>
          </w:p>
        </w:tc>
      </w:tr>
      <w:tr>
        <w:trPr>
          <w:trHeight w:val="303"/>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7,270</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7,003</w:t>
            </w:r>
          </w:p>
        </w:tc>
        <w:tc>
          <w:tcPr>
            <w:tcW w:w="0" w:type="dxa"/>
            <w:vAlign w:val="bottom"/>
          </w:tcPr>
          <w:p>
            <w:pPr>
              <w:spacing w:after="0"/>
              <w:rPr>
                <w:sz w:val="1"/>
                <w:szCs w:val="1"/>
                <w:color w:val="auto"/>
              </w:rPr>
            </w:pPr>
          </w:p>
        </w:tc>
      </w:tr>
      <w:tr>
        <w:trPr>
          <w:trHeight w:val="26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456,893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510,885</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Preferred Stock,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5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38,879</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45,480</w:t>
            </w:r>
          </w:p>
        </w:tc>
        <w:tc>
          <w:tcPr>
            <w:tcW w:w="0" w:type="dxa"/>
            <w:vAlign w:val="bottom"/>
          </w:tcPr>
          <w:p>
            <w:pPr>
              <w:spacing w:after="0"/>
              <w:rPr>
                <w:sz w:val="1"/>
                <w:szCs w:val="1"/>
                <w:color w:val="auto"/>
              </w:rPr>
            </w:pPr>
          </w:p>
        </w:tc>
      </w:tr>
      <w:tr>
        <w:trPr>
          <w:trHeight w:val="30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Accrued salaries, wages and benefits</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19,915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15,464</w:t>
            </w:r>
          </w:p>
        </w:tc>
        <w:tc>
          <w:tcPr>
            <w:tcW w:w="0" w:type="dxa"/>
            <w:vAlign w:val="bottom"/>
          </w:tcPr>
          <w:p>
            <w:pPr>
              <w:spacing w:after="0"/>
              <w:rPr>
                <w:sz w:val="1"/>
                <w:szCs w:val="1"/>
                <w:color w:val="auto"/>
              </w:rPr>
            </w:pPr>
          </w:p>
        </w:tc>
      </w:tr>
      <w:tr>
        <w:trPr>
          <w:trHeight w:val="30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 tax payable</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524</w:t>
            </w:r>
          </w:p>
        </w:tc>
        <w:tc>
          <w:tcPr>
            <w:tcW w:w="0" w:type="dxa"/>
            <w:vAlign w:val="bottom"/>
          </w:tcPr>
          <w:p>
            <w:pPr>
              <w:spacing w:after="0"/>
              <w:rPr>
                <w:sz w:val="1"/>
                <w:szCs w:val="1"/>
                <w:color w:val="auto"/>
              </w:rPr>
            </w:pPr>
          </w:p>
        </w:tc>
      </w:tr>
      <w:tr>
        <w:trPr>
          <w:trHeight w:val="30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Short-term debt and current maturities of long-term debt</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5,039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3,910</w:t>
            </w:r>
          </w:p>
        </w:tc>
        <w:tc>
          <w:tcPr>
            <w:tcW w:w="0" w:type="dxa"/>
            <w:vAlign w:val="bottom"/>
          </w:tcPr>
          <w:p>
            <w:pPr>
              <w:spacing w:after="0"/>
              <w:rPr>
                <w:sz w:val="1"/>
                <w:szCs w:val="1"/>
                <w:color w:val="auto"/>
              </w:rPr>
            </w:pPr>
          </w:p>
        </w:tc>
      </w:tr>
      <w:tr>
        <w:trPr>
          <w:trHeight w:val="30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6,038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5,735</w:t>
            </w:r>
          </w:p>
        </w:tc>
        <w:tc>
          <w:tcPr>
            <w:tcW w:w="0" w:type="dxa"/>
            <w:vAlign w:val="bottom"/>
          </w:tcPr>
          <w:p>
            <w:pPr>
              <w:spacing w:after="0"/>
              <w:rPr>
                <w:sz w:val="1"/>
                <w:szCs w:val="1"/>
                <w:color w:val="auto"/>
              </w:rPr>
            </w:pPr>
          </w:p>
        </w:tc>
      </w:tr>
      <w:tr>
        <w:trPr>
          <w:trHeight w:val="303"/>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13,382</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10,506</w:t>
            </w:r>
          </w:p>
        </w:tc>
        <w:tc>
          <w:tcPr>
            <w:tcW w:w="0" w:type="dxa"/>
            <w:vAlign w:val="bottom"/>
          </w:tcPr>
          <w:p>
            <w:pPr>
              <w:spacing w:after="0"/>
              <w:rPr>
                <w:sz w:val="1"/>
                <w:szCs w:val="1"/>
                <w:color w:val="auto"/>
              </w:rPr>
            </w:pPr>
          </w:p>
        </w:tc>
      </w:tr>
      <w:tr>
        <w:trPr>
          <w:trHeight w:val="277"/>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83,912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81,619</w:t>
            </w: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4,969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4,988</w:t>
            </w: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net of current maturities</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143,591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149,369</w:t>
            </w: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42,291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47,281</w:t>
            </w:r>
          </w:p>
        </w:tc>
        <w:tc>
          <w:tcPr>
            <w:tcW w:w="0" w:type="dxa"/>
            <w:vAlign w:val="bottom"/>
          </w:tcPr>
          <w:p>
            <w:pPr>
              <w:spacing w:after="0"/>
              <w:rPr>
                <w:sz w:val="1"/>
                <w:szCs w:val="1"/>
                <w:color w:val="auto"/>
              </w:rPr>
            </w:pPr>
          </w:p>
        </w:tc>
      </w:tr>
      <w:tr>
        <w:trPr>
          <w:trHeight w:val="303"/>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14,111</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24,827</w:t>
            </w:r>
          </w:p>
        </w:tc>
        <w:tc>
          <w:tcPr>
            <w:tcW w:w="0" w:type="dxa"/>
            <w:vAlign w:val="bottom"/>
          </w:tcPr>
          <w:p>
            <w:pPr>
              <w:spacing w:after="0"/>
              <w:rPr>
                <w:sz w:val="1"/>
                <w:szCs w:val="1"/>
                <w:color w:val="auto"/>
              </w:rPr>
            </w:pPr>
          </w:p>
        </w:tc>
      </w:tr>
      <w:tr>
        <w:trPr>
          <w:trHeight w:val="28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288,874</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308,084</w:t>
            </w:r>
          </w:p>
        </w:tc>
        <w:tc>
          <w:tcPr>
            <w:tcW w:w="0" w:type="dxa"/>
            <w:vAlign w:val="bottom"/>
          </w:tcPr>
          <w:p>
            <w:pPr>
              <w:spacing w:after="0"/>
              <w:rPr>
                <w:sz w:val="1"/>
                <w:szCs w:val="1"/>
                <w:color w:val="auto"/>
              </w:rPr>
            </w:pPr>
          </w:p>
        </w:tc>
      </w:tr>
      <w:tr>
        <w:trPr>
          <w:trHeight w:val="264"/>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12)</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Series D perpetual preferred stock - $0.01 par value per share, 65 shares authorized, issued</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and outstanding at December 31, 2024 and 2023, respectively</w:t>
            </w:r>
          </w:p>
        </w:tc>
        <w:tc>
          <w:tcPr>
            <w:tcW w:w="32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93,497</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77,799</w:t>
            </w:r>
          </w:p>
        </w:tc>
        <w:tc>
          <w:tcPr>
            <w:tcW w:w="0" w:type="dxa"/>
            <w:vAlign w:val="bottom"/>
          </w:tcPr>
          <w:p>
            <w:pPr>
              <w:spacing w:after="0"/>
              <w:rPr>
                <w:sz w:val="1"/>
                <w:szCs w:val="1"/>
                <w:color w:val="auto"/>
              </w:rPr>
            </w:pPr>
          </w:p>
        </w:tc>
      </w:tr>
      <w:tr>
        <w:trPr>
          <w:trHeight w:val="287"/>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Common stock - $0.01 par value per share, 90,000 shares authorized, 49,908 and 47,269</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5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shares issued and outstanding at December 31, 2024 and 2023, respectively</w:t>
            </w:r>
          </w:p>
        </w:tc>
        <w:tc>
          <w:tcPr>
            <w:tcW w:w="32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499</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473</w:t>
            </w:r>
          </w:p>
        </w:tc>
        <w:tc>
          <w:tcPr>
            <w:tcW w:w="0" w:type="dxa"/>
            <w:vAlign w:val="bottom"/>
          </w:tcPr>
          <w:p>
            <w:pPr>
              <w:spacing w:after="0"/>
              <w:rPr>
                <w:sz w:val="1"/>
                <w:szCs w:val="1"/>
                <w:color w:val="auto"/>
              </w:rPr>
            </w:pPr>
          </w:p>
        </w:tc>
      </w:tr>
      <w:tr>
        <w:trPr>
          <w:trHeight w:val="30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455,811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457,632</w:t>
            </w:r>
          </w:p>
        </w:tc>
        <w:tc>
          <w:tcPr>
            <w:tcW w:w="0" w:type="dxa"/>
            <w:vAlign w:val="bottom"/>
          </w:tcPr>
          <w:p>
            <w:pPr>
              <w:spacing w:after="0"/>
              <w:rPr>
                <w:sz w:val="1"/>
                <w:szCs w:val="1"/>
                <w:color w:val="auto"/>
              </w:rPr>
            </w:pPr>
          </w:p>
        </w:tc>
      </w:tr>
      <w:tr>
        <w:trPr>
          <w:trHeight w:val="300"/>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Accumulated deficit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(333,621)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(295,348)</w:t>
            </w:r>
          </w:p>
        </w:tc>
        <w:tc>
          <w:tcPr>
            <w:tcW w:w="0" w:type="dxa"/>
            <w:vAlign w:val="bottom"/>
          </w:tcPr>
          <w:p>
            <w:pPr>
              <w:spacing w:after="0"/>
              <w:rPr>
                <w:sz w:val="1"/>
                <w:szCs w:val="1"/>
                <w:color w:val="auto"/>
              </w:rPr>
            </w:pPr>
          </w:p>
        </w:tc>
      </w:tr>
      <w:tr>
        <w:trPr>
          <w:trHeight w:val="303"/>
        </w:trPr>
        <w:tc>
          <w:tcPr>
            <w:tcW w:w="7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(48,167)</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(37,755)</w:t>
            </w:r>
          </w:p>
        </w:tc>
        <w:tc>
          <w:tcPr>
            <w:tcW w:w="0" w:type="dxa"/>
            <w:vAlign w:val="bottom"/>
          </w:tcPr>
          <w:p>
            <w:pPr>
              <w:spacing w:after="0"/>
              <w:rPr>
                <w:sz w:val="1"/>
                <w:szCs w:val="1"/>
                <w:color w:val="auto"/>
              </w:rPr>
            </w:pPr>
          </w:p>
        </w:tc>
      </w:tr>
      <w:tr>
        <w:trPr>
          <w:trHeight w:val="28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Total stockholders’ equity</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74,522</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125,002</w:t>
            </w:r>
          </w:p>
        </w:tc>
        <w:tc>
          <w:tcPr>
            <w:tcW w:w="0" w:type="dxa"/>
            <w:vAlign w:val="bottom"/>
          </w:tcPr>
          <w:p>
            <w:pPr>
              <w:spacing w:after="0"/>
              <w:rPr>
                <w:sz w:val="1"/>
                <w:szCs w:val="1"/>
                <w:color w:val="auto"/>
              </w:rPr>
            </w:pPr>
          </w:p>
        </w:tc>
      </w:tr>
      <w:tr>
        <w:trPr>
          <w:trHeight w:val="26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preferred stock, and stockholders’ equity</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456,893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510,885</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-7689215</wp:posOffset>
            </wp:positionV>
            <wp:extent cx="6553200" cy="7708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6553200" cy="7708900"/>
                    </a:xfrm>
                    <a:prstGeom prst="rect">
                      <a:avLst/>
                    </a:prstGeom>
                    <a:noFill/>
                  </pic:spPr>
                </pic:pic>
              </a:graphicData>
            </a:graphic>
          </wp:anchor>
        </w:drawing>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See Notes to Consolidated Financial Statements.</w:t>
      </w:r>
    </w:p>
    <w:p>
      <w:pPr>
        <w:sectPr>
          <w:pgSz w:w="12240" w:h="15840" w:orient="portrait"/>
          <w:cols w:equalWidth="0" w:num="1">
            <w:col w:w="10220"/>
          </w:cols>
          <w:pgMar w:left="104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20"/>
          </w:cols>
          <w:pgMar w:left="1040" w:top="786" w:right="980" w:bottom="0" w:gutter="0" w:footer="0" w:header="0"/>
          <w:type w:val="continuous"/>
        </w:sectPr>
      </w:pPr>
    </w:p>
    <w:bookmarkStart w:id="35" w:name="page36"/>
    <w:bookmarkEnd w:id="35"/>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60" w:type="dxa"/>
            <w:vAlign w:val="bottom"/>
            <w:tcBorders>
              <w:bottom w:val="single" w:sz="8" w:color="auto"/>
            </w:tcBorders>
          </w:tcPr>
          <w:p>
            <w:pPr>
              <w:spacing w:after="0"/>
              <w:rPr>
                <w:sz w:val="18"/>
                <w:szCs w:val="18"/>
                <w:color w:val="auto"/>
              </w:rPr>
            </w:pPr>
          </w:p>
        </w:tc>
      </w:tr>
      <w:tr>
        <w:trPr>
          <w:trHeight w:val="220"/>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8"/>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4"/>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(38,273)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(26,098)</w:t>
            </w:r>
          </w:p>
        </w:tc>
      </w:tr>
      <w:tr>
        <w:trPr>
          <w:trHeight w:val="287"/>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provided by operating activities: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3"/>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45,302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46,120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47,231</w:t>
            </w:r>
          </w:p>
        </w:tc>
      </w:tr>
      <w:tr>
        <w:trPr>
          <w:trHeight w:val="300"/>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Amortization of debt issuance costs and discount</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2,288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1,361</w:t>
            </w:r>
          </w:p>
        </w:tc>
      </w:tr>
      <w:tr>
        <w:trPr>
          <w:trHeight w:val="300"/>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Paid-in-kind interest</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Impairments of property, plant and equipment</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derivative loss (gain), net of cash settlements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(5,265)</w:t>
            </w:r>
          </w:p>
        </w:tc>
      </w:tr>
      <w:tr>
        <w:trPr>
          <w:trHeight w:val="300"/>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 of net income from joint venture, net of cash dividends received</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w:t>
            </w:r>
          </w:p>
        </w:tc>
      </w:tr>
      <w:tr>
        <w:trPr>
          <w:trHeight w:val="300"/>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Gain on sale of business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4,377</w:t>
            </w:r>
          </w:p>
        </w:tc>
      </w:tr>
      <w:tr>
        <w:trPr>
          <w:trHeight w:val="300"/>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income taxes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(1,814)</w:t>
            </w:r>
          </w:p>
        </w:tc>
      </w:tr>
      <w:tr>
        <w:trPr>
          <w:trHeight w:val="300"/>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(3,207)</w:t>
            </w:r>
          </w:p>
        </w:tc>
      </w:tr>
      <w:tr>
        <w:trPr>
          <w:trHeight w:val="287"/>
        </w:trPr>
        <w:tc>
          <w:tcPr>
            <w:tcW w:w="6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3"/>
        </w:trPr>
        <w:tc>
          <w:tcPr>
            <w:tcW w:w="67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Accounts receivable</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(4,920)</w:t>
            </w:r>
          </w:p>
        </w:tc>
      </w:tr>
      <w:tr>
        <w:trPr>
          <w:trHeight w:val="300"/>
        </w:trPr>
        <w:tc>
          <w:tcPr>
            <w:tcW w:w="67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Inventories</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(6,672)</w:t>
            </w:r>
          </w:p>
        </w:tc>
      </w:tr>
      <w:tr>
        <w:trPr>
          <w:trHeight w:val="300"/>
        </w:trPr>
        <w:tc>
          <w:tcPr>
            <w:tcW w:w="67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Other operating assets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(1,825)</w:t>
            </w:r>
          </w:p>
        </w:tc>
      </w:tr>
      <w:tr>
        <w:trPr>
          <w:trHeight w:val="300"/>
        </w:trPr>
        <w:tc>
          <w:tcPr>
            <w:tcW w:w="67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Income taxes receivable and payable, net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w:t>
            </w:r>
          </w:p>
        </w:tc>
      </w:tr>
      <w:tr>
        <w:trPr>
          <w:trHeight w:val="300"/>
        </w:trPr>
        <w:tc>
          <w:tcPr>
            <w:tcW w:w="67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Accounts payable</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8,619</w:t>
            </w:r>
          </w:p>
        </w:tc>
      </w:tr>
      <w:tr>
        <w:trPr>
          <w:trHeight w:val="303"/>
        </w:trPr>
        <w:tc>
          <w:tcPr>
            <w:tcW w:w="67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Other operating liabilities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7,049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3,270</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(2,266)</w:t>
            </w:r>
          </w:p>
        </w:tc>
      </w:tr>
      <w:tr>
        <w:trPr>
          <w:trHeight w:val="28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11,070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29,344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7,717</w:t>
            </w:r>
          </w:p>
        </w:tc>
      </w:tr>
      <w:tr>
        <w:trPr>
          <w:trHeight w:val="258"/>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4"/>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Acquisition of property, plant and equipment</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(20,496)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(17,952)</w:t>
            </w:r>
          </w:p>
        </w:tc>
      </w:tr>
      <w:tr>
        <w:trPr>
          <w:trHeight w:val="30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sale of property, plant, and equipment</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460</w:t>
            </w:r>
          </w:p>
        </w:tc>
      </w:tr>
      <w:tr>
        <w:trPr>
          <w:trHeight w:val="303"/>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Proceeds received from sale of business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17,000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(17,598)</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(17,492)</w:t>
            </w:r>
          </w:p>
        </w:tc>
      </w:tr>
      <w:tr>
        <w:trPr>
          <w:trHeight w:val="246"/>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86"/>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long-term debt</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63,400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46,000</w:t>
            </w:r>
          </w:p>
        </w:tc>
      </w:tr>
      <w:tr>
        <w:trPr>
          <w:trHeight w:val="30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Repayments of long-term debt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(65,395)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(47,958)</w:t>
            </w:r>
          </w:p>
        </w:tc>
      </w:tr>
      <w:tr>
        <w:trPr>
          <w:trHeight w:val="30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debt issuance costs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30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sale-leaseback of equipment</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sale-leaseback of land and buildings</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16,863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Repayments of financing obligations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short-term debt</w:t>
            </w:r>
          </w:p>
        </w:tc>
        <w:tc>
          <w:tcPr>
            <w:tcW w:w="2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(1,967)</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(3,092)</w:t>
            </w:r>
          </w:p>
        </w:tc>
      </w:tr>
      <w:tr>
        <w:trPr>
          <w:trHeight w:val="28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(13,245)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(2,883)</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(5,186)</w:t>
            </w:r>
          </w:p>
        </w:tc>
      </w:tr>
      <w:tr>
        <w:trPr>
          <w:trHeight w:val="28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Effect of exchange rate changes on cash flows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w:t>
            </w:r>
          </w:p>
        </w:tc>
      </w:tr>
      <w:tr>
        <w:trPr>
          <w:trHeight w:val="28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Net change in cash and cash equivalents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9,095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(15,848)</w:t>
            </w:r>
          </w:p>
        </w:tc>
      </w:tr>
      <w:tr>
        <w:trPr>
          <w:trHeight w:val="28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21,903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12,808</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28,656</w:t>
            </w:r>
          </w:p>
        </w:tc>
      </w:tr>
      <w:tr>
        <w:trPr>
          <w:trHeight w:val="26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at end of year</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18,128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12,808</w:t>
            </w:r>
          </w:p>
        </w:tc>
      </w:tr>
      <w:tr>
        <w:trPr>
          <w:trHeight w:val="20"/>
        </w:trPr>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-7755890</wp:posOffset>
            </wp:positionV>
            <wp:extent cx="6553200" cy="7775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6553200" cy="7775575"/>
                    </a:xfrm>
                    <a:prstGeom prst="rect">
                      <a:avLst/>
                    </a:prstGeom>
                    <a:noFill/>
                  </pic:spPr>
                </pic:pic>
              </a:graphicData>
            </a:graphic>
          </wp:anchor>
        </w:drawing>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See Notes to Consolidated Financial Statements.</w:t>
      </w:r>
    </w:p>
    <w:p>
      <w:pPr>
        <w:sectPr>
          <w:pgSz w:w="12240" w:h="15840" w:orient="portrait"/>
          <w:cols w:equalWidth="0" w:num="1">
            <w:col w:w="10220"/>
          </w:cols>
          <w:pgMar w:left="104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20"/>
          </w:cols>
          <w:pgMar w:left="1040" w:top="786" w:right="980" w:bottom="0" w:gutter="0" w:footer="0" w:header="0"/>
          <w:type w:val="continuous"/>
        </w:sectPr>
      </w:pPr>
    </w:p>
    <w:bookmarkStart w:id="36" w:name="page37"/>
    <w:bookmarkEnd w:id="36"/>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ectPr>
          <w:pgSz w:w="12240" w:h="15840" w:orient="portrait"/>
          <w:cols w:equalWidth="0" w:num="1">
            <w:col w:w="10220"/>
          </w:cols>
          <w:pgMar w:left="1040" w:top="786" w:right="980" w:bottom="0" w:gutter="0" w:footer="0" w:header="0"/>
        </w:sect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14605</wp:posOffset>
            </wp:positionV>
            <wp:extent cx="6540500" cy="1149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6540500" cy="114935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schedule of non-cash investing activities:</w:t>
      </w:r>
    </w:p>
    <w:p>
      <w:pPr>
        <w:spacing w:after="0" w:line="72" w:lineRule="exact"/>
        <w:rPr>
          <w:sz w:val="20"/>
          <w:szCs w:val="20"/>
          <w:color w:val="auto"/>
        </w:rPr>
      </w:pPr>
    </w:p>
    <w:p>
      <w:pPr>
        <w:ind w:left="360" w:right="1480"/>
        <w:spacing w:after="0" w:line="309" w:lineRule="auto"/>
        <w:rPr>
          <w:sz w:val="20"/>
          <w:szCs w:val="20"/>
          <w:color w:val="auto"/>
        </w:rPr>
      </w:pPr>
      <w:r>
        <w:rPr>
          <w:rFonts w:ascii="Times New Roman" w:cs="Times New Roman" w:eastAsia="Times New Roman" w:hAnsi="Times New Roman"/>
          <w:sz w:val="20"/>
          <w:szCs w:val="20"/>
          <w:color w:val="auto"/>
        </w:rPr>
        <w:t>Non-cash additions to property, plant and equipment Non-cash additions to debt issuance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disclosures:</w:t>
      </w:r>
    </w:p>
    <w:p>
      <w:pPr>
        <w:spacing w:after="0" w:line="62" w:lineRule="exact"/>
        <w:rPr>
          <w:sz w:val="20"/>
          <w:szCs w:val="20"/>
          <w:color w:val="auto"/>
        </w:rPr>
      </w:pPr>
    </w:p>
    <w:p>
      <w:pPr>
        <w:ind w:left="360" w:right="1860"/>
        <w:spacing w:after="0" w:line="344" w:lineRule="auto"/>
        <w:rPr>
          <w:sz w:val="20"/>
          <w:szCs w:val="20"/>
          <w:color w:val="auto"/>
        </w:rPr>
      </w:pPr>
      <w:r>
        <w:rPr>
          <w:rFonts w:ascii="Times New Roman" w:cs="Times New Roman" w:eastAsia="Times New Roman" w:hAnsi="Times New Roman"/>
          <w:sz w:val="20"/>
          <w:szCs w:val="20"/>
          <w:color w:val="auto"/>
        </w:rPr>
        <w:t>Cash paid for interest, net of capitalized interest Cash paid for income taxes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218122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pt" to="171.5pt,2.1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562"/>
        </w:trPr>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3,119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1,266</w:t>
            </w:r>
          </w:p>
        </w:tc>
      </w:tr>
      <w:tr>
        <w:trPr>
          <w:trHeight w:val="300"/>
        </w:trPr>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r>
    </w:tbl>
    <w:p>
      <w:pPr>
        <w:spacing w:after="0" w:line="325" w:lineRule="exact"/>
        <w:rPr>
          <w:sz w:val="20"/>
          <w:szCs w:val="20"/>
          <w:color w:val="auto"/>
        </w:rPr>
      </w:pPr>
    </w:p>
    <w:p>
      <w:pPr>
        <w:ind w:left="460" w:hanging="41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17,988  $   15,272  $   13,344</w:t>
      </w:r>
    </w:p>
    <w:p>
      <w:pPr>
        <w:spacing w:after="0" w:line="70" w:lineRule="exact"/>
        <w:rPr>
          <w:rFonts w:ascii="Times New Roman" w:cs="Times New Roman" w:eastAsia="Times New Roman" w:hAnsi="Times New Roman"/>
          <w:sz w:val="20"/>
          <w:szCs w:val="20"/>
          <w:color w:val="auto"/>
        </w:rPr>
      </w:pPr>
    </w:p>
    <w:p>
      <w:pPr>
        <w:ind w:left="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3,9063,083</w:t>
      </w:r>
      <w:r>
        <w:rPr>
          <w:rFonts w:ascii="Times New Roman" w:cs="Times New Roman" w:eastAsia="Times New Roman" w:hAnsi="Times New Roman"/>
          <w:sz w:val="19"/>
          <w:szCs w:val="19"/>
          <w:color w:val="auto"/>
        </w:rPr>
        <w:t>4,739</w:t>
      </w:r>
    </w:p>
    <w:p>
      <w:pPr>
        <w:spacing w:after="0" w:line="314" w:lineRule="exact"/>
        <w:rPr>
          <w:sz w:val="20"/>
          <w:szCs w:val="20"/>
          <w:color w:val="auto"/>
        </w:rPr>
      </w:pPr>
    </w:p>
    <w:p>
      <w:pPr>
        <w:sectPr>
          <w:pgSz w:w="12240" w:h="15840" w:orient="portrait"/>
          <w:cols w:equalWidth="0" w:num="2">
            <w:col w:w="6060" w:space="720"/>
            <w:col w:w="3440"/>
          </w:cols>
          <w:pgMar w:left="1040" w:top="786" w:right="980" w:bottom="0" w:gutter="0" w:footer="0" w:header="0"/>
          <w:type w:val="continuous"/>
        </w:sect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See Notes to Consolidated Financial Statements.</w:t>
      </w:r>
    </w:p>
    <w:p>
      <w:pPr>
        <w:sectPr>
          <w:pgSz w:w="12240" w:h="15840" w:orient="portrait"/>
          <w:cols w:equalWidth="0" w:num="1">
            <w:col w:w="10220"/>
          </w:cols>
          <w:pgMar w:left="1040" w:top="786"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20"/>
          </w:cols>
          <w:pgMar w:left="1040" w:top="786" w:right="980" w:bottom="0" w:gutter="0" w:footer="0" w:header="0"/>
          <w:type w:val="continuous"/>
        </w:sectPr>
      </w:pPr>
    </w:p>
    <w:bookmarkStart w:id="37" w:name="page38"/>
    <w:bookmarkEnd w:id="37"/>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400" w:type="dxa"/>
            <w:vAlign w:val="bottom"/>
            <w:gridSpan w:val="3"/>
            <w:vMerge w:val="restart"/>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9"/>
                <w:szCs w:val="9"/>
                <w:color w:val="auto"/>
              </w:rPr>
            </w:pPr>
          </w:p>
        </w:tc>
        <w:tc>
          <w:tcPr>
            <w:tcW w:w="1400" w:type="dxa"/>
            <w:vAlign w:val="bottom"/>
            <w:tcBorders>
              <w:bottom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vMerge w:val="restart"/>
          </w:tcPr>
          <w:p>
            <w:pPr>
              <w:jc w:val="center"/>
              <w:ind w:right="202"/>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2"/>
                <w:szCs w:val="2"/>
                <w:color w:val="auto"/>
              </w:rPr>
            </w:pPr>
          </w:p>
        </w:tc>
        <w:tc>
          <w:tcPr>
            <w:tcW w:w="60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Par</w:t>
            </w:r>
          </w:p>
        </w:tc>
        <w:tc>
          <w:tcPr>
            <w:tcW w:w="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rPr>
              <w:t>loss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2021</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43,027</w:t>
            </w: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$ 430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$ 474,757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(219,100)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224,185</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(26,098)</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Dividends accrued for preferred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(10,894)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(10,894)</w:t>
            </w:r>
          </w:p>
        </w:tc>
        <w:tc>
          <w:tcPr>
            <w:tcW w:w="0" w:type="dxa"/>
            <w:vAlign w:val="bottom"/>
          </w:tcPr>
          <w:p>
            <w:pPr>
              <w:spacing w:after="0"/>
              <w:rPr>
                <w:sz w:val="1"/>
                <w:szCs w:val="1"/>
                <w:color w:val="auto"/>
              </w:rPr>
            </w:pPr>
          </w:p>
        </w:tc>
      </w:tr>
      <w:tr>
        <w:trPr>
          <w:trHeight w:val="227"/>
        </w:trPr>
        <w:tc>
          <w:tcPr>
            <w:tcW w:w="432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Shares issued under stock incentive plans, net of</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3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forfeitures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w:t>
            </w: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4,377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4,377</w:t>
            </w:r>
          </w:p>
        </w:tc>
        <w:tc>
          <w:tcPr>
            <w:tcW w:w="0" w:type="dxa"/>
            <w:vAlign w:val="bottom"/>
          </w:tcPr>
          <w:p>
            <w:pPr>
              <w:spacing w:after="0"/>
              <w:rPr>
                <w:sz w:val="1"/>
                <w:szCs w:val="1"/>
                <w:color w:val="auto"/>
              </w:rPr>
            </w:pPr>
          </w:p>
        </w:tc>
      </w:tr>
      <w:tr>
        <w:trPr>
          <w:trHeight w:val="227"/>
        </w:trPr>
        <w:tc>
          <w:tcPr>
            <w:tcW w:w="432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Restricted shares surrendered for tax withholdings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3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under stock incentive plans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3"/>
                <w:szCs w:val="2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303"/>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comprehensive loss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(5,218)</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2022</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43,856</w:t>
            </w: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$ 439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$ 468,143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(245,198)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(37,120)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186,264</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Dividends accrued for preferred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(13,098)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(13,098)</w:t>
            </w:r>
          </w:p>
        </w:tc>
        <w:tc>
          <w:tcPr>
            <w:tcW w:w="0" w:type="dxa"/>
            <w:vAlign w:val="bottom"/>
          </w:tcPr>
          <w:p>
            <w:pPr>
              <w:spacing w:after="0"/>
              <w:rPr>
                <w:sz w:val="1"/>
                <w:szCs w:val="1"/>
                <w:color w:val="auto"/>
              </w:rPr>
            </w:pPr>
          </w:p>
        </w:tc>
      </w:tr>
      <w:tr>
        <w:trPr>
          <w:trHeight w:val="227"/>
        </w:trPr>
        <w:tc>
          <w:tcPr>
            <w:tcW w:w="432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Shares issued under stock incentive plans, net of</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3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forfeitures and tax withholdings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w:t>
            </w: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36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2,821</w:t>
            </w:r>
          </w:p>
        </w:tc>
        <w:tc>
          <w:tcPr>
            <w:tcW w:w="0" w:type="dxa"/>
            <w:vAlign w:val="bottom"/>
          </w:tcPr>
          <w:p>
            <w:pPr>
              <w:spacing w:after="0"/>
              <w:rPr>
                <w:sz w:val="1"/>
                <w:szCs w:val="1"/>
                <w:color w:val="auto"/>
              </w:rPr>
            </w:pPr>
          </w:p>
        </w:tc>
      </w:tr>
      <w:tr>
        <w:trPr>
          <w:trHeight w:val="227"/>
        </w:trPr>
        <w:tc>
          <w:tcPr>
            <w:tcW w:w="432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Restricted shares surrendered for tax withholdings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3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under stock incentive plans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0" w:type="dxa"/>
            <w:vAlign w:val="bottom"/>
          </w:tcPr>
          <w:p>
            <w:pPr>
              <w:spacing w:after="0"/>
              <w:rPr>
                <w:sz w:val="1"/>
                <w:szCs w:val="1"/>
                <w:color w:val="auto"/>
              </w:rPr>
            </w:pPr>
          </w:p>
        </w:tc>
      </w:tr>
      <w:tr>
        <w:trPr>
          <w:trHeight w:val="303"/>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comprehensive loss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2023</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47,269</w:t>
            </w: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$ 473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$ 457,632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(295,348)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(37,755)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125,002</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(38,273)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(38,273)</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Dividends accrued for preferred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(15,698)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(15,698)</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Shares issued for warrants exercised</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w:t>
            </w: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11,352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11,376</w:t>
            </w:r>
          </w:p>
        </w:tc>
        <w:tc>
          <w:tcPr>
            <w:tcW w:w="0" w:type="dxa"/>
            <w:vAlign w:val="bottom"/>
          </w:tcPr>
          <w:p>
            <w:pPr>
              <w:spacing w:after="0"/>
              <w:rPr>
                <w:sz w:val="1"/>
                <w:szCs w:val="1"/>
                <w:color w:val="auto"/>
              </w:rPr>
            </w:pPr>
          </w:p>
        </w:tc>
      </w:tr>
      <w:tr>
        <w:trPr>
          <w:trHeight w:val="227"/>
        </w:trPr>
        <w:tc>
          <w:tcPr>
            <w:tcW w:w="432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Shares issued under stock incentive plans, net of</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3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forfeitures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3,140</w:t>
            </w:r>
          </w:p>
        </w:tc>
        <w:tc>
          <w:tcPr>
            <w:tcW w:w="0" w:type="dxa"/>
            <w:vAlign w:val="bottom"/>
          </w:tcPr>
          <w:p>
            <w:pPr>
              <w:spacing w:after="0"/>
              <w:rPr>
                <w:sz w:val="1"/>
                <w:szCs w:val="1"/>
                <w:color w:val="auto"/>
              </w:rPr>
            </w:pPr>
          </w:p>
        </w:tc>
      </w:tr>
      <w:tr>
        <w:trPr>
          <w:trHeight w:val="227"/>
        </w:trPr>
        <w:tc>
          <w:tcPr>
            <w:tcW w:w="432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Restricted shares surrendered for tax withholdings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3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under stock incentive plans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0" w:type="dxa"/>
            <w:vAlign w:val="bottom"/>
          </w:tcPr>
          <w:p>
            <w:pPr>
              <w:spacing w:after="0"/>
              <w:rPr>
                <w:sz w:val="1"/>
                <w:szCs w:val="1"/>
                <w:color w:val="auto"/>
              </w:rPr>
            </w:pPr>
          </w:p>
        </w:tc>
      </w:tr>
      <w:tr>
        <w:trPr>
          <w:trHeight w:val="303"/>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comprehensive loss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(10,412)</w:t>
            </w:r>
          </w:p>
        </w:tc>
        <w:tc>
          <w:tcPr>
            <w:tcW w:w="0" w:type="dxa"/>
            <w:vAlign w:val="bottom"/>
          </w:tcPr>
          <w:p>
            <w:pPr>
              <w:spacing w:after="0"/>
              <w:rPr>
                <w:sz w:val="1"/>
                <w:szCs w:val="1"/>
                <w:color w:val="auto"/>
              </w:rPr>
            </w:pPr>
          </w:p>
        </w:tc>
      </w:tr>
      <w:tr>
        <w:trPr>
          <w:trHeight w:val="260"/>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49,908</w:t>
            </w: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$ 499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$ 455,811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(333,621)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(48,167)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74,522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-5155565</wp:posOffset>
            </wp:positionV>
            <wp:extent cx="6553200" cy="5175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6553200" cy="5175250"/>
                    </a:xfrm>
                    <a:prstGeom prst="rect">
                      <a:avLst/>
                    </a:prstGeom>
                    <a:noFill/>
                  </pic:spPr>
                </pic:pic>
              </a:graphicData>
            </a:graphic>
          </wp:anchor>
        </w:drawing>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See Notes to Consolidated Financial Statements.</w:t>
      </w:r>
    </w:p>
    <w:p>
      <w:pPr>
        <w:sectPr>
          <w:pgSz w:w="12240" w:h="15840" w:orient="portrait"/>
          <w:cols w:equalWidth="0" w:num="1">
            <w:col w:w="10220"/>
          </w:cols>
          <w:pgMar w:left="104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20"/>
          </w:cols>
          <w:pgMar w:left="1040" w:top="786" w:right="980" w:bottom="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Significant Accounting Policies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Nature of Business</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of December 31, 2024, we had 26 facilities in North America, South America, Europe, and China. As used in the Notes to Consolidated Financial Statements, the terms the “Company,” “we,” “our,” or “us” refer to NN, Inc. and its subsidiaries.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in accordance with accounting principles generally accepted in the United States (“U.S. GAAP”). Certain prior period amounts have been reclassified to conform to the current year’s presentation. Except for per share data or as otherwise indicated, all U.S. dollar amounts and share counts presented in the tables in these Notes to Consolidated Financial Statements are in thousands.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7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20"/>
          <w:szCs w:val="20"/>
          <w:color w:val="auto"/>
        </w:rPr>
        <w:t>Our consolidated financial statements include the accounts of NN, Inc., and its wholly owned subsidiaries. We own a 49% investment in a joint venture (the “JV”) which we account for using the equity method (see Note 8). All intercompany transactions and balances have been eliminated in consolidation.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 in the Preparation of Consolidated Financial Statements</w:t>
      </w:r>
    </w:p>
    <w:p>
      <w:pPr>
        <w:spacing w:after="0" w:line="7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The preparation of consolidated financial statements in accordance with U.S. GAAP requires management to use estimates and assumptions that affect the reported amounts of certain assets and liabilities, disclosure of contingent assets and liabilities, and the reported amounts of revenues and expenses. Actual results may differ from those estimates.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Standards Recently Adopted</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 xml:space="preserve">In November 2023, the Financial Accounting Standards Board (“FASB”) issued Accounting Standards Update 2023-07, </w:t>
      </w:r>
      <w:r>
        <w:rPr>
          <w:rFonts w:ascii="Times New Roman" w:cs="Times New Roman" w:eastAsia="Times New Roman" w:hAnsi="Times New Roman"/>
          <w:sz w:val="20"/>
          <w:szCs w:val="20"/>
          <w:b w:val="1"/>
          <w:bCs w:val="1"/>
          <w:i w:val="1"/>
          <w:iCs w:val="1"/>
          <w:color w:val="auto"/>
        </w:rPr>
        <w:t xml:space="preserve">Segment Reporting (Topic 832): Improvements to Reportable Segment Disclosures </w:t>
      </w:r>
      <w:r>
        <w:rPr>
          <w:rFonts w:ascii="Times New Roman" w:cs="Times New Roman" w:eastAsia="Times New Roman" w:hAnsi="Times New Roman"/>
          <w:sz w:val="20"/>
          <w:szCs w:val="20"/>
          <w:color w:val="auto"/>
        </w:rPr>
        <w:t>(“ASU 2023-07”), which requires additional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disclosures related to reportable segments, including significant segment expenses and other segment items. ASU 2023-07 also permits entities to disclose more than one measure of a segment’s profit or loss and requires quarterly disclosure of certain information that is now only required annually. We have adopted ASU 2023-07 for the year ended December 31, 2024 on a retrospective basis, and will present the required interim disclosures beginning with our March 31, 2025 Form 10-Q.</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Standards Not Yet Adopted</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December 2023, the FASB issued ASU 2023-09, “</w:t>
      </w:r>
      <w:r>
        <w:rPr>
          <w:rFonts w:ascii="Times New Roman" w:cs="Times New Roman" w:eastAsia="Times New Roman" w:hAnsi="Times New Roman"/>
          <w:sz w:val="20"/>
          <w:szCs w:val="20"/>
          <w:b w:val="1"/>
          <w:bCs w:val="1"/>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Disclosures</w:t>
      </w:r>
      <w:r>
        <w:rPr>
          <w:rFonts w:ascii="Times New Roman" w:cs="Times New Roman" w:eastAsia="Times New Roman" w:hAnsi="Times New Roman"/>
          <w:sz w:val="20"/>
          <w:szCs w:val="20"/>
          <w:color w:val="auto"/>
        </w:rPr>
        <w:t>” (“ASU 2023-09”), which requires additional annual income tax disclosures. These include a tabular 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reconciliation comprised of eight specific categories, the disaggregation of income taxes paid between federal, state, and foreign jurisdictions, and to disaggregate income from continuing operations before income tax expense and income tax expense from continuing operations between domestic and foreign. ASU 2023-09 eliminates the disclosure of the nature and estimate of reasonably possible changes to unrecognized tax benefits in the next 12 months or that an estimated range cannot be made. ASU 2023-09 is effective for fiscal years beginning on or after December 15, 2024, with early adoption permitted, and can be applied on a prospective or retrospective basis. We plan to adopt ASU 2023-09 in our Form 10-K for the year ended December 31, 2025 and are in the process of assessing the impact on our disclosures.</w:t>
      </w:r>
    </w:p>
    <w:p>
      <w:pPr>
        <w:spacing w:after="0" w:line="8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In November 2024, the FASB issued ASU 2024-03, “</w:t>
      </w:r>
      <w:r>
        <w:rPr>
          <w:rFonts w:ascii="Times New Roman" w:cs="Times New Roman" w:eastAsia="Times New Roman" w:hAnsi="Times New Roman"/>
          <w:sz w:val="20"/>
          <w:szCs w:val="20"/>
          <w:b w:val="1"/>
          <w:bCs w:val="1"/>
          <w:i w:val="1"/>
          <w:iCs w:val="1"/>
          <w:color w:val="auto"/>
        </w:rPr>
        <w:t>Expense Disaggregation Disclosures (Subtopic 220-40):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of Income Statement Expenses</w:t>
      </w:r>
      <w:r>
        <w:rPr>
          <w:rFonts w:ascii="Times New Roman" w:cs="Times New Roman" w:eastAsia="Times New Roman" w:hAnsi="Times New Roman"/>
          <w:sz w:val="20"/>
          <w:szCs w:val="20"/>
          <w:color w:val="auto"/>
        </w:rPr>
        <w:t>” (“ASU 2024-03”), which requires disaggregated disclosures of certain categories of expenses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are included in income statement line items. ASU 2024-03 is effective for fiscal years beginning on or after December 15, 2026, and interim periods within fiscal years beginning after December 15, 2027. Companies may early adopt and can apply the guidance prospectively or retrospectively. The Company has not yet determined the potential impact of adopting this standard.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7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Cash and cash equivalents include cash and highly liquid investments with original maturities of three months or less. We maintain cash balances in transaction accounts with various financial institutions that are insured by the Federal Deposit Insurance Corporation. Although we maintain balances that exceed the federally insured limit, we have not experienced any losses related to these balances, and we believe credit risk to be minimal. We had $9.0 million and $13.5 million in cash and cash equivalents as of December 31, 2024 and 2023, respectively, held at foreign financial institutions.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40"/>
          </w:cols>
          <w:pgMar w:left="1000" w:top="786" w:right="100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and Allowance for Credit Losses</w:t>
      </w:r>
    </w:p>
    <w:p>
      <w:pPr>
        <w:spacing w:after="0" w:line="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Trade accounts receivable are recorded at their net realizable value. We maintain allowances for estimated losses resulting from the inability of our customers to make required payments. The allowances are based on the amount that we ultimately expect to collect from our customers. We evaluate the collectability of accounts receivable based on a combination of factors including number of days receivables are past due, historical collection experience, current market conditions, and forecasted direction of economic and business environment. Accounts receivable are written off at the time a customer receivable is deemed uncollectible.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Cost is determined using standard costs, which approximates the average cost 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The costs from excess capacity or under-utilization of fixed production overheads were expensed in the period incurred and are not included as a component of inventory.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also include tools, molds, and dies in progress that we are producing and will ultimately sell to our customers.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inventories are also carried at the lower of cost or net realizable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Property, plant and equipment are stated at cost less accumulated depreciation. Assets to be disposed of are stated at the lower of depreciated cost or fair market value less estimated selling costs. Expenditures for maintenance and repairs are charged to expense as incurred. Major renewals and improvements are capitalized. When a property item is retired, its cost and related accumulated depreciation are removed from the property accounts and any gain or loss is recorded in the Consolidated Statements of Operations and Comprehensive Income (Loss). We review the carrying values of long-lived assets for impairment whenever events or changes in circumstances indicate the carrying amount of an asset may not be recoverable. Property, plant and equipment also includes tools, molds, and dies used in manufacturing.</w:t>
      </w:r>
    </w:p>
    <w:p>
      <w:pPr>
        <w:spacing w:after="0" w:line="9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20"/>
          <w:szCs w:val="20"/>
          <w:color w:val="auto"/>
        </w:rPr>
        <w:t>Depreciation is calculated based on historical cost using the straight-line method over the estimated useful lives of the depreciable assets. Estimated useful lives for buildings and land improvements generally range from 10 years to 40 years. Estimated useful lives for machinery and equipment generally range from 3 years to 12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determine whether an arrangement is a lease at inception. Lease right-of-use (“ROU”) assets represent our right to use an underlying asset for the lease term, and lease liabilities represent our obligation to make lease payments arising from the lease. Lease ROU assets and liabilities are recognized at the lease commencement date based on the present value of lease payments over the lease term. When the implicit rate is not readily determinable, we use the estimated incremental borrowing rate based on the information available at the lease commencement date in determining the present value of lease payments. The lease terms may include options to extend or terminate the lease when it is reasonably certain that we will exercise that option. Amortization of lease ROU assets is recognized in expense on a straight-line basis over the lease term.</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We recognize short-term leases, which have a term of twelve months or less, on a straight-line basis and do not record a related lease asset or liability for such leases. Finance lease ROU assets consist primarily of equipment used in the manufacturing process with terms of two years to eight years. Operating lease ROU assets consist of the following:</w:t>
      </w:r>
    </w:p>
    <w:p>
      <w:pPr>
        <w:spacing w:after="0" w:line="15" w:lineRule="exact"/>
        <w:rPr>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Equipment used in the manufacturing process as well as office equipment with terms of five years; and</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plants and office facilities with terms of four years to 20 years.</w:t>
      </w:r>
    </w:p>
    <w:p>
      <w:pPr>
        <w:spacing w:after="0" w:line="13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We sublease certain leased buildings or portions of leased buildings when no longer needed for our current operational needs. Since we retain the obligation to the lessor, the underlying leases continue to be accounted for as operating leases. Sublease income is recognized on a straight-line basis over the lease term and is recognized in the “Other operating expense (income), net” line in the Consolidated Statements of Operations and Comprehensive Income (Loss).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7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Long-lived tangible and intangible assets subject to depreciation or amortization are tested for recoverability when changes in circumstances indicate the carrying value of these assets, or asset groups, may not be recoverable. A test for recoverability is also performed when management has committed to a plan to dispose of a reporting unit or asset group. Recoverability of a long-lived tangible or intangible asset, or asset group, is evaluated by comparing its carrying value to the future estimated undiscounted cash flows expected to be generated by the asset or asset group. If the asset is deemed not recoverable, then the asset is considered impaired and adjusted to fair value which is then depreciated or amortized over its remaining useful life. Assets to be disposed of are recorded at the lesser of carrying value or fair value less costs of disposal.</w:t>
      </w:r>
    </w:p>
    <w:p>
      <w:pPr>
        <w:sectPr>
          <w:pgSz w:w="12240" w:h="15840" w:orient="portrait"/>
          <w:cols w:equalWidth="0" w:num="1">
            <w:col w:w="10160"/>
          </w:cols>
          <w:pgMar w:left="1000" w:top="78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160"/>
          </w:cols>
          <w:pgMar w:left="1000" w:top="789" w:right="10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auto"/>
        </w:rPr>
        <w:t>Equity Method Investments</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Our equity method investment is subject to a review for impairment if, and when, circumstances indicate that a decline in value below its carrying amount may have occurred. Examples of such circumstances include, but are not limited to, a significant deterioration in the earnings performance or business prospects of the investee; a significant adverse change in the regulatory, economic or technological environment of the investee; a significant adverse change in the general market condition of either the geographic area or the industry in which the investee operates; and recurring negative cash flows from operations. If management considers the decline to be other than temporary, we would write down the investment to its estimated fair market value.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We generally transfer control and recognize revenue when we ship the product from our manufacturing facilities to our customer at a point in time, as this is when our customer obtains the ability to direct use of, and obtain substantially all of the remaining benefits from, the product. In limited circumstances, we recognize revenue over time as services are rendered. We have elected to recognize the cost for freight and shipping when control over products has transferred to the customer as a component of cost of sales.</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use an observable price to determine the stand-alone selling price for separate performance obligations or a cost-plus-margin approach when an observable price is not available. The expected duration of our contracts is one year or less,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w:t>
      </w:r>
    </w:p>
    <w:p>
      <w:pPr>
        <w:spacing w:after="0" w:line="9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We utilize the portfolio approach practical expedient to evaluate sales-related discounts on a portfolio basis to contracts with similar characteristics. The effect on our consolidated financial statements of applying the portfolio approach would not differ materially from evaluation of individual contracts.</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 xml:space="preserve">We give our customers the right to return only defective products in exchange for functioning products or rework of the product. These transactions are evaluated and accounted for under ASC Topic 460, </w:t>
      </w:r>
      <w:r>
        <w:rPr>
          <w:rFonts w:ascii="Times New Roman" w:cs="Times New Roman" w:eastAsia="Times New Roman" w:hAnsi="Times New Roman"/>
          <w:sz w:val="20"/>
          <w:szCs w:val="20"/>
          <w:b w:val="1"/>
          <w:bCs w:val="1"/>
          <w:i w:val="1"/>
          <w:iCs w:val="1"/>
          <w:color w:val="auto"/>
        </w:rPr>
        <w:t>Guarantees</w:t>
      </w:r>
      <w:r>
        <w:rPr>
          <w:rFonts w:ascii="Times New Roman" w:cs="Times New Roman" w:eastAsia="Times New Roman" w:hAnsi="Times New Roman"/>
          <w:sz w:val="20"/>
          <w:szCs w:val="20"/>
          <w:color w:val="auto"/>
        </w:rPr>
        <w:t>, and we estimate the impact to the transaction price based on an analysis of historical experience.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Based Compensation</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 xml:space="preserve">The cost of restricted stock awards, performance share units, and stock options is recognized as compensation expense over the vesting periods based on the grant date fair value, as determined under ASC Topic 718, </w:t>
      </w:r>
      <w:r>
        <w:rPr>
          <w:rFonts w:ascii="Times New Roman" w:cs="Times New Roman" w:eastAsia="Times New Roman" w:hAnsi="Times New Roman"/>
          <w:sz w:val="20"/>
          <w:szCs w:val="20"/>
          <w:b w:val="1"/>
          <w:bCs w:val="1"/>
          <w:i w:val="1"/>
          <w:iCs w:val="1"/>
          <w:color w:val="auto"/>
        </w:rPr>
        <w:t>Compensation – stock compensation</w:t>
      </w:r>
      <w:r>
        <w:rPr>
          <w:rFonts w:ascii="Times New Roman" w:cs="Times New Roman" w:eastAsia="Times New Roman" w:hAnsi="Times New Roman"/>
          <w:sz w:val="20"/>
          <w:szCs w:val="20"/>
          <w:color w:val="auto"/>
        </w:rPr>
        <w:t>. The grant-date fair value of restricted stock awards is based on the closing price of our common stock on the date of grant. We use a Monte Carlo simulation for performance share units that include a market condition. The grant-date fair value of performance share units that include performance conditions is based on the closing price of our common stock on the date of grant and compensation expense is recognized based on the estimated outcome of the performance condition. Stock options are valued using the Black Scholes financial pricing model.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and Preferred Stock Dividends</w:t>
      </w:r>
    </w:p>
    <w:p>
      <w:pPr>
        <w:spacing w:after="0" w:line="7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Dividends are recorded as a reduction to retained earnings. When we have an accumulated deficit, dividends are recorded as a reduction of additional paid-in capital.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w:t>
      </w:r>
    </w:p>
    <w:p>
      <w:pPr>
        <w:spacing w:after="0" w:line="74"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Assets and liabilities of our foreign subsidiaries are translated at current exchange rates. Revenue, costs, and expenses are translated at average rates prevailing during each reporting period. Translation adjustments arising from the translation of foreign subsidiary financial statements are reported as a component of other comprehensive income (loss) and accumulated other comprehensive income (loss) within stockholders’ equity.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w:t>
      </w:r>
    </w:p>
    <w:p>
      <w:pPr>
        <w:spacing w:after="0" w:line="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Transaction gains or losses are recognized as incurred in the “Other expense (income), net” line in the Consolidated Statements of Operations and Comprehensive Income (Loss). For the years ended December 31, 2024, 2023, and 2022, transaction gains (losses) were $(1.3) million, $0.3 million, and $0.2 million,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Common Share</w:t>
      </w:r>
    </w:p>
    <w:p>
      <w:pPr>
        <w:spacing w:after="0" w:line="7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9"/>
          <w:szCs w:val="19"/>
          <w:color w:val="auto"/>
        </w:rPr>
        <w:t xml:space="preserve">In accordance with ASC 260, </w:t>
      </w:r>
      <w:r>
        <w:rPr>
          <w:rFonts w:ascii="Times New Roman" w:cs="Times New Roman" w:eastAsia="Times New Roman" w:hAnsi="Times New Roman"/>
          <w:sz w:val="19"/>
          <w:szCs w:val="19"/>
          <w:b w:val="1"/>
          <w:bCs w:val="1"/>
          <w:i w:val="1"/>
          <w:iCs w:val="1"/>
          <w:color w:val="auto"/>
        </w:rPr>
        <w:t>Earnings Per Share,</w:t>
      </w:r>
      <w:r>
        <w:rPr>
          <w:rFonts w:ascii="Times New Roman" w:cs="Times New Roman" w:eastAsia="Times New Roman" w:hAnsi="Times New Roman"/>
          <w:sz w:val="19"/>
          <w:szCs w:val="19"/>
          <w:color w:val="auto"/>
        </w:rPr>
        <w:t xml:space="preserve"> we allocate earnings or losses to common stockholders and participating securities using the two-class method to compute earnings per share (“EPS”) unless the treasury stock method results in a lower EPS. The two-class method is an earnings allocation formula that treats participating securities as having rights to earnings that</w:t>
      </w:r>
    </w:p>
    <w:p>
      <w:pPr>
        <w:sectPr>
          <w:pgSz w:w="12240" w:h="15840" w:orient="portrait"/>
          <w:cols w:equalWidth="0" w:num="1">
            <w:col w:w="10220"/>
          </w:cols>
          <w:pgMar w:left="1000" w:top="789" w:right="102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20"/>
          </w:cols>
          <w:pgMar w:left="1000" w:top="789" w:right="1020" w:bottom="0" w:gutter="0" w:footer="0" w:header="0"/>
          <w:type w:val="continuous"/>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20"/>
          <w:szCs w:val="20"/>
          <w:color w:val="auto"/>
        </w:rPr>
        <w:t>otherwise would have been available to common stockholders. Participating securities may participate in undistributed earnings with common stock whether or not that participation is conditioned upon the occurrence of a specified event. Under the two-class method, our net income (loss) is reduced (or increased) by the amount that has been or will be distributed to our participating security holders. We have elected to allocate undistributed income to participating securities based on year-to-date results. Our participating securities, which include restricted stock awards and preferred stock, do not participate in losses.</w:t>
      </w:r>
    </w:p>
    <w:p>
      <w:pPr>
        <w:spacing w:after="0" w:line="8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Basic net income (loss) per common share is computed by dividing net income (loss) allocable to common shares by the weighted average number of common shares outstanding, adjusted for participating securities and certain outstanding warrants. Diluted net income (loss) per common share includes the effect of warrants and stock options unless inclusion would not be dilutive.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treat global intangible low-taxed income (“GILTI”) as a periodic charge in the year in which it arises and therefore do not record deferred taxes for basis differences associated with GILTI. We eliminate disproportionate tax effects from accumulated other comprehensive income (loss) when the circumstances upon which they are premised cease to exist.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Assistance</w:t>
      </w:r>
    </w:p>
    <w:p>
      <w:pPr>
        <w:spacing w:after="0" w:line="7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20"/>
          <w:szCs w:val="20"/>
          <w:color w:val="auto"/>
        </w:rPr>
        <w:t>For the year ended December 31, 2024, we received $1.0 million in grants and other programs from various governments outside of the U.S. These amounts were received as rent abatements and incentives for capital expenditures in specific locations. Amounts received were recognized as reductions to the underlying expense or capital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Segment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business is aggregated into the following two reportable segments.</w:t>
      </w:r>
    </w:p>
    <w:p>
      <w:pPr>
        <w:spacing w:after="0" w:line="92" w:lineRule="exact"/>
        <w:rPr>
          <w:sz w:val="20"/>
          <w:szCs w:val="20"/>
          <w:color w:val="auto"/>
        </w:rPr>
      </w:pPr>
    </w:p>
    <w:p>
      <w:pPr>
        <w:ind w:left="720" w:right="200" w:hanging="370"/>
        <w:spacing w:after="0" w:line="274" w:lineRule="auto"/>
        <w:tabs>
          <w:tab w:leader="none" w:pos="720" w:val="left"/>
        </w:tabs>
        <w:numPr>
          <w:ilvl w:val="0"/>
          <w:numId w:val="18"/>
        </w:numPr>
        <w:rPr>
          <w:rFonts w:ascii="Calibri" w:cs="Calibri" w:eastAsia="Calibri" w:hAnsi="Calibri"/>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 xml:space="preserve">Mobile Solutions. </w:t>
      </w:r>
      <w:r>
        <w:rPr>
          <w:rFonts w:ascii="Times New Roman" w:cs="Times New Roman" w:eastAsia="Times New Roman" w:hAnsi="Times New Roman"/>
          <w:sz w:val="20"/>
          <w:szCs w:val="20"/>
          <w:color w:val="auto"/>
        </w:rPr>
        <w:t>Mobile Solutions is focused on growth in the automotive, general industrial, and medical end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markets. We have developed an expertise in manufacturing highly complex, tight tolerance, system critical components. Our technical capabilities can be utilized in numerous applications including for use in battery electric, hybrid electric, and internal combustion engine vehicles. The group currently manufactures components on a high-volume basis for use in power steering, braking, transmissions, and gasoline fuel system applications, along with components utilized in heating, ventilation and air conditioning and diesel injection and diesel emissions treatment applications. This expertise has been gained through investment in technical capabilities, processes and systems, and allows us to provide skilled program management and product launch capabilities.</w:t>
      </w:r>
    </w:p>
    <w:p>
      <w:pPr>
        <w:spacing w:after="0" w:line="61" w:lineRule="exact"/>
        <w:rPr>
          <w:rFonts w:ascii="Calibri" w:cs="Calibri" w:eastAsia="Calibri" w:hAnsi="Calibri"/>
          <w:sz w:val="22"/>
          <w:szCs w:val="22"/>
          <w:b w:val="1"/>
          <w:bCs w:val="1"/>
          <w:i w:val="1"/>
          <w:iCs w:val="1"/>
          <w:color w:val="auto"/>
        </w:rPr>
      </w:pPr>
    </w:p>
    <w:p>
      <w:pPr>
        <w:ind w:left="720" w:right="60" w:hanging="370"/>
        <w:spacing w:after="0" w:line="254"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Power Solutions. </w:t>
      </w:r>
      <w:r>
        <w:rPr>
          <w:rFonts w:ascii="Times New Roman" w:cs="Times New Roman" w:eastAsia="Times New Roman" w:hAnsi="Times New Roman"/>
          <w:sz w:val="20"/>
          <w:szCs w:val="20"/>
          <w:color w:val="auto"/>
        </w:rPr>
        <w:t>Power Solutions is focused on growth in the electrical, general industrial, automotive, and medical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transportation electrification. We manufacture a variety of products including electrical contacts, connectors, contact assemblies, and precision stampings for the electrical end market and high precision products for the aerospace and defense end market utilizing our extensive process technologies for optical grade plastics, thermally conductive plastics, titanium, Inconel, magnesium, and electroplating. Our medical business includes the production of a variety of tools and instruments for the orthopaedics and medical/surgical end markets.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40"/>
          </w:cols>
          <w:pgMar w:left="1000" w:top="793" w:right="1000" w:bottom="0" w:gutter="0" w:footer="0" w:header="0"/>
          <w:type w:val="continuous"/>
        </w:sectPr>
      </w:pPr>
    </w:p>
    <w:bookmarkStart w:id="42" w:name="page43"/>
    <w:bookmarkEnd w:id="42"/>
    <w:p>
      <w:pPr>
        <w:ind w:right="80"/>
        <w:spacing w:after="0" w:line="254" w:lineRule="auto"/>
        <w:rPr>
          <w:sz w:val="20"/>
          <w:szCs w:val="20"/>
          <w:color w:val="auto"/>
        </w:rPr>
      </w:pPr>
      <w:r>
        <w:rPr>
          <w:rFonts w:ascii="Times New Roman" w:cs="Times New Roman" w:eastAsia="Times New Roman" w:hAnsi="Times New Roman"/>
          <w:sz w:val="20"/>
          <w:szCs w:val="20"/>
          <w:color w:val="auto"/>
        </w:rPr>
        <w:t>These divisions are considered our two operating segments as each has engaged in business activities for which it earns revenues and incurs expenses, discrete financial information is available for each, and this is the level at which the chief operating decision maker (“CODM”) reviews discrete financial information for purposes of allocating resources and assessing performance. The CODM, who is our President and Chief Executive Officer, uses segment operating income (loss) to evaluate the performance of our segments each quarter and for annual forecasting purposes. Operating income (loss) is used to make key operating decisions, such as the amount and timing of capital expenditures, plant optimization actions, and allocation of management resources. In addition to our two reportable segments, we report a Corporate category which includes corporate costs and unallocated expenses.</w:t>
      </w:r>
    </w:p>
    <w:p>
      <w:pPr>
        <w:spacing w:after="0" w:line="9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tables reconcile segment revenues to consolidated loss before provision for income taxes and share of net income from joint venture.</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2024</w:t>
            </w:r>
          </w:p>
        </w:tc>
        <w:tc>
          <w:tcPr>
            <w:tcW w:w="26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Mobile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Power</w:t>
            </w:r>
          </w:p>
        </w:tc>
        <w:tc>
          <w:tcPr>
            <w:tcW w:w="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45"/>
              <w:spacing w:after="0" w:line="174"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45"/>
              <w:spacing w:after="0" w:line="174"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83"/>
              <w:spacing w:after="0" w:line="174" w:lineRule="exact"/>
              <w:rPr>
                <w:sz w:val="20"/>
                <w:szCs w:val="20"/>
                <w:color w:val="auto"/>
              </w:rPr>
            </w:pPr>
            <w:r>
              <w:rPr>
                <w:rFonts w:ascii="Times New Roman" w:cs="Times New Roman" w:eastAsia="Times New Roman" w:hAnsi="Times New Roman"/>
                <w:sz w:val="16"/>
                <w:szCs w:val="16"/>
                <w:b w:val="1"/>
                <w:bCs w:val="1"/>
                <w:color w:val="auto"/>
              </w:rPr>
              <w:t>Eliminations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Sales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60" w:type="dxa"/>
            <w:vAlign w:val="bottom"/>
            <w:gridSpan w:val="2"/>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283,944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180,545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464,290</w:t>
            </w:r>
          </w:p>
        </w:tc>
        <w:tc>
          <w:tcPr>
            <w:tcW w:w="0" w:type="dxa"/>
            <w:vAlign w:val="bottom"/>
          </w:tcPr>
          <w:p>
            <w:pPr>
              <w:spacing w:after="0"/>
              <w:rPr>
                <w:sz w:val="1"/>
                <w:szCs w:val="1"/>
                <w:color w:val="auto"/>
              </w:rPr>
            </w:pPr>
          </w:p>
        </w:tc>
      </w:tr>
      <w:tr>
        <w:trPr>
          <w:trHeight w:val="298"/>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Cost of sales</w:t>
            </w: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251,847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143,197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394,812</w:t>
            </w:r>
          </w:p>
        </w:tc>
        <w:tc>
          <w:tcPr>
            <w:tcW w:w="0" w:type="dxa"/>
            <w:vAlign w:val="bottom"/>
          </w:tcPr>
          <w:p>
            <w:pPr>
              <w:spacing w:after="0"/>
              <w:rPr>
                <w:sz w:val="1"/>
                <w:szCs w:val="1"/>
                <w:color w:val="auto"/>
              </w:rPr>
            </w:pPr>
          </w:p>
        </w:tc>
      </w:tr>
      <w:tr>
        <w:trPr>
          <w:trHeight w:val="300"/>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14,672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12,987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21,822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49,481</w:t>
            </w:r>
          </w:p>
        </w:tc>
        <w:tc>
          <w:tcPr>
            <w:tcW w:w="0" w:type="dxa"/>
            <w:vAlign w:val="bottom"/>
          </w:tcPr>
          <w:p>
            <w:pPr>
              <w:spacing w:after="0"/>
              <w:rPr>
                <w:sz w:val="1"/>
                <w:szCs w:val="1"/>
                <w:color w:val="auto"/>
              </w:rPr>
            </w:pPr>
          </w:p>
        </w:tc>
      </w:tr>
      <w:tr>
        <w:trPr>
          <w:trHeight w:val="287"/>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Depreciation expense</w:t>
            </w: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26,027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3,994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1,558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31,579</w:t>
            </w:r>
          </w:p>
        </w:tc>
        <w:tc>
          <w:tcPr>
            <w:tcW w:w="0" w:type="dxa"/>
            <w:vAlign w:val="bottom"/>
          </w:tcPr>
          <w:p>
            <w:pPr>
              <w:spacing w:after="0"/>
              <w:rPr>
                <w:sz w:val="1"/>
                <w:szCs w:val="1"/>
                <w:color w:val="auto"/>
              </w:rPr>
            </w:pPr>
          </w:p>
        </w:tc>
      </w:tr>
      <w:tr>
        <w:trPr>
          <w:trHeight w:val="286"/>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Other segment items (1)</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9,476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7,256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15,966</w:t>
            </w:r>
          </w:p>
        </w:tc>
        <w:tc>
          <w:tcPr>
            <w:tcW w:w="0" w:type="dxa"/>
            <w:vAlign w:val="bottom"/>
          </w:tcPr>
          <w:p>
            <w:pPr>
              <w:spacing w:after="0"/>
              <w:rPr>
                <w:sz w:val="1"/>
                <w:szCs w:val="1"/>
                <w:color w:val="auto"/>
              </w:rPr>
            </w:pPr>
          </w:p>
        </w:tc>
      </w:tr>
      <w:tr>
        <w:trPr>
          <w:trHeight w:val="265"/>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Segment operating income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(18,078)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13,111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(27,548)</w:t>
            </w:r>
          </w:p>
        </w:tc>
        <w:tc>
          <w:tcPr>
            <w:tcW w:w="0" w:type="dxa"/>
            <w:vAlign w:val="bottom"/>
          </w:tcPr>
          <w:p>
            <w:pPr>
              <w:spacing w:after="0"/>
              <w:rPr>
                <w:sz w:val="1"/>
                <w:szCs w:val="1"/>
                <w:color w:val="auto"/>
              </w:rPr>
            </w:pPr>
          </w:p>
        </w:tc>
      </w:tr>
      <w:tr>
        <w:trPr>
          <w:trHeight w:val="277"/>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22,095</w:t>
            </w:r>
          </w:p>
        </w:tc>
        <w:tc>
          <w:tcPr>
            <w:tcW w:w="0" w:type="dxa"/>
            <w:vAlign w:val="bottom"/>
          </w:tcPr>
          <w:p>
            <w:pPr>
              <w:spacing w:after="0"/>
              <w:rPr>
                <w:sz w:val="1"/>
                <w:szCs w:val="1"/>
                <w:color w:val="auto"/>
              </w:rPr>
            </w:pPr>
          </w:p>
        </w:tc>
      </w:tr>
      <w:tr>
        <w:trPr>
          <w:trHeight w:val="300"/>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349</w:t>
            </w:r>
          </w:p>
        </w:tc>
        <w:tc>
          <w:tcPr>
            <w:tcW w:w="0" w:type="dxa"/>
            <w:vAlign w:val="bottom"/>
          </w:tcPr>
          <w:p>
            <w:pPr>
              <w:spacing w:after="0"/>
              <w:rPr>
                <w:sz w:val="1"/>
                <w:szCs w:val="1"/>
                <w:color w:val="auto"/>
              </w:rPr>
            </w:pPr>
          </w:p>
        </w:tc>
      </w:tr>
      <w:tr>
        <w:trPr>
          <w:trHeight w:val="303"/>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Other income, net</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(4,558)</w:t>
            </w:r>
          </w:p>
        </w:tc>
        <w:tc>
          <w:tcPr>
            <w:tcW w:w="0" w:type="dxa"/>
            <w:vAlign w:val="bottom"/>
          </w:tcPr>
          <w:p>
            <w:pPr>
              <w:spacing w:after="0"/>
              <w:rPr>
                <w:sz w:val="1"/>
                <w:szCs w:val="1"/>
                <w:color w:val="auto"/>
              </w:rPr>
            </w:pPr>
          </w:p>
        </w:tc>
      </w:tr>
      <w:tr>
        <w:trPr>
          <w:trHeight w:val="212"/>
        </w:trPr>
        <w:tc>
          <w:tcPr>
            <w:tcW w:w="47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Loss before provision for income taxes and share of net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(45,434)</w:t>
            </w:r>
          </w:p>
        </w:tc>
        <w:tc>
          <w:tcPr>
            <w:tcW w:w="0" w:type="dxa"/>
            <w:vAlign w:val="bottom"/>
          </w:tcPr>
          <w:p>
            <w:pPr>
              <w:spacing w:after="0"/>
              <w:rPr>
                <w:sz w:val="1"/>
                <w:szCs w:val="1"/>
                <w:color w:val="auto"/>
              </w:rPr>
            </w:pPr>
          </w:p>
        </w:tc>
      </w:tr>
      <w:tr>
        <w:trPr>
          <w:trHeight w:val="243"/>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income from joint venture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Mobile</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Power</w:t>
            </w:r>
          </w:p>
        </w:tc>
        <w:tc>
          <w:tcPr>
            <w:tcW w:w="60" w:type="dxa"/>
            <w:vAlign w:val="bottom"/>
          </w:tcPr>
          <w:p>
            <w:pPr>
              <w:spacing w:after="0" w:line="20" w:lineRule="exact"/>
              <w:rPr>
                <w:sz w:val="1"/>
                <w:szCs w:val="1"/>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2023</w:t>
            </w:r>
          </w:p>
        </w:tc>
        <w:tc>
          <w:tcPr>
            <w:tcW w:w="26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45"/>
              <w:spacing w:after="0" w:line="174"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45"/>
              <w:spacing w:after="0" w:line="174"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83"/>
              <w:spacing w:after="0" w:line="174" w:lineRule="exact"/>
              <w:rPr>
                <w:sz w:val="20"/>
                <w:szCs w:val="20"/>
                <w:color w:val="auto"/>
              </w:rPr>
            </w:pPr>
            <w:r>
              <w:rPr>
                <w:rFonts w:ascii="Times New Roman" w:cs="Times New Roman" w:eastAsia="Times New Roman" w:hAnsi="Times New Roman"/>
                <w:sz w:val="16"/>
                <w:szCs w:val="16"/>
                <w:b w:val="1"/>
                <w:bCs w:val="1"/>
                <w:color w:val="auto"/>
              </w:rPr>
              <w:t>Eliminations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Sales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60" w:type="dxa"/>
            <w:vAlign w:val="bottom"/>
            <w:gridSpan w:val="2"/>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303,335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185,948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489,270</w:t>
            </w:r>
          </w:p>
        </w:tc>
        <w:tc>
          <w:tcPr>
            <w:tcW w:w="0" w:type="dxa"/>
            <w:vAlign w:val="bottom"/>
          </w:tcPr>
          <w:p>
            <w:pPr>
              <w:spacing w:after="0"/>
              <w:rPr>
                <w:sz w:val="1"/>
                <w:szCs w:val="1"/>
                <w:color w:val="auto"/>
              </w:rPr>
            </w:pPr>
          </w:p>
        </w:tc>
      </w:tr>
      <w:tr>
        <w:trPr>
          <w:trHeight w:val="298"/>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Cost of sales</w:t>
            </w: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271,110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148,096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419,175</w:t>
            </w:r>
          </w:p>
        </w:tc>
        <w:tc>
          <w:tcPr>
            <w:tcW w:w="0" w:type="dxa"/>
            <w:vAlign w:val="bottom"/>
          </w:tcPr>
          <w:p>
            <w:pPr>
              <w:spacing w:after="0"/>
              <w:rPr>
                <w:sz w:val="1"/>
                <w:szCs w:val="1"/>
                <w:color w:val="auto"/>
              </w:rPr>
            </w:pPr>
          </w:p>
        </w:tc>
      </w:tr>
      <w:tr>
        <w:trPr>
          <w:trHeight w:val="300"/>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14,471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13,104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19,861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47,436</w:t>
            </w:r>
          </w:p>
        </w:tc>
        <w:tc>
          <w:tcPr>
            <w:tcW w:w="0" w:type="dxa"/>
            <w:vAlign w:val="bottom"/>
          </w:tcPr>
          <w:p>
            <w:pPr>
              <w:spacing w:after="0"/>
              <w:rPr>
                <w:sz w:val="1"/>
                <w:szCs w:val="1"/>
                <w:color w:val="auto"/>
              </w:rPr>
            </w:pPr>
          </w:p>
        </w:tc>
      </w:tr>
      <w:tr>
        <w:trPr>
          <w:trHeight w:val="300"/>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Depreciation expense</w:t>
            </w: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25,803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4,504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31,953</w:t>
            </w:r>
          </w:p>
        </w:tc>
        <w:tc>
          <w:tcPr>
            <w:tcW w:w="0" w:type="dxa"/>
            <w:vAlign w:val="bottom"/>
          </w:tcPr>
          <w:p>
            <w:pPr>
              <w:spacing w:after="0"/>
              <w:rPr>
                <w:sz w:val="1"/>
                <w:szCs w:val="1"/>
                <w:color w:val="auto"/>
              </w:rPr>
            </w:pPr>
          </w:p>
        </w:tc>
      </w:tr>
      <w:tr>
        <w:trPr>
          <w:trHeight w:val="288"/>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Other segment items (1)</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3,700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9,148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12,510</w:t>
            </w:r>
          </w:p>
        </w:tc>
        <w:tc>
          <w:tcPr>
            <w:tcW w:w="0" w:type="dxa"/>
            <w:vAlign w:val="bottom"/>
          </w:tcPr>
          <w:p>
            <w:pPr>
              <w:spacing w:after="0"/>
              <w:rPr>
                <w:sz w:val="1"/>
                <w:szCs w:val="1"/>
                <w:color w:val="auto"/>
              </w:rPr>
            </w:pPr>
          </w:p>
        </w:tc>
      </w:tr>
      <w:tr>
        <w:trPr>
          <w:trHeight w:val="265"/>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Segment operating income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11,096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(21,151)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(21,804)</w:t>
            </w:r>
          </w:p>
        </w:tc>
        <w:tc>
          <w:tcPr>
            <w:tcW w:w="0" w:type="dxa"/>
            <w:vAlign w:val="bottom"/>
          </w:tcPr>
          <w:p>
            <w:pPr>
              <w:spacing w:after="0"/>
              <w:rPr>
                <w:sz w:val="1"/>
                <w:szCs w:val="1"/>
                <w:color w:val="auto"/>
              </w:rPr>
            </w:pPr>
          </w:p>
        </w:tc>
      </w:tr>
      <w:tr>
        <w:trPr>
          <w:trHeight w:val="277"/>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21,137</w:t>
            </w:r>
          </w:p>
        </w:tc>
        <w:tc>
          <w:tcPr>
            <w:tcW w:w="0" w:type="dxa"/>
            <w:vAlign w:val="bottom"/>
          </w:tcPr>
          <w:p>
            <w:pPr>
              <w:spacing w:after="0"/>
              <w:rPr>
                <w:sz w:val="1"/>
                <w:szCs w:val="1"/>
                <w:color w:val="auto"/>
              </w:rPr>
            </w:pPr>
          </w:p>
        </w:tc>
      </w:tr>
      <w:tr>
        <w:trPr>
          <w:trHeight w:val="303"/>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Other expense, net</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10,730</w:t>
            </w:r>
          </w:p>
        </w:tc>
        <w:tc>
          <w:tcPr>
            <w:tcW w:w="0" w:type="dxa"/>
            <w:vAlign w:val="bottom"/>
          </w:tcPr>
          <w:p>
            <w:pPr>
              <w:spacing w:after="0"/>
              <w:rPr>
                <w:sz w:val="1"/>
                <w:szCs w:val="1"/>
                <w:color w:val="auto"/>
              </w:rPr>
            </w:pPr>
          </w:p>
        </w:tc>
      </w:tr>
      <w:tr>
        <w:trPr>
          <w:trHeight w:val="212"/>
        </w:trPr>
        <w:tc>
          <w:tcPr>
            <w:tcW w:w="47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Loss before provision for income taxes and share of net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(53,671)</w:t>
            </w:r>
          </w:p>
        </w:tc>
        <w:tc>
          <w:tcPr>
            <w:tcW w:w="0" w:type="dxa"/>
            <w:vAlign w:val="bottom"/>
          </w:tcPr>
          <w:p>
            <w:pPr>
              <w:spacing w:after="0"/>
              <w:rPr>
                <w:sz w:val="1"/>
                <w:szCs w:val="1"/>
                <w:color w:val="auto"/>
              </w:rPr>
            </w:pPr>
          </w:p>
        </w:tc>
      </w:tr>
      <w:tr>
        <w:trPr>
          <w:trHeight w:val="243"/>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income from joint venture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Mobile</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Power</w:t>
            </w:r>
          </w:p>
        </w:tc>
        <w:tc>
          <w:tcPr>
            <w:tcW w:w="60" w:type="dxa"/>
            <w:vAlign w:val="bottom"/>
          </w:tcPr>
          <w:p>
            <w:pPr>
              <w:spacing w:after="0" w:line="20" w:lineRule="exact"/>
              <w:rPr>
                <w:sz w:val="1"/>
                <w:szCs w:val="1"/>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2022</w:t>
            </w:r>
          </w:p>
        </w:tc>
        <w:tc>
          <w:tcPr>
            <w:tcW w:w="26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45"/>
              <w:spacing w:after="0" w:line="174"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45"/>
              <w:spacing w:after="0" w:line="174"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83"/>
              <w:spacing w:after="0" w:line="174" w:lineRule="exact"/>
              <w:rPr>
                <w:sz w:val="20"/>
                <w:szCs w:val="20"/>
                <w:color w:val="auto"/>
              </w:rPr>
            </w:pPr>
            <w:r>
              <w:rPr>
                <w:rFonts w:ascii="Times New Roman" w:cs="Times New Roman" w:eastAsia="Times New Roman" w:hAnsi="Times New Roman"/>
                <w:sz w:val="16"/>
                <w:szCs w:val="16"/>
                <w:b w:val="1"/>
                <w:bCs w:val="1"/>
                <w:color w:val="auto"/>
              </w:rPr>
              <w:t>Eliminations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Sales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60" w:type="dxa"/>
            <w:vAlign w:val="bottom"/>
            <w:gridSpan w:val="2"/>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293,536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205,204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498,738</w:t>
            </w:r>
          </w:p>
        </w:tc>
        <w:tc>
          <w:tcPr>
            <w:tcW w:w="0" w:type="dxa"/>
            <w:vAlign w:val="bottom"/>
          </w:tcPr>
          <w:p>
            <w:pPr>
              <w:spacing w:after="0"/>
              <w:rPr>
                <w:sz w:val="1"/>
                <w:szCs w:val="1"/>
                <w:color w:val="auto"/>
              </w:rPr>
            </w:pPr>
          </w:p>
        </w:tc>
      </w:tr>
      <w:tr>
        <w:trPr>
          <w:trHeight w:val="298"/>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Cost of sales</w:t>
            </w: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253,906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167,206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421,105</w:t>
            </w:r>
          </w:p>
        </w:tc>
        <w:tc>
          <w:tcPr>
            <w:tcW w:w="0" w:type="dxa"/>
            <w:vAlign w:val="bottom"/>
          </w:tcPr>
          <w:p>
            <w:pPr>
              <w:spacing w:after="0"/>
              <w:rPr>
                <w:sz w:val="1"/>
                <w:szCs w:val="1"/>
                <w:color w:val="auto"/>
              </w:rPr>
            </w:pPr>
          </w:p>
        </w:tc>
      </w:tr>
      <w:tr>
        <w:trPr>
          <w:trHeight w:val="300"/>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13,559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15,147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20,929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49,635</w:t>
            </w:r>
          </w:p>
        </w:tc>
        <w:tc>
          <w:tcPr>
            <w:tcW w:w="0" w:type="dxa"/>
            <w:vAlign w:val="bottom"/>
          </w:tcPr>
          <w:p>
            <w:pPr>
              <w:spacing w:after="0"/>
              <w:rPr>
                <w:sz w:val="1"/>
                <w:szCs w:val="1"/>
                <w:color w:val="auto"/>
              </w:rPr>
            </w:pPr>
          </w:p>
        </w:tc>
      </w:tr>
      <w:tr>
        <w:trPr>
          <w:trHeight w:val="300"/>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Depreciation expense</w:t>
            </w: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24,839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5,009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31,404</w:t>
            </w:r>
          </w:p>
        </w:tc>
        <w:tc>
          <w:tcPr>
            <w:tcW w:w="0" w:type="dxa"/>
            <w:vAlign w:val="bottom"/>
          </w:tcPr>
          <w:p>
            <w:pPr>
              <w:spacing w:after="0"/>
              <w:rPr>
                <w:sz w:val="1"/>
                <w:szCs w:val="1"/>
                <w:color w:val="auto"/>
              </w:rPr>
            </w:pPr>
          </w:p>
        </w:tc>
      </w:tr>
      <w:tr>
        <w:trPr>
          <w:trHeight w:val="288"/>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Other segment items (1)</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3,397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14,306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17,686</w:t>
            </w:r>
          </w:p>
        </w:tc>
        <w:tc>
          <w:tcPr>
            <w:tcW w:w="0" w:type="dxa"/>
            <w:vAlign w:val="bottom"/>
          </w:tcPr>
          <w:p>
            <w:pPr>
              <w:spacing w:after="0"/>
              <w:rPr>
                <w:sz w:val="1"/>
                <w:szCs w:val="1"/>
                <w:color w:val="auto"/>
              </w:rPr>
            </w:pPr>
          </w:p>
        </w:tc>
      </w:tr>
      <w:tr>
        <w:trPr>
          <w:trHeight w:val="264"/>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(loss) from operations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(22,463)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(21,092)</w:t>
            </w:r>
          </w:p>
        </w:tc>
        <w:tc>
          <w:tcPr>
            <w:tcW w:w="0" w:type="dxa"/>
            <w:vAlign w:val="bottom"/>
          </w:tcPr>
          <w:p>
            <w:pPr>
              <w:spacing w:after="0"/>
              <w:rPr>
                <w:sz w:val="1"/>
                <w:szCs w:val="1"/>
                <w:color w:val="auto"/>
              </w:rPr>
            </w:pPr>
          </w:p>
        </w:tc>
      </w:tr>
      <w:tr>
        <w:trPr>
          <w:trHeight w:val="298"/>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15,041</w:t>
            </w:r>
          </w:p>
        </w:tc>
        <w:tc>
          <w:tcPr>
            <w:tcW w:w="0" w:type="dxa"/>
            <w:vAlign w:val="bottom"/>
          </w:tcPr>
          <w:p>
            <w:pPr>
              <w:spacing w:after="0"/>
              <w:rPr>
                <w:sz w:val="1"/>
                <w:szCs w:val="1"/>
                <w:color w:val="auto"/>
              </w:rPr>
            </w:pPr>
          </w:p>
        </w:tc>
      </w:tr>
      <w:tr>
        <w:trPr>
          <w:trHeight w:val="303"/>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Other income, net</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(5,064)</w:t>
            </w:r>
          </w:p>
        </w:tc>
        <w:tc>
          <w:tcPr>
            <w:tcW w:w="0" w:type="dxa"/>
            <w:vAlign w:val="bottom"/>
          </w:tcPr>
          <w:p>
            <w:pPr>
              <w:spacing w:after="0"/>
              <w:rPr>
                <w:sz w:val="1"/>
                <w:szCs w:val="1"/>
                <w:color w:val="auto"/>
              </w:rPr>
            </w:pPr>
          </w:p>
        </w:tc>
      </w:tr>
      <w:tr>
        <w:trPr>
          <w:trHeight w:val="212"/>
        </w:trPr>
        <w:tc>
          <w:tcPr>
            <w:tcW w:w="47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Loss before provision for income taxes and share of net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(31,069)</w:t>
            </w:r>
          </w:p>
        </w:tc>
        <w:tc>
          <w:tcPr>
            <w:tcW w:w="0" w:type="dxa"/>
            <w:vAlign w:val="bottom"/>
          </w:tcPr>
          <w:p>
            <w:pPr>
              <w:spacing w:after="0"/>
              <w:rPr>
                <w:sz w:val="1"/>
                <w:szCs w:val="1"/>
                <w:color w:val="auto"/>
              </w:rPr>
            </w:pPr>
          </w:p>
        </w:tc>
      </w:tr>
      <w:tr>
        <w:trPr>
          <w:trHeight w:val="243"/>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income from joint venture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-6652260</wp:posOffset>
            </wp:positionV>
            <wp:extent cx="6553200" cy="2041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6553200" cy="20415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-4178935</wp:posOffset>
            </wp:positionV>
            <wp:extent cx="6553200" cy="1860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6553200" cy="18605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-1840865</wp:posOffset>
            </wp:positionV>
            <wp:extent cx="6553200" cy="1860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6553200" cy="18605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(1) Other segment items includes amortization expense and other operating expenses and income.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60"/>
          </w:cols>
          <w:pgMar w:left="1000" w:top="793" w:right="98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The following table presents capital expenditures and depreciation and amortization by reportable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92"/>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Mobile Solutions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13,438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15,387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14,590</w:t>
            </w:r>
          </w:p>
        </w:tc>
        <w:tc>
          <w:tcPr>
            <w:tcW w:w="0" w:type="dxa"/>
            <w:vAlign w:val="bottom"/>
          </w:tcPr>
          <w:p>
            <w:pPr>
              <w:spacing w:after="0"/>
              <w:rPr>
                <w:sz w:val="1"/>
                <w:szCs w:val="1"/>
                <w:color w:val="auto"/>
              </w:rPr>
            </w:pPr>
          </w:p>
        </w:tc>
      </w:tr>
      <w:tr>
        <w:trPr>
          <w:trHeight w:val="315"/>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Power Solutions</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3,252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3,643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2,401</w:t>
            </w:r>
          </w:p>
        </w:tc>
        <w:tc>
          <w:tcPr>
            <w:tcW w:w="0" w:type="dxa"/>
            <w:vAlign w:val="bottom"/>
          </w:tcPr>
          <w:p>
            <w:pPr>
              <w:spacing w:after="0"/>
              <w:rPr>
                <w:sz w:val="1"/>
                <w:szCs w:val="1"/>
                <w:color w:val="auto"/>
              </w:rPr>
            </w:pPr>
          </w:p>
        </w:tc>
      </w:tr>
      <w:tr>
        <w:trPr>
          <w:trHeight w:val="318"/>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Corporate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1,624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1,466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961</w:t>
            </w:r>
          </w:p>
        </w:tc>
        <w:tc>
          <w:tcPr>
            <w:tcW w:w="0" w:type="dxa"/>
            <w:vAlign w:val="bottom"/>
          </w:tcPr>
          <w:p>
            <w:pPr>
              <w:spacing w:after="0"/>
              <w:rPr>
                <w:sz w:val="1"/>
                <w:szCs w:val="1"/>
                <w:color w:val="auto"/>
              </w:rPr>
            </w:pPr>
          </w:p>
        </w:tc>
      </w:tr>
      <w:tr>
        <w:trPr>
          <w:trHeight w:val="275"/>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18,314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20,496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17,952</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18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Mobile Solutions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29,381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29,156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28,192</w:t>
            </w:r>
          </w:p>
        </w:tc>
        <w:tc>
          <w:tcPr>
            <w:tcW w:w="0" w:type="dxa"/>
            <w:vAlign w:val="bottom"/>
          </w:tcPr>
          <w:p>
            <w:pPr>
              <w:spacing w:after="0"/>
              <w:rPr>
                <w:sz w:val="1"/>
                <w:szCs w:val="1"/>
                <w:color w:val="auto"/>
              </w:rPr>
            </w:pPr>
          </w:p>
        </w:tc>
      </w:tr>
      <w:tr>
        <w:trPr>
          <w:trHeight w:val="315"/>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Power Solutions</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14,363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15,318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17,483</w:t>
            </w:r>
          </w:p>
        </w:tc>
        <w:tc>
          <w:tcPr>
            <w:tcW w:w="0" w:type="dxa"/>
            <w:vAlign w:val="bottom"/>
          </w:tcPr>
          <w:p>
            <w:pPr>
              <w:spacing w:after="0"/>
              <w:rPr>
                <w:sz w:val="1"/>
                <w:szCs w:val="1"/>
                <w:color w:val="auto"/>
              </w:rPr>
            </w:pPr>
          </w:p>
        </w:tc>
      </w:tr>
      <w:tr>
        <w:trPr>
          <w:trHeight w:val="318"/>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Corporate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1,558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1,646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1,556</w:t>
            </w:r>
          </w:p>
        </w:tc>
        <w:tc>
          <w:tcPr>
            <w:tcW w:w="0" w:type="dxa"/>
            <w:vAlign w:val="bottom"/>
          </w:tcPr>
          <w:p>
            <w:pPr>
              <w:spacing w:after="0"/>
              <w:rPr>
                <w:sz w:val="1"/>
                <w:szCs w:val="1"/>
                <w:color w:val="auto"/>
              </w:rPr>
            </w:pPr>
          </w:p>
        </w:tc>
      </w:tr>
      <w:tr>
        <w:trPr>
          <w:trHeight w:val="275"/>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45,302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46,120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47,231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following table summarizes total assets by reportable segment.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6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35"/>
        </w:trPr>
        <w:tc>
          <w:tcPr>
            <w:tcW w:w="6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Mobile Solutions (1)</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294,204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329,610</w:t>
            </w:r>
          </w:p>
        </w:tc>
        <w:tc>
          <w:tcPr>
            <w:tcW w:w="0" w:type="dxa"/>
            <w:vAlign w:val="bottom"/>
          </w:tcPr>
          <w:p>
            <w:pPr>
              <w:spacing w:after="0"/>
              <w:rPr>
                <w:sz w:val="1"/>
                <w:szCs w:val="1"/>
                <w:color w:val="auto"/>
              </w:rPr>
            </w:pPr>
          </w:p>
        </w:tc>
      </w:tr>
      <w:tr>
        <w:trPr>
          <w:trHeight w:val="28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Power Solutions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124,460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147,155</w:t>
            </w:r>
          </w:p>
        </w:tc>
        <w:tc>
          <w:tcPr>
            <w:tcW w:w="0" w:type="dxa"/>
            <w:vAlign w:val="bottom"/>
          </w:tcPr>
          <w:p>
            <w:pPr>
              <w:spacing w:after="0"/>
              <w:rPr>
                <w:sz w:val="1"/>
                <w:szCs w:val="1"/>
                <w:color w:val="auto"/>
              </w:rPr>
            </w:pPr>
          </w:p>
        </w:tc>
      </w:tr>
      <w:tr>
        <w:trPr>
          <w:trHeight w:val="286"/>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38,229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34,120</w:t>
            </w:r>
          </w:p>
        </w:tc>
        <w:tc>
          <w:tcPr>
            <w:tcW w:w="0" w:type="dxa"/>
            <w:vAlign w:val="bottom"/>
          </w:tcPr>
          <w:p>
            <w:pPr>
              <w:spacing w:after="0"/>
              <w:rPr>
                <w:sz w:val="1"/>
                <w:szCs w:val="1"/>
                <w:color w:val="auto"/>
              </w:rPr>
            </w:pPr>
          </w:p>
        </w:tc>
      </w:tr>
      <w:tr>
        <w:trPr>
          <w:trHeight w:val="24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456,893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510,885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-3409315</wp:posOffset>
            </wp:positionV>
            <wp:extent cx="6553200" cy="2051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6553200" cy="20510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56" w:lineRule="exact"/>
        <w:rPr>
          <w:sz w:val="20"/>
          <w:szCs w:val="20"/>
          <w:color w:val="auto"/>
        </w:rPr>
      </w:pPr>
    </w:p>
    <w:p>
      <w:pPr>
        <w:ind w:left="540" w:right="960" w:hanging="370"/>
        <w:spacing w:after="0" w:line="281" w:lineRule="auto"/>
        <w:tabs>
          <w:tab w:leader="none" w:pos="5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assets in Mobile Solutions includes $35.0 million and $32.7 million as of December 31, 2024 and 2023, respectively, related to our investment in the JV.</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long-lived tangible assets by country.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35"/>
        </w:trPr>
        <w:tc>
          <w:tcPr>
            <w:tcW w:w="6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113,846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127,186</w:t>
            </w:r>
          </w:p>
        </w:tc>
      </w:tr>
      <w:tr>
        <w:trPr>
          <w:trHeight w:val="300"/>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China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39,909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36,188</w:t>
            </w:r>
          </w:p>
        </w:tc>
      </w:tr>
      <w:tr>
        <w:trPr>
          <w:trHeight w:val="300"/>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France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20,713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24,298</w:t>
            </w:r>
          </w:p>
        </w:tc>
      </w:tr>
      <w:tr>
        <w:trPr>
          <w:trHeight w:val="300"/>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Brazil</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12,585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17,088</w:t>
            </w:r>
          </w:p>
        </w:tc>
      </w:tr>
      <w:tr>
        <w:trPr>
          <w:trHeight w:val="300"/>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Poland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9,131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10,371</w:t>
            </w:r>
          </w:p>
        </w:tc>
      </w:tr>
      <w:tr>
        <w:trPr>
          <w:trHeight w:val="303"/>
        </w:trPr>
        <w:tc>
          <w:tcPr>
            <w:tcW w:w="6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Mexico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5,167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14,038</w:t>
            </w:r>
          </w:p>
        </w:tc>
      </w:tr>
      <w:tr>
        <w:trPr>
          <w:trHeight w:val="28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All foreign countries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87,505</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101,983</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201,351</w:t>
            </w:r>
          </w:p>
        </w:tc>
        <w:tc>
          <w:tcPr>
            <w:tcW w:w="60" w:type="dxa"/>
            <w:vAlign w:val="bottom"/>
          </w:tcPr>
          <w:p>
            <w:pPr>
              <w:spacing w:after="0"/>
              <w:rPr>
                <w:sz w:val="22"/>
                <w:szCs w:val="22"/>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229,169</w:t>
            </w:r>
          </w:p>
        </w:tc>
      </w:tr>
      <w:tr>
        <w:trPr>
          <w:trHeight w:val="20"/>
        </w:trPr>
        <w:tc>
          <w:tcPr>
            <w:tcW w:w="7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09"/>
        </w:trPr>
        <w:tc>
          <w:tcPr>
            <w:tcW w:w="80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The following table summarizes revenue by country, based on our customers’ shipping destination.</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6"/>
        </w:trPr>
        <w:tc>
          <w:tcPr>
            <w:tcW w:w="6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r>
      <w:tr>
        <w:trPr>
          <w:trHeight w:val="235"/>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265,020</w:t>
            </w:r>
          </w:p>
        </w:tc>
        <w:tc>
          <w:tcPr>
            <w:tcW w:w="60" w:type="dxa"/>
            <w:vAlign w:val="bottom"/>
          </w:tcPr>
          <w:p>
            <w:pPr>
              <w:spacing w:after="0"/>
              <w:rPr>
                <w:sz w:val="24"/>
                <w:szCs w:val="24"/>
                <w:color w:val="auto"/>
              </w:rPr>
            </w:pP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294,045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301,823</w:t>
            </w: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China</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67,957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58,195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51,556</w:t>
            </w: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Brazil</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44,302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48,696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48,216</w:t>
            </w: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Mexico</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25,663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26,683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40,645</w:t>
            </w: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Germany</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10,083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8,700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5,506</w:t>
            </w: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Poland</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4,120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6,161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5,042</w:t>
            </w:r>
          </w:p>
        </w:tc>
      </w:tr>
      <w:tr>
        <w:trPr>
          <w:trHeight w:val="30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47,145</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46,790</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45,950</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net sales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464,290</w:t>
            </w:r>
          </w:p>
        </w:tc>
        <w:tc>
          <w:tcPr>
            <w:tcW w:w="60" w:type="dxa"/>
            <w:vAlign w:val="bottom"/>
          </w:tcPr>
          <w:p>
            <w:pPr>
              <w:spacing w:after="0"/>
              <w:rPr>
                <w:sz w:val="22"/>
                <w:szCs w:val="22"/>
                <w:color w:val="auto"/>
              </w:rPr>
            </w:pP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489,270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498,738</w:t>
            </w:r>
          </w:p>
        </w:tc>
      </w:tr>
      <w:tr>
        <w:trPr>
          <w:trHeight w:val="20"/>
        </w:trPr>
        <w:tc>
          <w:tcPr>
            <w:tcW w:w="6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-3771265</wp:posOffset>
            </wp:positionV>
            <wp:extent cx="6553200" cy="157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extLst>
                    </a:blip>
                    <a:srcRect/>
                    <a:stretch>
                      <a:fillRect/>
                    </a:stretch>
                  </pic:blipFill>
                  <pic:spPr bwMode="auto">
                    <a:xfrm>
                      <a:off x="0" y="0"/>
                      <a:ext cx="6553200" cy="1574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-1555115</wp:posOffset>
            </wp:positionV>
            <wp:extent cx="6553200" cy="157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extLst>
                    </a:blip>
                    <a:srcRect/>
                    <a:stretch>
                      <a:fillRect/>
                    </a:stretch>
                  </pic:blipFill>
                  <pic:spPr bwMode="auto">
                    <a:xfrm>
                      <a:off x="0" y="0"/>
                      <a:ext cx="6553200" cy="157480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60"/>
          </w:cols>
          <w:pgMar w:left="1000" w:top="793" w:right="9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Note 3. Revenue from Contracts with Customers</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During the year ended December 31, 2022, we received equipment from a customer as part of the selling price of goods transferred. This noncash consideration was recognized as revenue equal to the fair value of the equipment received.</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 The other category includes products sold in aerospace, defense, medical, and other industries.</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9"/>
              </w:rPr>
              <w:t>Mobile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rPr>
              <w:t>Power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2024</w:t>
            </w:r>
          </w:p>
        </w:tc>
        <w:tc>
          <w:tcPr>
            <w:tcW w:w="26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b w:val="1"/>
                <w:bCs w:val="1"/>
                <w:color w:val="auto"/>
                <w:w w:val="97"/>
              </w:rPr>
              <w:t>Sales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46"/>
              <w:spacing w:after="0" w:line="174" w:lineRule="exact"/>
              <w:rPr>
                <w:sz w:val="20"/>
                <w:szCs w:val="20"/>
                <w:color w:val="auto"/>
              </w:rPr>
            </w:pPr>
            <w:r>
              <w:rPr>
                <w:rFonts w:ascii="Times New Roman" w:cs="Times New Roman" w:eastAsia="Times New Roman" w:hAnsi="Times New Roman"/>
                <w:sz w:val="16"/>
                <w:szCs w:val="16"/>
                <w:b w:val="1"/>
                <w:bCs w:val="1"/>
                <w:color w:val="auto"/>
                <w:w w:val="98"/>
              </w:rPr>
              <w:t>Solutions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46"/>
              <w:spacing w:after="0" w:line="174" w:lineRule="exact"/>
              <w:rPr>
                <w:sz w:val="20"/>
                <w:szCs w:val="20"/>
                <w:color w:val="auto"/>
              </w:rPr>
            </w:pPr>
            <w:r>
              <w:rPr>
                <w:rFonts w:ascii="Times New Roman" w:cs="Times New Roman" w:eastAsia="Times New Roman" w:hAnsi="Times New Roman"/>
                <w:sz w:val="16"/>
                <w:szCs w:val="16"/>
                <w:b w:val="1"/>
                <w:bCs w:val="1"/>
                <w:color w:val="auto"/>
                <w:w w:val="98"/>
              </w:rPr>
              <w:t>Solutions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08"/>
              <w:spacing w:after="0" w:line="174" w:lineRule="exact"/>
              <w:rPr>
                <w:sz w:val="20"/>
                <w:szCs w:val="20"/>
                <w:color w:val="auto"/>
              </w:rPr>
            </w:pPr>
            <w:r>
              <w:rPr>
                <w:rFonts w:ascii="Times New Roman" w:cs="Times New Roman" w:eastAsia="Times New Roman" w:hAnsi="Times New Roman"/>
                <w:sz w:val="16"/>
                <w:szCs w:val="16"/>
                <w:b w:val="1"/>
                <w:bCs w:val="1"/>
                <w:color w:val="auto"/>
              </w:rPr>
              <w:t>Eliminations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Automotive</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80" w:type="dxa"/>
            <w:vAlign w:val="bottom"/>
            <w:gridSpan w:val="2"/>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192,277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28,915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221,192</w:t>
            </w:r>
          </w:p>
        </w:tc>
        <w:tc>
          <w:tcPr>
            <w:tcW w:w="0" w:type="dxa"/>
            <w:vAlign w:val="bottom"/>
          </w:tcPr>
          <w:p>
            <w:pPr>
              <w:spacing w:after="0"/>
              <w:rPr>
                <w:sz w:val="1"/>
                <w:szCs w:val="1"/>
                <w:color w:val="auto"/>
              </w:rPr>
            </w:pPr>
          </w:p>
        </w:tc>
      </w:tr>
      <w:tr>
        <w:trPr>
          <w:trHeight w:val="285"/>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Industrial</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71,244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46,490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117,734</w:t>
            </w:r>
          </w:p>
        </w:tc>
        <w:tc>
          <w:tcPr>
            <w:tcW w:w="0" w:type="dxa"/>
            <w:vAlign w:val="bottom"/>
          </w:tcPr>
          <w:p>
            <w:pPr>
              <w:spacing w:after="0"/>
              <w:rPr>
                <w:sz w:val="1"/>
                <w:szCs w:val="1"/>
                <w:color w:val="auto"/>
              </w:rPr>
            </w:pPr>
          </w:p>
        </w:tc>
      </w:tr>
      <w:tr>
        <w:trPr>
          <w:trHeight w:val="285"/>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Residential/Commercial Electrical</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80,545</w:t>
            </w:r>
          </w:p>
        </w:tc>
        <w:tc>
          <w:tcPr>
            <w:tcW w:w="0" w:type="dxa"/>
            <w:vAlign w:val="bottom"/>
          </w:tcPr>
          <w:p>
            <w:pPr>
              <w:spacing w:after="0"/>
              <w:rPr>
                <w:sz w:val="1"/>
                <w:szCs w:val="1"/>
                <w:color w:val="auto"/>
              </w:rPr>
            </w:pPr>
          </w:p>
        </w:tc>
      </w:tr>
      <w:tr>
        <w:trPr>
          <w:trHeight w:val="286"/>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20,423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24,595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44,819</w:t>
            </w:r>
          </w:p>
        </w:tc>
        <w:tc>
          <w:tcPr>
            <w:tcW w:w="0" w:type="dxa"/>
            <w:vAlign w:val="bottom"/>
          </w:tcPr>
          <w:p>
            <w:pPr>
              <w:spacing w:after="0"/>
              <w:rPr>
                <w:sz w:val="1"/>
                <w:szCs w:val="1"/>
                <w:color w:val="auto"/>
              </w:rPr>
            </w:pPr>
          </w:p>
        </w:tc>
      </w:tr>
      <w:tr>
        <w:trPr>
          <w:trHeight w:val="245"/>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net sales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283,944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180,545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464,290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9"/>
              </w:rPr>
              <w:t>Mobile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rPr>
              <w:t>Power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2023</w:t>
            </w:r>
          </w:p>
        </w:tc>
        <w:tc>
          <w:tcPr>
            <w:tcW w:w="26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b w:val="1"/>
                <w:bCs w:val="1"/>
                <w:color w:val="auto"/>
                <w:w w:val="97"/>
              </w:rPr>
              <w:t>Sales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46"/>
              <w:spacing w:after="0" w:line="174" w:lineRule="exact"/>
              <w:rPr>
                <w:sz w:val="20"/>
                <w:szCs w:val="20"/>
                <w:color w:val="auto"/>
              </w:rPr>
            </w:pPr>
            <w:r>
              <w:rPr>
                <w:rFonts w:ascii="Times New Roman" w:cs="Times New Roman" w:eastAsia="Times New Roman" w:hAnsi="Times New Roman"/>
                <w:sz w:val="16"/>
                <w:szCs w:val="16"/>
                <w:b w:val="1"/>
                <w:bCs w:val="1"/>
                <w:color w:val="auto"/>
                <w:w w:val="98"/>
              </w:rPr>
              <w:t>Solutions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46"/>
              <w:spacing w:after="0" w:line="174" w:lineRule="exact"/>
              <w:rPr>
                <w:sz w:val="20"/>
                <w:szCs w:val="20"/>
                <w:color w:val="auto"/>
              </w:rPr>
            </w:pPr>
            <w:r>
              <w:rPr>
                <w:rFonts w:ascii="Times New Roman" w:cs="Times New Roman" w:eastAsia="Times New Roman" w:hAnsi="Times New Roman"/>
                <w:sz w:val="16"/>
                <w:szCs w:val="16"/>
                <w:b w:val="1"/>
                <w:bCs w:val="1"/>
                <w:color w:val="auto"/>
                <w:w w:val="98"/>
              </w:rPr>
              <w:t>Solutions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08"/>
              <w:spacing w:after="0" w:line="174" w:lineRule="exact"/>
              <w:rPr>
                <w:sz w:val="20"/>
                <w:szCs w:val="20"/>
                <w:color w:val="auto"/>
              </w:rPr>
            </w:pPr>
            <w:r>
              <w:rPr>
                <w:rFonts w:ascii="Times New Roman" w:cs="Times New Roman" w:eastAsia="Times New Roman" w:hAnsi="Times New Roman"/>
                <w:sz w:val="16"/>
                <w:szCs w:val="16"/>
                <w:b w:val="1"/>
                <w:bCs w:val="1"/>
                <w:color w:val="auto"/>
              </w:rPr>
              <w:t>Eliminations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Automotive</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80" w:type="dxa"/>
            <w:vAlign w:val="bottom"/>
            <w:gridSpan w:val="2"/>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212,582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34,959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247,541</w:t>
            </w:r>
          </w:p>
        </w:tc>
        <w:tc>
          <w:tcPr>
            <w:tcW w:w="0" w:type="dxa"/>
            <w:vAlign w:val="bottom"/>
          </w:tcPr>
          <w:p>
            <w:pPr>
              <w:spacing w:after="0"/>
              <w:rPr>
                <w:sz w:val="1"/>
                <w:szCs w:val="1"/>
                <w:color w:val="auto"/>
              </w:rPr>
            </w:pPr>
          </w:p>
        </w:tc>
      </w:tr>
      <w:tr>
        <w:trPr>
          <w:trHeight w:val="285"/>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Industrial</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52,276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125,626</w:t>
            </w:r>
          </w:p>
        </w:tc>
        <w:tc>
          <w:tcPr>
            <w:tcW w:w="0" w:type="dxa"/>
            <w:vAlign w:val="bottom"/>
          </w:tcPr>
          <w:p>
            <w:pPr>
              <w:spacing w:after="0"/>
              <w:rPr>
                <w:sz w:val="1"/>
                <w:szCs w:val="1"/>
                <w:color w:val="auto"/>
              </w:rPr>
            </w:pPr>
          </w:p>
        </w:tc>
      </w:tr>
      <w:tr>
        <w:trPr>
          <w:trHeight w:val="285"/>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Residential/Commercial Electrical</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67,546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67,546</w:t>
            </w:r>
          </w:p>
        </w:tc>
        <w:tc>
          <w:tcPr>
            <w:tcW w:w="0" w:type="dxa"/>
            <w:vAlign w:val="bottom"/>
          </w:tcPr>
          <w:p>
            <w:pPr>
              <w:spacing w:after="0"/>
              <w:rPr>
                <w:sz w:val="1"/>
                <w:szCs w:val="1"/>
                <w:color w:val="auto"/>
              </w:rPr>
            </w:pPr>
          </w:p>
        </w:tc>
      </w:tr>
      <w:tr>
        <w:trPr>
          <w:trHeight w:val="286"/>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17,403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31,167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48,557</w:t>
            </w:r>
          </w:p>
        </w:tc>
        <w:tc>
          <w:tcPr>
            <w:tcW w:w="0" w:type="dxa"/>
            <w:vAlign w:val="bottom"/>
          </w:tcPr>
          <w:p>
            <w:pPr>
              <w:spacing w:after="0"/>
              <w:rPr>
                <w:sz w:val="1"/>
                <w:szCs w:val="1"/>
                <w:color w:val="auto"/>
              </w:rPr>
            </w:pPr>
          </w:p>
        </w:tc>
      </w:tr>
      <w:tr>
        <w:trPr>
          <w:trHeight w:val="245"/>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net sales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303,335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185,948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489,270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9"/>
              </w:rPr>
              <w:t>Mobile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rPr>
              <w:t>Power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2022</w:t>
            </w:r>
          </w:p>
        </w:tc>
        <w:tc>
          <w:tcPr>
            <w:tcW w:w="26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b w:val="1"/>
                <w:bCs w:val="1"/>
                <w:color w:val="auto"/>
                <w:w w:val="97"/>
              </w:rPr>
              <w:t>Sales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46"/>
              <w:spacing w:after="0" w:line="174" w:lineRule="exact"/>
              <w:rPr>
                <w:sz w:val="20"/>
                <w:szCs w:val="20"/>
                <w:color w:val="auto"/>
              </w:rPr>
            </w:pPr>
            <w:r>
              <w:rPr>
                <w:rFonts w:ascii="Times New Roman" w:cs="Times New Roman" w:eastAsia="Times New Roman" w:hAnsi="Times New Roman"/>
                <w:sz w:val="16"/>
                <w:szCs w:val="16"/>
                <w:b w:val="1"/>
                <w:bCs w:val="1"/>
                <w:color w:val="auto"/>
                <w:w w:val="98"/>
              </w:rPr>
              <w:t>Solutions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46"/>
              <w:spacing w:after="0" w:line="174" w:lineRule="exact"/>
              <w:rPr>
                <w:sz w:val="20"/>
                <w:szCs w:val="20"/>
                <w:color w:val="auto"/>
              </w:rPr>
            </w:pPr>
            <w:r>
              <w:rPr>
                <w:rFonts w:ascii="Times New Roman" w:cs="Times New Roman" w:eastAsia="Times New Roman" w:hAnsi="Times New Roman"/>
                <w:sz w:val="16"/>
                <w:szCs w:val="16"/>
                <w:b w:val="1"/>
                <w:bCs w:val="1"/>
                <w:color w:val="auto"/>
                <w:w w:val="98"/>
              </w:rPr>
              <w:t>Solutions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08"/>
              <w:spacing w:after="0" w:line="174" w:lineRule="exact"/>
              <w:rPr>
                <w:sz w:val="20"/>
                <w:szCs w:val="20"/>
                <w:color w:val="auto"/>
              </w:rPr>
            </w:pPr>
            <w:r>
              <w:rPr>
                <w:rFonts w:ascii="Times New Roman" w:cs="Times New Roman" w:eastAsia="Times New Roman" w:hAnsi="Times New Roman"/>
                <w:sz w:val="16"/>
                <w:szCs w:val="16"/>
                <w:b w:val="1"/>
                <w:bCs w:val="1"/>
                <w:color w:val="auto"/>
              </w:rPr>
              <w:t>Eliminations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Automotive</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80" w:type="dxa"/>
            <w:vAlign w:val="bottom"/>
            <w:gridSpan w:val="2"/>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197,341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40,890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238,231</w:t>
            </w:r>
          </w:p>
        </w:tc>
        <w:tc>
          <w:tcPr>
            <w:tcW w:w="0" w:type="dxa"/>
            <w:vAlign w:val="bottom"/>
          </w:tcPr>
          <w:p>
            <w:pPr>
              <w:spacing w:after="0"/>
              <w:rPr>
                <w:sz w:val="1"/>
                <w:szCs w:val="1"/>
                <w:color w:val="auto"/>
              </w:rPr>
            </w:pPr>
          </w:p>
        </w:tc>
      </w:tr>
      <w:tr>
        <w:trPr>
          <w:trHeight w:val="285"/>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Industrial</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78,142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139,970</w:t>
            </w:r>
          </w:p>
        </w:tc>
        <w:tc>
          <w:tcPr>
            <w:tcW w:w="0" w:type="dxa"/>
            <w:vAlign w:val="bottom"/>
          </w:tcPr>
          <w:p>
            <w:pPr>
              <w:spacing w:after="0"/>
              <w:rPr>
                <w:sz w:val="1"/>
                <w:szCs w:val="1"/>
                <w:color w:val="auto"/>
              </w:rPr>
            </w:pPr>
          </w:p>
        </w:tc>
      </w:tr>
      <w:tr>
        <w:trPr>
          <w:trHeight w:val="285"/>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Residential/Commercial Electrical</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70,055</w:t>
            </w:r>
          </w:p>
        </w:tc>
        <w:tc>
          <w:tcPr>
            <w:tcW w:w="0" w:type="dxa"/>
            <w:vAlign w:val="bottom"/>
          </w:tcPr>
          <w:p>
            <w:pPr>
              <w:spacing w:after="0"/>
              <w:rPr>
                <w:sz w:val="1"/>
                <w:szCs w:val="1"/>
                <w:color w:val="auto"/>
              </w:rPr>
            </w:pPr>
          </w:p>
        </w:tc>
      </w:tr>
      <w:tr>
        <w:trPr>
          <w:trHeight w:val="286"/>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18,053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32,431</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50,482</w:t>
            </w:r>
          </w:p>
        </w:tc>
        <w:tc>
          <w:tcPr>
            <w:tcW w:w="0" w:type="dxa"/>
            <w:vAlign w:val="bottom"/>
          </w:tcPr>
          <w:p>
            <w:pPr>
              <w:spacing w:after="0"/>
              <w:rPr>
                <w:sz w:val="1"/>
                <w:szCs w:val="1"/>
                <w:color w:val="auto"/>
              </w:rPr>
            </w:pPr>
          </w:p>
        </w:tc>
      </w:tr>
      <w:tr>
        <w:trPr>
          <w:trHeight w:val="245"/>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net sales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293,536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205,204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498,738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-3882390</wp:posOffset>
            </wp:positionV>
            <wp:extent cx="6553200" cy="955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extLst>
                    </a:blip>
                    <a:srcRect/>
                    <a:stretch>
                      <a:fillRect/>
                    </a:stretch>
                  </pic:blipFill>
                  <pic:spPr bwMode="auto">
                    <a:xfrm>
                      <a:off x="0" y="0"/>
                      <a:ext cx="6553200" cy="9556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-2409190</wp:posOffset>
            </wp:positionV>
            <wp:extent cx="6553200" cy="955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extLst>
                    </a:blip>
                    <a:srcRect/>
                    <a:stretch>
                      <a:fillRect/>
                    </a:stretch>
                  </pic:blipFill>
                  <pic:spPr bwMode="auto">
                    <a:xfrm>
                      <a:off x="0" y="0"/>
                      <a:ext cx="6553200" cy="9556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553200" cy="955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Sources of Revenue</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generally have an original expected duration of less than one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74"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The timing of revenue recognition, billings, and cash collections results in billed accounts receivable and customer advances and deposits (e.g. contract liability) on the Consolidated Balance Sheets. These contract liabilities are reported on the Consolidated Balance Sheets on a contract-by-contract basis at the end of each reporting period as deferred revenue, which is reported in the “Other current liabilities” line on the Consolidated Balance Sheets.</w:t>
      </w:r>
    </w:p>
    <w:p>
      <w:pPr>
        <w:spacing w:after="0" w:line="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9"/>
          <w:szCs w:val="19"/>
          <w:color w:val="auto"/>
        </w:rPr>
        <w:t>Deferred revenue relates to payments received in advance of performance under the contract and recognized as revenue as (or when) we perform under the contract. Changes in the contract liability balances during the year ended December 31, 2024, were not materially impacted by any other factors. The balance of deferred revenue was $0.2 million, $0.4 million and $0.7</w:t>
      </w:r>
    </w:p>
    <w:p>
      <w:pPr>
        <w:sectPr>
          <w:pgSz w:w="12240" w:h="15840" w:orient="portrait"/>
          <w:cols w:equalWidth="0" w:num="1">
            <w:col w:w="10260"/>
          </w:cols>
          <w:pgMar w:left="1000" w:top="786" w:right="980" w:bottom="0" w:gutter="0" w:footer="0" w:header="0"/>
        </w:sect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60"/>
          </w:cols>
          <w:pgMar w:left="1000" w:top="786" w:right="980" w:bottom="0" w:gutter="0" w:footer="0" w:header="0"/>
          <w:type w:val="continuous"/>
        </w:sectPr>
      </w:pPr>
    </w:p>
    <w:bookmarkStart w:id="45" w:name="page46"/>
    <w:bookmarkEnd w:id="45"/>
    <w:p>
      <w:pPr>
        <w:ind w:right="300"/>
        <w:spacing w:after="0" w:line="266" w:lineRule="auto"/>
        <w:rPr>
          <w:sz w:val="20"/>
          <w:szCs w:val="20"/>
          <w:color w:val="auto"/>
        </w:rPr>
      </w:pPr>
      <w:r>
        <w:rPr>
          <w:rFonts w:ascii="Times New Roman" w:cs="Times New Roman" w:eastAsia="Times New Roman" w:hAnsi="Times New Roman"/>
          <w:sz w:val="20"/>
          <w:szCs w:val="20"/>
          <w:color w:val="auto"/>
        </w:rPr>
        <w:t>million as of December 31, 2024, 2023 and 2022, respectively. Revenue recognized for performance obligations satisfied or partially satisfied during the years ended December 31, 2024, 2023 and 2022, included $0.4 million, $0.7 million and $0.5 million, respectively, that was included in deferred revenue as of the prior year-end.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Future Performance Obligations</w:t>
      </w:r>
    </w:p>
    <w:p>
      <w:pPr>
        <w:spacing w:after="0" w:line="7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We are required to disclose the aggregate amount of transaction price that is allocated to performance obligations that have not yet been satisfied as of December 31, 2024, unless our contracts meet one of the practical expedients. Our contracts met the practical expedient for a performance obligation that is part of a contract that has an original expected duration of one year or less.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to Obtain and Fulfill a Contract</w:t>
      </w:r>
    </w:p>
    <w:p>
      <w:pPr>
        <w:spacing w:after="0" w:line="7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We recognize commissions paid to internal sales personnel that are incremental to obtaining customer contracts as an expense when incurred since the amortization period is less than one year. Costs to obtain a contract are expensed as selling, general and administrative expense.</w:t>
      </w:r>
    </w:p>
    <w:p>
      <w:pPr>
        <w:spacing w:after="0" w:line="7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Sales, VAT, and other taxes we collect concurrent with revenue-producing activities are excluded from revenue. Incidental items that are immaterial in the context of the contract are recognized as expense.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Concentration</w:t>
      </w:r>
    </w:p>
    <w:p>
      <w:pPr>
        <w:spacing w:after="0" w:line="7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No single customer accounted for 10% or more of consolidated net sales, during the years ended December 31, 2024, 2023, and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Accounts Receivable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changes in the allowance for credit losses.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1,241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1,469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1,352</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32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326</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Write-offs and other</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Currency impact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1,515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1,241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1,469</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53200" cy="1003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108"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20"/>
          <w:szCs w:val="20"/>
          <w:color w:val="auto"/>
        </w:rPr>
        <w:t>As of December 31, 2024 and 2023, one customer represented 11% and 13%, respectively, of our consolidated accounts receivable balance. Amounts due from this customer are primarily related to Mobile Solutions.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Sales Programs</w:t>
      </w:r>
    </w:p>
    <w:p>
      <w:pPr>
        <w:spacing w:after="0" w:line="7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9"/>
          <w:szCs w:val="19"/>
          <w:color w:val="auto"/>
        </w:rPr>
        <w:t>We participate in programs established by our customers which allows us to sell certain receivables from that customer on a non-recourse basis to a third-party financial institution. During the years ended December 31, 2024, 2023 and 2022, we incurred fees of $1.1 million, $1.1 million and $0.6 million, respectively, related to the sale of receivables which is recorded in the Other expense (income), net line item on the Consolidated Statements of Operations and Comprehensive Income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Inventories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comprised of the following amounts: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20"/>
        </w:trPr>
        <w:tc>
          <w:tcPr>
            <w:tcW w:w="7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20,664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25,456</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Work in process</w:t>
            </w:r>
          </w:p>
        </w:tc>
        <w:tc>
          <w:tcPr>
            <w:tcW w:w="360" w:type="dxa"/>
            <w:vAlign w:val="bottom"/>
          </w:tcPr>
          <w:p>
            <w:pPr>
              <w:spacing w:after="0"/>
              <w:rPr>
                <w:sz w:val="24"/>
                <w:szCs w:val="24"/>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22,139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22,942</w:t>
            </w:r>
          </w:p>
        </w:tc>
      </w:tr>
      <w:tr>
        <w:trPr>
          <w:trHeight w:val="286"/>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19,074</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23,165</w:t>
            </w:r>
          </w:p>
        </w:tc>
      </w:tr>
      <w:tr>
        <w:trPr>
          <w:trHeight w:val="245"/>
        </w:trPr>
        <w:tc>
          <w:tcPr>
            <w:tcW w:w="7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Total inventories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61,877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71,563</w:t>
            </w:r>
          </w:p>
        </w:tc>
      </w:tr>
      <w:tr>
        <w:trPr>
          <w:trHeight w:val="20"/>
        </w:trPr>
        <w:tc>
          <w:tcPr>
            <w:tcW w:w="7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40500" cy="206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540500" cy="206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-56515</wp:posOffset>
            </wp:positionV>
            <wp:extent cx="2003425" cy="76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extLst>
                        <a:ext uri="{28A0092B-C50C-407E-A947-70E740481C1C}"/>
                      </a:extLst>
                    </a:blip>
                    <a:srcRect/>
                    <a:stretch>
                      <a:fillRect/>
                    </a:stretch>
                  </pic:blipFill>
                  <pic:spPr bwMode="auto">
                    <a:xfrm>
                      <a:off x="0" y="0"/>
                      <a:ext cx="2003425" cy="7620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60"/>
          </w:cols>
          <w:pgMar w:left="1000" w:top="793" w:right="9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Note 6. Property, Plant and Equipment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plant and equipment are comprised of the following amounts: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783"/>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20"/>
        </w:trPr>
        <w:tc>
          <w:tcPr>
            <w:tcW w:w="7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Land and buildings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56,205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61,007</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339,792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375,352</w:t>
            </w:r>
          </w:p>
        </w:tc>
      </w:tr>
      <w:tr>
        <w:trPr>
          <w:trHeight w:val="286"/>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6,569</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3,466</w:t>
            </w:r>
          </w:p>
        </w:tc>
      </w:tr>
      <w:tr>
        <w:trPr>
          <w:trHeight w:val="26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Gross cost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402,566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439,825</w:t>
            </w:r>
          </w:p>
        </w:tc>
      </w:tr>
      <w:tr>
        <w:trPr>
          <w:trHeight w:val="286"/>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240,532</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254,013</w:t>
            </w:r>
          </w:p>
        </w:tc>
      </w:tr>
      <w:tr>
        <w:trPr>
          <w:trHeight w:val="24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162,034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185,812</w:t>
            </w:r>
          </w:p>
        </w:tc>
      </w:tr>
      <w:tr>
        <w:trPr>
          <w:trHeight w:val="20"/>
        </w:trPr>
        <w:tc>
          <w:tcPr>
            <w:tcW w:w="7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2024, 2023, and 2022, we recorded depreciation expense of $31.6 million, $32.0 million, and $31.4 million, respectively. During the year ended 2024, we recognized $0.9 million of accelerated depreciation expense due to changes in the estimated remaining useful life of certain machinery and equipment.</w:t>
      </w:r>
    </w:p>
    <w:p>
      <w:pPr>
        <w:spacing w:after="0" w:line="7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We monitor property, plant and equipment for any indicators of potential impairment. We recognized an impairment of $6.5 million for the year ended December 31, 2024, related to machinery and equipment located at a plant that will close in 2025. The machinery and equipment were adjusted down to their fair value, which was determined based on quoted market prices for similar assets. The impairment loss, which was reported within our Mobile Solutions group, is recognized in the “Other expense (income), net” line in the Consolidated Statements of Operations and Comprehensive Income (Loss). There were no impairment charges for the years ended December 31, 2023, and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Intangible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changes in the carrying amount of intangible assets, net, by reportable segment.</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Mobile Solutions</w:t>
            </w:r>
          </w:p>
        </w:tc>
        <w:tc>
          <w:tcPr>
            <w:tcW w:w="60" w:type="dxa"/>
            <w:vAlign w:val="bottom"/>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Power Solutions</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2022</w:t>
            </w:r>
          </w:p>
        </w:tc>
        <w:tc>
          <w:tcPr>
            <w:tcW w:w="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22,356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50,535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72,891</w:t>
            </w:r>
          </w:p>
        </w:tc>
      </w:tr>
      <w:tr>
        <w:trPr>
          <w:trHeight w:val="288"/>
        </w:trPr>
        <w:tc>
          <w:tcPr>
            <w:tcW w:w="6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Amortization</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(10,814)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(14,167)</w:t>
            </w: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2023</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39,721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58,724</w:t>
            </w:r>
          </w:p>
        </w:tc>
      </w:tr>
      <w:tr>
        <w:trPr>
          <w:trHeight w:val="287"/>
        </w:trPr>
        <w:tc>
          <w:tcPr>
            <w:tcW w:w="6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Amortization</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(13,723)</w:t>
            </w:r>
          </w:p>
        </w:tc>
      </w:tr>
      <w:tr>
        <w:trPr>
          <w:trHeight w:val="286"/>
        </w:trPr>
        <w:tc>
          <w:tcPr>
            <w:tcW w:w="6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Intangible assets sold (1)</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w:t>
            </w: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15,649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28,761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44,410</w:t>
            </w:r>
          </w:p>
        </w:tc>
      </w:tr>
      <w:tr>
        <w:trPr>
          <w:trHeight w:val="20"/>
        </w:trPr>
        <w:tc>
          <w:tcPr>
            <w:tcW w:w="6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16" w:lineRule="exact"/>
        <w:rPr>
          <w:sz w:val="20"/>
          <w:szCs w:val="20"/>
          <w:color w:val="auto"/>
        </w:rPr>
      </w:pPr>
    </w:p>
    <w:p>
      <w:pPr>
        <w:ind w:left="540" w:right="220" w:hanging="370"/>
        <w:spacing w:after="0" w:line="281" w:lineRule="auto"/>
        <w:tabs>
          <w:tab w:leader="none" w:pos="5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customer relationships associated with the Industrial Molding Corporation business, which was sold during the year ended December 31, 2024 (see Note 18).</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the cost and accumulated amortization of our intangible assets as of December 31, 2024 and 2023.</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80" w:type="dxa"/>
            <w:vAlign w:val="bottom"/>
          </w:tcPr>
          <w:p>
            <w:pPr>
              <w:spacing w:after="0"/>
              <w:rPr>
                <w:sz w:val="16"/>
                <w:szCs w:val="16"/>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8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7"/>
              </w:rPr>
              <w:t>Value as of</w:t>
            </w: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110"/>
              <w:spacing w:after="0" w:line="16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7"/>
              </w:rPr>
              <w:t>Value as of</w:t>
            </w: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10"/>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 Date</w:t>
            </w:r>
          </w:p>
        </w:tc>
        <w:tc>
          <w:tcPr>
            <w:tcW w:w="8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 Date</w:t>
            </w: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169,416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171,846</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57,175</w:t>
            </w:r>
          </w:p>
        </w:tc>
        <w:tc>
          <w:tcPr>
            <w:tcW w:w="0" w:type="dxa"/>
            <w:vAlign w:val="bottom"/>
          </w:tcPr>
          <w:p>
            <w:pPr>
              <w:spacing w:after="0"/>
              <w:rPr>
                <w:sz w:val="1"/>
                <w:szCs w:val="1"/>
                <w:color w:val="auto"/>
              </w:rPr>
            </w:pPr>
          </w:p>
        </w:tc>
      </w:tr>
      <w:tr>
        <w:trPr>
          <w:trHeight w:val="301"/>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Trademark and trade name</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7,527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(5,978)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1,549</w:t>
            </w:r>
          </w:p>
        </w:tc>
        <w:tc>
          <w:tcPr>
            <w:tcW w:w="0" w:type="dxa"/>
            <w:vAlign w:val="bottom"/>
          </w:tcPr>
          <w:p>
            <w:pPr>
              <w:spacing w:after="0"/>
              <w:rPr>
                <w:sz w:val="1"/>
                <w:szCs w:val="1"/>
                <w:color w:val="auto"/>
              </w:rPr>
            </w:pPr>
          </w:p>
        </w:tc>
      </w:tr>
      <w:tr>
        <w:trPr>
          <w:trHeight w:val="28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Total identified intangible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173,516</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(129,106)</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44,410</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179,373</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(120,649)</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58,724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-580390</wp:posOffset>
            </wp:positionV>
            <wp:extent cx="6540500" cy="587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extLst>
                        <a:ext uri="{28A0092B-C50C-407E-A947-70E740481C1C}"/>
                      </a:extLst>
                    </a:blip>
                    <a:srcRect/>
                    <a:stretch>
                      <a:fillRect/>
                    </a:stretch>
                  </pic:blipFill>
                  <pic:spPr bwMode="auto">
                    <a:xfrm>
                      <a:off x="0" y="0"/>
                      <a:ext cx="6540500" cy="587375"/>
                    </a:xfrm>
                    <a:prstGeom prst="rect">
                      <a:avLst/>
                    </a:prstGeom>
                    <a:noFill/>
                  </pic:spPr>
                </pic:pic>
              </a:graphicData>
            </a:graphic>
          </wp:anchor>
        </w:drawing>
      </w:r>
    </w:p>
    <w:p>
      <w:pPr>
        <w:spacing w:after="0" w:line="128"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auto"/>
        </w:rPr>
        <w:t>Intangible assets that are fully amortized are removed and no longer represented in the gross carrying value or accumulated amortization.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estimated future amortization expense for each of the next five years.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540500" cy="930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extLst>
                        <a:ext uri="{28A0092B-C50C-407E-A947-70E740481C1C}"/>
                      </a:extLst>
                    </a:blip>
                    <a:srcRect/>
                    <a:stretch>
                      <a:fillRect/>
                    </a:stretch>
                  </pic:blipFill>
                  <pic:spPr bwMode="auto">
                    <a:xfrm>
                      <a:off x="0" y="0"/>
                      <a:ext cx="6540500" cy="930275"/>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680" w:type="dxa"/>
            <w:vAlign w:val="bottom"/>
          </w:tcPr>
          <w:p>
            <w:pPr>
              <w:jc w:val="right"/>
              <w:ind w:right="4180"/>
              <w:spacing w:after="0"/>
              <w:rPr>
                <w:sz w:val="20"/>
                <w:szCs w:val="20"/>
                <w:color w:val="auto"/>
              </w:rPr>
            </w:pPr>
            <w:r>
              <w:rPr>
                <w:rFonts w:ascii="Times New Roman" w:cs="Times New Roman" w:eastAsia="Times New Roman" w:hAnsi="Times New Roman"/>
                <w:sz w:val="20"/>
                <w:szCs w:val="20"/>
                <w:color w:val="auto"/>
                <w:w w:val="94"/>
              </w:rPr>
              <w:t>2025</w:t>
            </w:r>
          </w:p>
        </w:tc>
        <w:tc>
          <w:tcPr>
            <w:tcW w:w="46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13,621</w:t>
            </w:r>
          </w:p>
        </w:tc>
      </w:tr>
      <w:tr>
        <w:trPr>
          <w:trHeight w:val="285"/>
        </w:trPr>
        <w:tc>
          <w:tcPr>
            <w:tcW w:w="4680" w:type="dxa"/>
            <w:vAlign w:val="bottom"/>
          </w:tcPr>
          <w:p>
            <w:pPr>
              <w:jc w:val="right"/>
              <w:ind w:right="4180"/>
              <w:spacing w:after="0"/>
              <w:rPr>
                <w:sz w:val="20"/>
                <w:szCs w:val="20"/>
                <w:color w:val="auto"/>
              </w:rPr>
            </w:pPr>
            <w:r>
              <w:rPr>
                <w:rFonts w:ascii="Times New Roman" w:cs="Times New Roman" w:eastAsia="Times New Roman" w:hAnsi="Times New Roman"/>
                <w:sz w:val="20"/>
                <w:szCs w:val="20"/>
                <w:color w:val="auto"/>
                <w:w w:val="94"/>
              </w:rPr>
              <w:t>2026</w:t>
            </w:r>
          </w:p>
        </w:tc>
        <w:tc>
          <w:tcPr>
            <w:tcW w:w="46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13,621</w:t>
            </w:r>
          </w:p>
        </w:tc>
      </w:tr>
      <w:tr>
        <w:trPr>
          <w:trHeight w:val="285"/>
        </w:trPr>
        <w:tc>
          <w:tcPr>
            <w:tcW w:w="4680" w:type="dxa"/>
            <w:vAlign w:val="bottom"/>
          </w:tcPr>
          <w:p>
            <w:pPr>
              <w:jc w:val="right"/>
              <w:ind w:right="4180"/>
              <w:spacing w:after="0"/>
              <w:rPr>
                <w:sz w:val="20"/>
                <w:szCs w:val="20"/>
                <w:color w:val="auto"/>
              </w:rPr>
            </w:pPr>
            <w:r>
              <w:rPr>
                <w:rFonts w:ascii="Times New Roman" w:cs="Times New Roman" w:eastAsia="Times New Roman" w:hAnsi="Times New Roman"/>
                <w:sz w:val="20"/>
                <w:szCs w:val="20"/>
                <w:color w:val="auto"/>
                <w:w w:val="94"/>
              </w:rPr>
              <w:t>2027</w:t>
            </w:r>
          </w:p>
        </w:tc>
        <w:tc>
          <w:tcPr>
            <w:tcW w:w="46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11,579</w:t>
            </w:r>
          </w:p>
        </w:tc>
      </w:tr>
      <w:tr>
        <w:trPr>
          <w:trHeight w:val="285"/>
        </w:trPr>
        <w:tc>
          <w:tcPr>
            <w:tcW w:w="4680" w:type="dxa"/>
            <w:vAlign w:val="bottom"/>
          </w:tcPr>
          <w:p>
            <w:pPr>
              <w:jc w:val="right"/>
              <w:ind w:right="4180"/>
              <w:spacing w:after="0"/>
              <w:rPr>
                <w:sz w:val="20"/>
                <w:szCs w:val="20"/>
                <w:color w:val="auto"/>
              </w:rPr>
            </w:pPr>
            <w:r>
              <w:rPr>
                <w:rFonts w:ascii="Times New Roman" w:cs="Times New Roman" w:eastAsia="Times New Roman" w:hAnsi="Times New Roman"/>
                <w:sz w:val="20"/>
                <w:szCs w:val="20"/>
                <w:color w:val="auto"/>
                <w:w w:val="94"/>
              </w:rPr>
              <w:t>2028</w:t>
            </w:r>
          </w:p>
        </w:tc>
        <w:tc>
          <w:tcPr>
            <w:tcW w:w="46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3,353</w:t>
            </w:r>
          </w:p>
        </w:tc>
      </w:tr>
      <w:tr>
        <w:trPr>
          <w:trHeight w:val="285"/>
        </w:trPr>
        <w:tc>
          <w:tcPr>
            <w:tcW w:w="4680" w:type="dxa"/>
            <w:vAlign w:val="bottom"/>
          </w:tcPr>
          <w:p>
            <w:pPr>
              <w:jc w:val="right"/>
              <w:ind w:right="4180"/>
              <w:spacing w:after="0"/>
              <w:rPr>
                <w:sz w:val="20"/>
                <w:szCs w:val="20"/>
                <w:color w:val="auto"/>
              </w:rPr>
            </w:pPr>
            <w:r>
              <w:rPr>
                <w:rFonts w:ascii="Times New Roman" w:cs="Times New Roman" w:eastAsia="Times New Roman" w:hAnsi="Times New Roman"/>
                <w:sz w:val="20"/>
                <w:szCs w:val="20"/>
                <w:color w:val="auto"/>
                <w:w w:val="94"/>
              </w:rPr>
              <w:t>2029</w:t>
            </w:r>
          </w:p>
        </w:tc>
        <w:tc>
          <w:tcPr>
            <w:tcW w:w="46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w:t>
            </w:r>
          </w:p>
        </w:tc>
      </w:tr>
    </w:tbl>
    <w:p>
      <w:pPr>
        <w:spacing w:after="0" w:line="200" w:lineRule="exact"/>
        <w:rPr>
          <w:sz w:val="20"/>
          <w:szCs w:val="20"/>
          <w:color w:val="auto"/>
        </w:rPr>
      </w:pP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60"/>
          </w:cols>
          <w:pgMar w:left="1000" w:top="786" w:right="980" w:bottom="0" w:gutter="0" w:footer="0" w:header="0"/>
          <w:type w:val="continuous"/>
        </w:sectPr>
      </w:pPr>
    </w:p>
    <w:bookmarkStart w:id="47" w:name="page48"/>
    <w:bookmarkEnd w:id="47"/>
    <w:p>
      <w:pPr>
        <w:ind w:right="280"/>
        <w:spacing w:after="0" w:line="281" w:lineRule="auto"/>
        <w:rPr>
          <w:sz w:val="20"/>
          <w:szCs w:val="20"/>
          <w:color w:val="auto"/>
        </w:rPr>
      </w:pPr>
      <w:r>
        <w:rPr>
          <w:rFonts w:ascii="Times New Roman" w:cs="Times New Roman" w:eastAsia="Times New Roman" w:hAnsi="Times New Roman"/>
          <w:sz w:val="20"/>
          <w:szCs w:val="20"/>
          <w:color w:val="auto"/>
        </w:rPr>
        <w:t>Intangible assets are reviewed for impairment when changes in circumstances indicate the carrying value of those assets may not be recoverable. There were no impairment charges for the years ended December 31, 2024, 2023, and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Investment in Joint Venture</w:t>
      </w:r>
    </w:p>
    <w:p>
      <w:pPr>
        <w:spacing w:after="0" w:line="7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We own a 49% investment in Wuxi Weifu Autocam Precision Machinery Company, Ltd., a joint venture located in Wuxi, China. The JV is jointly controlled and managed, and we account for it under the equity method, with the share of net income from the joint venture recorded in the Mobile Solutions segment.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shows changes in our investment in the JV.</w:t>
            </w: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28"/>
        </w:trPr>
        <w:tc>
          <w:tcPr>
            <w:tcW w:w="8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December 31, 2023</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32,701</w:t>
            </w:r>
          </w:p>
        </w:tc>
      </w:tr>
      <w:tr>
        <w:trPr>
          <w:trHeight w:val="300"/>
        </w:trPr>
        <w:tc>
          <w:tcPr>
            <w:tcW w:w="8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 of earnings</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9,571</w:t>
            </w:r>
          </w:p>
        </w:tc>
      </w:tr>
      <w:tr>
        <w:trPr>
          <w:trHeight w:val="300"/>
        </w:trPr>
        <w:tc>
          <w:tcPr>
            <w:tcW w:w="8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Dividends paid by joint venture</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(6,260)</w:t>
            </w:r>
          </w:p>
        </w:tc>
      </w:tr>
      <w:tr>
        <w:trPr>
          <w:trHeight w:val="303"/>
        </w:trPr>
        <w:tc>
          <w:tcPr>
            <w:tcW w:w="8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translation loss</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w:t>
            </w:r>
          </w:p>
        </w:tc>
      </w:tr>
      <w:tr>
        <w:trPr>
          <w:trHeight w:val="260"/>
        </w:trPr>
        <w:tc>
          <w:tcPr>
            <w:tcW w:w="8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34,971</w:t>
            </w:r>
          </w:p>
        </w:tc>
      </w:tr>
      <w:tr>
        <w:trPr>
          <w:trHeight w:val="20"/>
        </w:trPr>
        <w:tc>
          <w:tcPr>
            <w:tcW w:w="8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53200" cy="1003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show summarized financial information of the unconsolidated JV.</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298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r>
      <w:tr>
        <w:trPr>
          <w:trHeight w:val="235"/>
        </w:trPr>
        <w:tc>
          <w:tcPr>
            <w:tcW w:w="6460" w:type="dxa"/>
            <w:vAlign w:val="bottom"/>
          </w:tcPr>
          <w:p>
            <w:pPr>
              <w:spacing w:after="0"/>
              <w:rPr>
                <w:sz w:val="20"/>
                <w:szCs w:val="20"/>
                <w:color w:val="auto"/>
              </w:rPr>
            </w:pPr>
          </w:p>
        </w:tc>
        <w:tc>
          <w:tcPr>
            <w:tcW w:w="12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64"/>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130,807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109,630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101,565</w:t>
            </w:r>
          </w:p>
        </w:tc>
      </w:tr>
      <w:tr>
        <w:trPr>
          <w:trHeight w:val="285"/>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106,166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93,609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84,654</w:t>
            </w:r>
          </w:p>
        </w:tc>
      </w:tr>
      <w:tr>
        <w:trPr>
          <w:trHeight w:val="285"/>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Income from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14,175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15,111</w:t>
            </w:r>
          </w:p>
        </w:tc>
      </w:tr>
      <w:tr>
        <w:trPr>
          <w:trHeight w:val="285"/>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19,533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11,848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13,453</w:t>
            </w:r>
          </w:p>
        </w:tc>
      </w:tr>
      <w:tr>
        <w:trPr>
          <w:trHeight w:val="476"/>
        </w:trPr>
        <w:tc>
          <w:tcPr>
            <w:tcW w:w="6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80" w:type="dxa"/>
            <w:vAlign w:val="bottom"/>
            <w:tcBorders>
              <w:bottom w:val="single" w:sz="8" w:color="auto"/>
            </w:tcBorders>
          </w:tcPr>
          <w:p>
            <w:pPr>
              <w:spacing w:after="0"/>
              <w:rPr>
                <w:sz w:val="24"/>
                <w:szCs w:val="24"/>
                <w:color w:val="auto"/>
              </w:rPr>
            </w:pPr>
          </w:p>
        </w:tc>
      </w:tr>
      <w:tr>
        <w:trPr>
          <w:trHeight w:val="235"/>
        </w:trPr>
        <w:tc>
          <w:tcPr>
            <w:tcW w:w="6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64"/>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2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84,409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68,508</w:t>
            </w:r>
          </w:p>
        </w:tc>
      </w:tr>
      <w:tr>
        <w:trPr>
          <w:trHeight w:val="285"/>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12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73,399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77,554</w:t>
            </w:r>
          </w:p>
        </w:tc>
      </w:tr>
      <w:tr>
        <w:trPr>
          <w:trHeight w:val="285"/>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2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76,859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68,665</w:t>
            </w:r>
          </w:p>
        </w:tc>
      </w:tr>
      <w:tr>
        <w:trPr>
          <w:trHeight w:val="285"/>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12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7,639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-1916430</wp:posOffset>
            </wp:positionV>
            <wp:extent cx="6540500" cy="749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extLst>
                    </a:blip>
                    <a:srcRect/>
                    <a:stretch>
                      <a:fillRect/>
                    </a:stretch>
                  </pic:blipFill>
                  <pic:spPr bwMode="auto">
                    <a:xfrm>
                      <a:off x="0" y="0"/>
                      <a:ext cx="6540500" cy="7493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-728980</wp:posOffset>
            </wp:positionV>
            <wp:extent cx="6540500" cy="749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extLst>
                        <a:ext uri="{28A0092B-C50C-407E-A947-70E740481C1C}"/>
                      </a:extLst>
                    </a:blip>
                    <a:srcRect/>
                    <a:stretch>
                      <a:fillRect/>
                    </a:stretch>
                  </pic:blipFill>
                  <pic:spPr bwMode="auto">
                    <a:xfrm>
                      <a:off x="0" y="0"/>
                      <a:ext cx="6540500" cy="749300"/>
                    </a:xfrm>
                    <a:prstGeom prst="rect">
                      <a:avLst/>
                    </a:prstGeom>
                    <a:noFill/>
                  </pic:spPr>
                </pic:pic>
              </a:graphicData>
            </a:graphic>
          </wp:anchor>
        </w:drawing>
      </w:r>
    </w:p>
    <w:p>
      <w:pPr>
        <w:spacing w:after="0" w:line="150"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auto"/>
        </w:rPr>
        <w:t>We recognized sales to the JV of $0, $0, and $0.1 million during the years ended December 31, 2024,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Debt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amounts outstanding on our debt facilities.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783"/>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20"/>
        </w:trPr>
        <w:tc>
          <w:tcPr>
            <w:tcW w:w="7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Term Loan Facility</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114,397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148,114</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ABL Facility</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Financing obligations from sale-leaseback transactions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 loans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10,655</w:t>
            </w:r>
          </w:p>
        </w:tc>
      </w:tr>
      <w:tr>
        <w:trPr>
          <w:trHeight w:val="286"/>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Unamortized debt issuance costs and discount (1)</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(5,490)</w:t>
            </w:r>
          </w:p>
        </w:tc>
      </w:tr>
      <w:tr>
        <w:trPr>
          <w:trHeight w:val="245"/>
        </w:trPr>
        <w:tc>
          <w:tcPr>
            <w:tcW w:w="71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debt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148,630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153,279</w:t>
            </w:r>
          </w:p>
        </w:tc>
      </w:tr>
      <w:tr>
        <w:trPr>
          <w:trHeight w:val="20"/>
        </w:trPr>
        <w:tc>
          <w:tcPr>
            <w:tcW w:w="7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-1136015</wp:posOffset>
            </wp:positionV>
            <wp:extent cx="6553200" cy="1155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6553200" cy="11557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16" w:lineRule="exact"/>
        <w:rPr>
          <w:sz w:val="20"/>
          <w:szCs w:val="20"/>
          <w:color w:val="auto"/>
        </w:rPr>
      </w:pPr>
    </w:p>
    <w:p>
      <w:pPr>
        <w:ind w:left="620" w:right="180" w:hanging="270"/>
        <w:spacing w:after="0" w:line="281" w:lineRule="auto"/>
        <w:tabs>
          <w:tab w:leader="none" w:pos="63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this amount, costs of $1.2 million and $0.5 million related to asset backed credit facilities were recorded in other non-current assets as of December 31, 2024 and 2023, respectively.</w:t>
      </w:r>
    </w:p>
    <w:p>
      <w:pPr>
        <w:spacing w:after="0" w:line="6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We capitalized interest costs of $1.2 million, $1.3 million, and $0.6 million in the years ended December 31, 2024, 2023, and 2022, respectively, related to construction in progress.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Facility</w:t>
      </w:r>
    </w:p>
    <w:p>
      <w:pPr>
        <w:spacing w:after="0" w:line="7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On March 22, 2021, we entered into a $150.0 million term loan facility (as amended from time to time, the “Term Loan Facility”), on which outstanding borrowings bear interest at either: 1) one-month, three-month, or six-month term secured overnight finance rate (“SOFR”) with a duration adjustment (“Adjusted Term SOFR”), subject to a 1.000% floor, plus an applicable margin of 6.875%, or 2) the greater of various benchmark rates plus an applicable margin of 5.875%. Beginning in</w:t>
      </w:r>
    </w:p>
    <w:p>
      <w:pPr>
        <w:sectPr>
          <w:pgSz w:w="12240" w:h="15840" w:orient="portrait"/>
          <w:cols w:equalWidth="0" w:num="1">
            <w:col w:w="10260"/>
          </w:cols>
          <w:pgMar w:left="1000" w:top="793" w:right="980" w:bottom="0" w:gutter="0" w:footer="0" w:header="0"/>
        </w:sect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793" w:right="980" w:bottom="0" w:gutter="0" w:footer="0" w:header="0"/>
          <w:type w:val="continuous"/>
        </w:sectPr>
      </w:pPr>
    </w:p>
    <w:bookmarkStart w:id="48" w:name="page49"/>
    <w:bookmarkEnd w:id="48"/>
    <w:p>
      <w:pPr>
        <w:ind w:left="10"/>
        <w:spacing w:after="0" w:line="258" w:lineRule="auto"/>
        <w:rPr>
          <w:sz w:val="20"/>
          <w:szCs w:val="20"/>
          <w:color w:val="auto"/>
        </w:rPr>
      </w:pPr>
      <w:r>
        <w:rPr>
          <w:rFonts w:ascii="Times New Roman" w:cs="Times New Roman" w:eastAsia="Times New Roman" w:hAnsi="Times New Roman"/>
          <w:sz w:val="20"/>
          <w:szCs w:val="20"/>
          <w:color w:val="auto"/>
        </w:rPr>
        <w:t>the second quarter of 2023, interest was increased on a paid-in-kind basis at a rate between 1.00% and 2.00% (“PIK interest”), dependent on our net leverage ratio for the most recently reported fiscal quarter and subject to reduction upon the occurrence of certain conditions as set forth in the credit agreement governing the Term Loan Facility. The PIK interest is payable on the loan maturity date of September 22, 2026. At December 31, 2024, the Term Loan Facility bore interest, including PIK interest, based on one-month Adjusted Term SOFR, at 12.332%.</w:t>
      </w:r>
    </w:p>
    <w:p>
      <w:pPr>
        <w:spacing w:after="0" w:line="84" w:lineRule="exact"/>
        <w:rPr>
          <w:sz w:val="20"/>
          <w:szCs w:val="20"/>
          <w:color w:val="auto"/>
        </w:rPr>
      </w:pPr>
    </w:p>
    <w:p>
      <w:pPr>
        <w:ind w:left="10" w:right="80"/>
        <w:spacing w:after="0" w:line="256" w:lineRule="auto"/>
        <w:rPr>
          <w:sz w:val="20"/>
          <w:szCs w:val="20"/>
          <w:color w:val="auto"/>
        </w:rPr>
      </w:pPr>
      <w:r>
        <w:rPr>
          <w:rFonts w:ascii="Times New Roman" w:cs="Times New Roman" w:eastAsia="Times New Roman" w:hAnsi="Times New Roman"/>
          <w:sz w:val="20"/>
          <w:szCs w:val="20"/>
          <w:color w:val="auto"/>
        </w:rPr>
        <w:t>The Term Loan Facility requires quarterly principal payments of $0.4 million with the remaining unpaid principal amount due at the loan maturity date. We may be required to make additional principal payments annually that are calculated as a percentage of our excess cash flow, as defined by the lender, based on our net leverage ratio. The Term Loan Facility is collateralized by all of our assets. The Term Loan Facility has a first lien on all domestic assets, other than accounts receivable and inventory and has a second lien on domestic accounts receivable and inventory. We were in compliance with all requirements under the Term Loan Facility as of December 31, 2024.</w:t>
      </w:r>
    </w:p>
    <w:p>
      <w:pPr>
        <w:spacing w:after="0" w:line="88" w:lineRule="exact"/>
        <w:rPr>
          <w:sz w:val="20"/>
          <w:szCs w:val="20"/>
          <w:color w:val="auto"/>
        </w:rPr>
      </w:pPr>
    </w:p>
    <w:p>
      <w:pPr>
        <w:ind w:left="10" w:right="520"/>
        <w:spacing w:after="0" w:line="266" w:lineRule="auto"/>
        <w:rPr>
          <w:sz w:val="20"/>
          <w:szCs w:val="20"/>
          <w:color w:val="auto"/>
        </w:rPr>
      </w:pPr>
      <w:r>
        <w:rPr>
          <w:rFonts w:ascii="Times New Roman" w:cs="Times New Roman" w:eastAsia="Times New Roman" w:hAnsi="Times New Roman"/>
          <w:sz w:val="20"/>
          <w:szCs w:val="20"/>
          <w:color w:val="auto"/>
        </w:rPr>
        <w:t>The Term Loan Facility was issued at a $3.8 million discount and we capitalized an additional $5.5 million in new debt issuance costs. These costs are recorded as a direct reduction to the carrying amount of the associated long-term debt and amortized over the term of the debt.</w:t>
      </w:r>
    </w:p>
    <w:p>
      <w:pPr>
        <w:spacing w:after="0" w:line="75" w:lineRule="exact"/>
        <w:rPr>
          <w:sz w:val="20"/>
          <w:szCs w:val="20"/>
          <w:color w:val="auto"/>
        </w:rPr>
      </w:pPr>
    </w:p>
    <w:p>
      <w:pPr>
        <w:ind w:left="10" w:right="340"/>
        <w:spacing w:after="0" w:line="266" w:lineRule="auto"/>
        <w:rPr>
          <w:sz w:val="20"/>
          <w:szCs w:val="20"/>
          <w:color w:val="auto"/>
        </w:rPr>
      </w:pPr>
      <w:r>
        <w:rPr>
          <w:rFonts w:ascii="Times New Roman" w:cs="Times New Roman" w:eastAsia="Times New Roman" w:hAnsi="Times New Roman"/>
          <w:sz w:val="20"/>
          <w:szCs w:val="20"/>
          <w:color w:val="auto"/>
        </w:rPr>
        <w:t>We had an interest rate swap that changed the applicable variable base rate to a fixed rate of 1.291% on $60.0 million of the outstanding balance of the Term Loan Facility. During the first quarter of 2023, we terminated the interest rate swap and received cash proceeds of $2.5 million which was equal to its fair value.</w:t>
      </w:r>
    </w:p>
    <w:p>
      <w:pPr>
        <w:spacing w:after="0" w:line="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ABL Facility</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On December 30, 2024, we entered into a new asset backed credit facility (the “ABL Facility”) which provides for a senior</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secured revolving credit facility in the amount of $50.0 million, of which $15.0 million is available in the form of letters of</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credit and $5.0 million is available for the issuance of short-term swingline loans. The availability of credit under the ABL</w:t>
      </w:r>
    </w:p>
    <w:p>
      <w:pPr>
        <w:spacing w:after="0" w:line="10" w:lineRule="exact"/>
        <w:rPr>
          <w:sz w:val="20"/>
          <w:szCs w:val="20"/>
          <w:color w:val="auto"/>
        </w:rPr>
      </w:pPr>
    </w:p>
    <w:p>
      <w:pPr>
        <w:ind w:left="10" w:right="40"/>
        <w:spacing w:after="0" w:line="250" w:lineRule="auto"/>
        <w:rPr>
          <w:sz w:val="20"/>
          <w:szCs w:val="20"/>
          <w:color w:val="auto"/>
        </w:rPr>
      </w:pPr>
      <w:r>
        <w:rPr>
          <w:rFonts w:ascii="Times New Roman" w:cs="Times New Roman" w:eastAsia="Times New Roman" w:hAnsi="Times New Roman"/>
          <w:sz w:val="20"/>
          <w:szCs w:val="20"/>
          <w:color w:val="auto"/>
        </w:rPr>
        <w:t>Facility is limited by a borrowing base calculation derived from accounts receivable and inventory held in the United States. Outstanding borrowings under the ABL Facility bear interest at either: 1) the one, three or six month SOFR plus 1.50%, plus an adjustment of 0.10% (“Term SOFR Rate”); or 2) the highest of the base commercial lending rate of the lender or various benchmark rates plus an applicable margin of 0.50% or 1.00%, depending on the benchmark (“Alternative Base Rate”). At December 31, 2024, based on a one-month Term SOFR Rate, the interest rate on outstanding borrowings under the ABL Facility was 5.94%. We incur a commitment fee of 0.25% for unused capacity under the ABL Facility and a 1.85% fee on the amount of letters of credit outstanding. The final maturity date of the ABL Facility is the earlier of: 1) December 30, 2029; or</w:t>
      </w:r>
    </w:p>
    <w:p>
      <w:pPr>
        <w:spacing w:after="0" w:line="3" w:lineRule="exact"/>
        <w:rPr>
          <w:sz w:val="20"/>
          <w:szCs w:val="20"/>
          <w:color w:val="auto"/>
        </w:rPr>
      </w:pPr>
    </w:p>
    <w:p>
      <w:pPr>
        <w:ind w:left="10" w:right="20" w:hanging="10"/>
        <w:spacing w:after="0" w:line="260" w:lineRule="auto"/>
        <w:tabs>
          <w:tab w:leader="none" w:pos="22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91 days prior to the loan maturity date of the Term Loan Facility. We capitalized a total of $1.2 million in new debt issuance costs related to the ABL Facility.</w:t>
      </w:r>
    </w:p>
    <w:p>
      <w:pPr>
        <w:spacing w:after="0" w:line="82" w:lineRule="exact"/>
        <w:rPr>
          <w:sz w:val="20"/>
          <w:szCs w:val="20"/>
          <w:color w:val="auto"/>
        </w:rPr>
      </w:pPr>
    </w:p>
    <w:p>
      <w:pPr>
        <w:ind w:left="10" w:right="260"/>
        <w:spacing w:after="0" w:line="260" w:lineRule="auto"/>
        <w:rPr>
          <w:sz w:val="20"/>
          <w:szCs w:val="20"/>
          <w:color w:val="auto"/>
        </w:rPr>
      </w:pPr>
      <w:r>
        <w:rPr>
          <w:rFonts w:ascii="Times New Roman" w:cs="Times New Roman" w:eastAsia="Times New Roman" w:hAnsi="Times New Roman"/>
          <w:sz w:val="20"/>
          <w:szCs w:val="20"/>
          <w:color w:val="auto"/>
        </w:rPr>
        <w:t>As of December 31, 2024, we had $5.4 million outstanding borrowings under the ABL Facility, $10.4 million of outstanding letters of credit, and $15.0 million available for future borrowings under the ABL Facility. The ABL Facility is secured by a perfected lien over substantially all of the Company’s assets. We were in compliance with all requirements under the ABL Facility as of December 31, 2024.</w:t>
      </w:r>
    </w:p>
    <w:p>
      <w:pPr>
        <w:spacing w:after="0" w:line="14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2021 ABL Facility</w:t>
      </w:r>
    </w:p>
    <w:p>
      <w:pPr>
        <w:spacing w:after="0" w:line="34" w:lineRule="exact"/>
        <w:rPr>
          <w:sz w:val="20"/>
          <w:szCs w:val="20"/>
          <w:color w:val="auto"/>
        </w:rPr>
      </w:pPr>
    </w:p>
    <w:p>
      <w:pPr>
        <w:ind w:left="10" w:right="40"/>
        <w:spacing w:after="0" w:line="251" w:lineRule="auto"/>
        <w:rPr>
          <w:sz w:val="20"/>
          <w:szCs w:val="20"/>
          <w:color w:val="auto"/>
        </w:rPr>
      </w:pPr>
      <w:r>
        <w:rPr>
          <w:rFonts w:ascii="Times New Roman" w:cs="Times New Roman" w:eastAsia="Times New Roman" w:hAnsi="Times New Roman"/>
          <w:sz w:val="20"/>
          <w:szCs w:val="20"/>
          <w:color w:val="auto"/>
        </w:rPr>
        <w:t>On March 22, 2021, we entered into an asset backed credit facility (as amended from time to time, the “2021 ABL Facility”) which provided for a $50.0 million senior secured revolving credit facility, of which a maximum of $30.0 million was available in the form of letters of credit and a maximum of $5.0 million was available for the issuance of short-term swingline loans. On December 30, 2024, we terminated the 2021 ABL Facility and paid down the $12.0 million of outstanding borrowings. The availability of credit under the 2021 ABL Facility was limited by a borrowing base calculation derived from accounts receivable and inventory held in the United States. Outstanding borrowings under the 2021 ABL Facility bore interest on a variable rate structure plus an interest rate spread that was based on the average amount of aggregate revolving commitment available. The variable borrowing rate was either: 1) Adjusted Term SOFR plus an applicable margin of 1.75% or 2.00%, depending on availability; or 2) the greater of the federal funds rate or prime, plus an applicable margin of 0.75% or 1.00%, depending on availability. At December 30, 2024, using one-month Adjusted Term SOFR plus a 2.00% margin, the interest rate on outstanding borrowings under the 2021 ABL Facility was 6.568%. We incurred a commitment fee of 0.375% for unused capacity under the 2021 ABL Facility and a 2.125% fee on the amount of letters of credit outstanding. During the year ended December 31, 2024, we recognized a $0.3 million loss on extinguishment in connection with the termination of the 2021 ABL Facility.</w:t>
      </w: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Sale-Leaseback Transactions</w:t>
      </w:r>
    </w:p>
    <w:p>
      <w:pPr>
        <w:spacing w:after="0" w:line="74" w:lineRule="exact"/>
        <w:rPr>
          <w:sz w:val="20"/>
          <w:szCs w:val="20"/>
          <w:color w:val="auto"/>
        </w:rPr>
      </w:pPr>
    </w:p>
    <w:p>
      <w:pPr>
        <w:ind w:left="10" w:right="20"/>
        <w:spacing w:after="0" w:line="241" w:lineRule="auto"/>
        <w:rPr>
          <w:sz w:val="20"/>
          <w:szCs w:val="20"/>
          <w:color w:val="auto"/>
        </w:rPr>
      </w:pPr>
      <w:r>
        <w:rPr>
          <w:rFonts w:ascii="Times New Roman" w:cs="Times New Roman" w:eastAsia="Times New Roman" w:hAnsi="Times New Roman"/>
          <w:sz w:val="20"/>
          <w:szCs w:val="20"/>
          <w:color w:val="auto"/>
        </w:rPr>
        <w:t>In March 2024, we sold three of our properties for an aggregate sales price of $16.9 million, with the net proceeds used to repay a portion of the outstanding borrowings under the Term Loan Facility. Concurrent with the sale, we entered into a 20-year lease agreement for these properties. Since the lease agreement allows for us to exercise renewal options that extend for substantially all of the remaining economic life, we have the ability to maintain the risks and rewards of ownership. Since the transaction did not transfer control of the assets, it cannot be accounted for as a sale under ASC 606. As a result, the properties</w:t>
      </w:r>
    </w:p>
    <w:p>
      <w:pPr>
        <w:sectPr>
          <w:pgSz w:w="12240" w:h="15840" w:orient="portrait"/>
          <w:cols w:equalWidth="0" w:num="1">
            <w:col w:w="10250"/>
          </w:cols>
          <w:pgMar w:left="990" w:top="793" w:right="1000" w:bottom="0" w:gutter="0" w:footer="0" w:header="0"/>
        </w:sectPr>
      </w:pPr>
    </w:p>
    <w:p>
      <w:pPr>
        <w:spacing w:after="0" w:line="35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50"/>
          </w:cols>
          <w:pgMar w:left="990" w:top="793" w:right="1000" w:bottom="0" w:gutter="0" w:footer="0" w:header="0"/>
          <w:type w:val="continuous"/>
        </w:sectPr>
      </w:pPr>
    </w:p>
    <w:bookmarkStart w:id="49" w:name="page50"/>
    <w:bookmarkEnd w:id="49"/>
    <w:p>
      <w:pPr>
        <w:ind w:right="120"/>
        <w:spacing w:after="0" w:line="241" w:lineRule="auto"/>
        <w:rPr>
          <w:sz w:val="20"/>
          <w:szCs w:val="20"/>
          <w:color w:val="auto"/>
        </w:rPr>
      </w:pPr>
      <w:r>
        <w:rPr>
          <w:rFonts w:ascii="Times New Roman" w:cs="Times New Roman" w:eastAsia="Times New Roman" w:hAnsi="Times New Roman"/>
          <w:sz w:val="20"/>
          <w:szCs w:val="20"/>
          <w:color w:val="auto"/>
        </w:rPr>
        <w:t>remain on our Consolidated Balance Sheets and the non-land assets will continue to be depreciated over their remaining useful lives. The $16.9 million of gross proceeds was recognized as a financing obligation as a component of long-term debt. The monthly lease payments, which increase 3.0% each year, are being amortized as principal payments and interest expense based on an effective interest rate of 9.715%. We incurred $0.6 million in debt issuance costs related to this transaction, which are being amortized over the term of the debt.</w:t>
      </w:r>
    </w:p>
    <w:p>
      <w:pPr>
        <w:spacing w:after="0" w:line="8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In March 2024, we sold multiple pieces of manufacturing equipment for an aggregate sales price of $4.9 million. Concurrent with the sale, we entered into a 5-year lease agreement that includes a repurchase option for this equipment. In May 2024, we sold additional pieces of manufacturing equipment for an aggregate sales price of $3.4 million and entered into 5-year and 6-year lease agreements for the equipment. Since the three lease agreements allow for us to exercise an early buyout option, we have the ability to maintain the risks and rewards of ownership. Since the transactions did not transfer control of the assets, they cannot be accounted for as sales under ASC 606. As a result, the assets remain on our Consolidated Balance Sheets and will continue to be depreciated over their remaining useful lives. The $8.3 million of gross proceeds was recognized as a financing obligation as a component of long-term debt. The monthly lease payments are being amortized as principal payments and interest expense on a weighted average effective interest rate of 10.540%.</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Loans</w:t>
      </w:r>
    </w:p>
    <w:p>
      <w:pPr>
        <w:spacing w:after="0" w:line="7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have fixed rate debt with various financial institutions in France, Poland and China, with maturity dates between 2025 and 2033. These loans, which were obtained to fund working capital and equipment purchases, had a weighted average interest rate of 2.320% at December 31,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Maturities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lists aggregate maturities of debt for each of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19685</wp:posOffset>
            </wp:positionV>
            <wp:extent cx="6540500" cy="930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a:extLst>
                        <a:ext uri="{28A0092B-C50C-407E-A947-70E740481C1C}"/>
                      </a:extLst>
                    </a:blip>
                    <a:srcRect/>
                    <a:stretch>
                      <a:fillRect/>
                    </a:stretch>
                  </pic:blipFill>
                  <pic:spPr bwMode="auto">
                    <a:xfrm>
                      <a:off x="0" y="0"/>
                      <a:ext cx="6540500" cy="930275"/>
                    </a:xfrm>
                    <a:prstGeom prst="rect">
                      <a:avLst/>
                    </a:prstGeom>
                    <a:noFill/>
                  </pic:spPr>
                </pic:pic>
              </a:graphicData>
            </a:graphic>
          </wp:anchor>
        </w:drawing>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4580" w:type="dxa"/>
            <w:vAlign w:val="bottom"/>
          </w:tcPr>
          <w:p>
            <w:pPr>
              <w:jc w:val="right"/>
              <w:ind w:right="4080"/>
              <w:spacing w:after="0"/>
              <w:rPr>
                <w:sz w:val="20"/>
                <w:szCs w:val="20"/>
                <w:color w:val="auto"/>
              </w:rPr>
            </w:pPr>
            <w:r>
              <w:rPr>
                <w:rFonts w:ascii="Times New Roman" w:cs="Times New Roman" w:eastAsia="Times New Roman" w:hAnsi="Times New Roman"/>
                <w:sz w:val="20"/>
                <w:szCs w:val="20"/>
                <w:color w:val="auto"/>
                <w:w w:val="94"/>
              </w:rPr>
              <w:t>2025</w:t>
            </w:r>
          </w:p>
        </w:tc>
        <w:tc>
          <w:tcPr>
            <w:tcW w:w="46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5,039</w:t>
            </w:r>
          </w:p>
        </w:tc>
      </w:tr>
      <w:tr>
        <w:trPr>
          <w:trHeight w:val="285"/>
        </w:trPr>
        <w:tc>
          <w:tcPr>
            <w:tcW w:w="4580" w:type="dxa"/>
            <w:vAlign w:val="bottom"/>
          </w:tcPr>
          <w:p>
            <w:pPr>
              <w:jc w:val="right"/>
              <w:ind w:right="4080"/>
              <w:spacing w:after="0"/>
              <w:rPr>
                <w:sz w:val="20"/>
                <w:szCs w:val="20"/>
                <w:color w:val="auto"/>
              </w:rPr>
            </w:pPr>
            <w:r>
              <w:rPr>
                <w:rFonts w:ascii="Times New Roman" w:cs="Times New Roman" w:eastAsia="Times New Roman" w:hAnsi="Times New Roman"/>
                <w:sz w:val="20"/>
                <w:szCs w:val="20"/>
                <w:color w:val="auto"/>
                <w:w w:val="94"/>
              </w:rPr>
              <w:t>2026</w:t>
            </w:r>
          </w:p>
        </w:tc>
        <w:tc>
          <w:tcPr>
            <w:tcW w:w="4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122,018</w:t>
            </w:r>
          </w:p>
        </w:tc>
      </w:tr>
      <w:tr>
        <w:trPr>
          <w:trHeight w:val="285"/>
        </w:trPr>
        <w:tc>
          <w:tcPr>
            <w:tcW w:w="4580" w:type="dxa"/>
            <w:vAlign w:val="bottom"/>
          </w:tcPr>
          <w:p>
            <w:pPr>
              <w:jc w:val="right"/>
              <w:ind w:right="4080"/>
              <w:spacing w:after="0"/>
              <w:rPr>
                <w:sz w:val="20"/>
                <w:szCs w:val="20"/>
                <w:color w:val="auto"/>
              </w:rPr>
            </w:pPr>
            <w:r>
              <w:rPr>
                <w:rFonts w:ascii="Times New Roman" w:cs="Times New Roman" w:eastAsia="Times New Roman" w:hAnsi="Times New Roman"/>
                <w:sz w:val="20"/>
                <w:szCs w:val="20"/>
                <w:color w:val="auto"/>
                <w:w w:val="94"/>
              </w:rPr>
              <w:t>2027</w:t>
            </w:r>
          </w:p>
        </w:tc>
        <w:tc>
          <w:tcPr>
            <w:tcW w:w="4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3,245</w:t>
            </w:r>
          </w:p>
        </w:tc>
      </w:tr>
      <w:tr>
        <w:trPr>
          <w:trHeight w:val="285"/>
        </w:trPr>
        <w:tc>
          <w:tcPr>
            <w:tcW w:w="4580" w:type="dxa"/>
            <w:vAlign w:val="bottom"/>
          </w:tcPr>
          <w:p>
            <w:pPr>
              <w:jc w:val="right"/>
              <w:ind w:right="4080"/>
              <w:spacing w:after="0"/>
              <w:rPr>
                <w:sz w:val="20"/>
                <w:szCs w:val="20"/>
                <w:color w:val="auto"/>
              </w:rPr>
            </w:pPr>
            <w:r>
              <w:rPr>
                <w:rFonts w:ascii="Times New Roman" w:cs="Times New Roman" w:eastAsia="Times New Roman" w:hAnsi="Times New Roman"/>
                <w:sz w:val="20"/>
                <w:szCs w:val="20"/>
                <w:color w:val="auto"/>
                <w:w w:val="94"/>
              </w:rPr>
              <w:t>2028</w:t>
            </w:r>
          </w:p>
        </w:tc>
        <w:tc>
          <w:tcPr>
            <w:tcW w:w="4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3,599</w:t>
            </w:r>
          </w:p>
        </w:tc>
      </w:tr>
      <w:tr>
        <w:trPr>
          <w:trHeight w:val="285"/>
        </w:trPr>
        <w:tc>
          <w:tcPr>
            <w:tcW w:w="4580" w:type="dxa"/>
            <w:vAlign w:val="bottom"/>
          </w:tcPr>
          <w:p>
            <w:pPr>
              <w:jc w:val="right"/>
              <w:ind w:right="4080"/>
              <w:spacing w:after="0"/>
              <w:rPr>
                <w:sz w:val="20"/>
                <w:szCs w:val="20"/>
                <w:color w:val="auto"/>
              </w:rPr>
            </w:pPr>
            <w:r>
              <w:rPr>
                <w:rFonts w:ascii="Times New Roman" w:cs="Times New Roman" w:eastAsia="Times New Roman" w:hAnsi="Times New Roman"/>
                <w:sz w:val="20"/>
                <w:szCs w:val="20"/>
                <w:color w:val="auto"/>
                <w:w w:val="94"/>
              </w:rPr>
              <w:t>2029</w:t>
            </w:r>
          </w:p>
        </w:tc>
        <w:tc>
          <w:tcPr>
            <w:tcW w:w="4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Preferred Stock</w:t>
      </w:r>
    </w:p>
    <w:p>
      <w:pPr>
        <w:spacing w:after="0" w:line="7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On March 22, 2021, we completed a private placement of 65,000 shares of newly designated Series D Perpetual Preferred Stock, with a par value of $0.01 per share (the “Series D Preferred Stock”), at a price of $1,000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 and are limited based on terms and conditions of the Term Loan Agreement.</w:t>
      </w:r>
    </w:p>
    <w:p>
      <w:pPr>
        <w:spacing w:after="0" w:line="9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additional paid-in capital due to the absence of retained earnings.</w:t>
      </w:r>
    </w:p>
    <w:p>
      <w:pPr>
        <w:spacing w:after="0" w:line="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As of December 31, 2024, the carrying value of the Series D Preferred Stock shares was $93.5 million, which included $46.8 million of accumulated unpaid and deemed dividends. The following table presents the change in the Series D Preferred Stock carrying value.</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77,799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64,701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53,807</w:t>
            </w:r>
          </w:p>
        </w:tc>
      </w:tr>
      <w:tr>
        <w:trPr>
          <w:trHeight w:val="31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Accrual of in-kind dividends</w:t>
            </w:r>
          </w:p>
        </w:tc>
        <w:tc>
          <w:tcPr>
            <w:tcW w:w="3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11,351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10,085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8,961</w:t>
            </w:r>
          </w:p>
        </w:tc>
      </w:tr>
      <w:tr>
        <w:trPr>
          <w:trHeight w:val="31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4,347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3,013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1,933</w:t>
            </w:r>
          </w:p>
        </w:tc>
      </w:tr>
      <w:tr>
        <w:trPr>
          <w:trHeight w:val="27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93,497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77,799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64,701</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-831215</wp:posOffset>
            </wp:positionV>
            <wp:extent cx="6553200" cy="850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extLst>
                        <a:ext uri="{28A0092B-C50C-407E-A947-70E740481C1C}"/>
                      </a:extLst>
                    </a:blip>
                    <a:srcRect/>
                    <a:stretch>
                      <a:fillRect/>
                    </a:stretch>
                  </pic:blipFill>
                  <pic:spPr bwMode="auto">
                    <a:xfrm>
                      <a:off x="0" y="0"/>
                      <a:ext cx="6553200" cy="85090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793" w:right="9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Note 11. Leases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components of lease expense: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7,995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8,077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8,285</w:t>
            </w:r>
          </w:p>
        </w:tc>
      </w:tr>
      <w:tr>
        <w:trPr>
          <w:trHeight w:val="28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3"/>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1,596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1,318</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expense</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345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351</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 (1)</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477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438</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lease cost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6,582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8,342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10,197</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553200" cy="138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a:extLst>
                        <a:ext uri="{28A0092B-C50C-407E-A947-70E740481C1C}"/>
                      </a:extLst>
                    </a:blip>
                    <a:srcRect/>
                    <a:stretch>
                      <a:fillRect/>
                    </a:stretch>
                  </pic:blipFill>
                  <pic:spPr bwMode="auto">
                    <a:xfrm>
                      <a:off x="0" y="0"/>
                      <a:ext cx="6553200" cy="138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(1) Excludes expenses related to leases with a lease term of one month or less.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lease-related assets and liabilities recorded on the balance sheet.</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20"/>
        </w:trPr>
        <w:tc>
          <w:tcPr>
            <w:tcW w:w="3020" w:type="dxa"/>
            <w:vAlign w:val="bottom"/>
          </w:tcPr>
          <w:p>
            <w:pPr>
              <w:spacing w:after="0"/>
              <w:rPr>
                <w:sz w:val="19"/>
                <w:szCs w:val="19"/>
                <w:color w:val="auto"/>
              </w:rPr>
            </w:pPr>
          </w:p>
        </w:tc>
        <w:tc>
          <w:tcPr>
            <w:tcW w:w="450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Financial Statement Line Item</w:t>
            </w:r>
          </w:p>
        </w:tc>
        <w:tc>
          <w:tcPr>
            <w:tcW w:w="320" w:type="dxa"/>
            <w:vAlign w:val="bottom"/>
          </w:tcPr>
          <w:p>
            <w:pPr>
              <w:spacing w:after="0"/>
              <w:rPr>
                <w:sz w:val="19"/>
                <w:szCs w:val="19"/>
                <w:color w:val="auto"/>
              </w:rPr>
            </w:pPr>
          </w:p>
        </w:tc>
        <w:tc>
          <w:tcPr>
            <w:tcW w:w="100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7"/>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4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Operating lease assets</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39,317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43,357</w:t>
            </w:r>
          </w:p>
        </w:tc>
        <w:tc>
          <w:tcPr>
            <w:tcW w:w="0" w:type="dxa"/>
            <w:vAlign w:val="bottom"/>
          </w:tcPr>
          <w:p>
            <w:pPr>
              <w:spacing w:after="0"/>
              <w:rPr>
                <w:sz w:val="1"/>
                <w:szCs w:val="1"/>
                <w:color w:val="auto"/>
              </w:rPr>
            </w:pPr>
          </w:p>
        </w:tc>
      </w:tr>
      <w:tr>
        <w:trPr>
          <w:trHeight w:val="303"/>
        </w:trPr>
        <w:tc>
          <w:tcPr>
            <w:tcW w:w="3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Finance lease assets</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16,579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13,599</w:t>
            </w:r>
          </w:p>
        </w:tc>
        <w:tc>
          <w:tcPr>
            <w:tcW w:w="0" w:type="dxa"/>
            <w:vAlign w:val="bottom"/>
          </w:tcPr>
          <w:p>
            <w:pPr>
              <w:spacing w:after="0"/>
              <w:rPr>
                <w:sz w:val="1"/>
                <w:szCs w:val="1"/>
                <w:color w:val="auto"/>
              </w:rPr>
            </w:pPr>
          </w:p>
        </w:tc>
      </w:tr>
      <w:tr>
        <w:trPr>
          <w:trHeight w:val="260"/>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Total lease assets</w:t>
            </w:r>
          </w:p>
        </w:tc>
        <w:tc>
          <w:tcPr>
            <w:tcW w:w="4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55,896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56,956</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w:t>
            </w:r>
          </w:p>
        </w:tc>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20" w:type="dxa"/>
            <w:vAlign w:val="bottom"/>
            <w:vMerge w:val="continue"/>
          </w:tcPr>
          <w:p>
            <w:pPr>
              <w:spacing w:after="0"/>
              <w:rPr>
                <w:sz w:val="22"/>
                <w:szCs w:val="22"/>
                <w:color w:val="auto"/>
              </w:rPr>
            </w:pPr>
          </w:p>
        </w:tc>
        <w:tc>
          <w:tcPr>
            <w:tcW w:w="4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Current liabilities:</w:t>
            </w:r>
          </w:p>
        </w:tc>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6,038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5,735</w:t>
            </w:r>
          </w:p>
        </w:tc>
        <w:tc>
          <w:tcPr>
            <w:tcW w:w="0" w:type="dxa"/>
            <w:vAlign w:val="bottom"/>
          </w:tcPr>
          <w:p>
            <w:pPr>
              <w:spacing w:after="0"/>
              <w:rPr>
                <w:sz w:val="1"/>
                <w:szCs w:val="1"/>
                <w:color w:val="auto"/>
              </w:rPr>
            </w:pPr>
          </w:p>
        </w:tc>
      </w:tr>
      <w:tr>
        <w:trPr>
          <w:trHeight w:val="300"/>
        </w:trPr>
        <w:tc>
          <w:tcPr>
            <w:tcW w:w="3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3,565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2,047</w:t>
            </w:r>
          </w:p>
        </w:tc>
        <w:tc>
          <w:tcPr>
            <w:tcW w:w="0" w:type="dxa"/>
            <w:vAlign w:val="bottom"/>
          </w:tcPr>
          <w:p>
            <w:pPr>
              <w:spacing w:after="0"/>
              <w:rPr>
                <w:sz w:val="1"/>
                <w:szCs w:val="1"/>
                <w:color w:val="auto"/>
              </w:rPr>
            </w:pPr>
          </w:p>
        </w:tc>
      </w:tr>
      <w:tr>
        <w:trPr>
          <w:trHeight w:val="300"/>
        </w:trPr>
        <w:tc>
          <w:tcPr>
            <w:tcW w:w="3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Non-current liabilities:</w:t>
            </w:r>
          </w:p>
        </w:tc>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42,291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47,281</w:t>
            </w:r>
          </w:p>
        </w:tc>
        <w:tc>
          <w:tcPr>
            <w:tcW w:w="0" w:type="dxa"/>
            <w:vAlign w:val="bottom"/>
          </w:tcPr>
          <w:p>
            <w:pPr>
              <w:spacing w:after="0"/>
              <w:rPr>
                <w:sz w:val="1"/>
                <w:szCs w:val="1"/>
                <w:color w:val="auto"/>
              </w:rPr>
            </w:pPr>
          </w:p>
        </w:tc>
      </w:tr>
      <w:tr>
        <w:trPr>
          <w:trHeight w:val="303"/>
        </w:trPr>
        <w:tc>
          <w:tcPr>
            <w:tcW w:w="3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5,469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4,488</w:t>
            </w:r>
          </w:p>
        </w:tc>
        <w:tc>
          <w:tcPr>
            <w:tcW w:w="0" w:type="dxa"/>
            <w:vAlign w:val="bottom"/>
          </w:tcPr>
          <w:p>
            <w:pPr>
              <w:spacing w:after="0"/>
              <w:rPr>
                <w:sz w:val="1"/>
                <w:szCs w:val="1"/>
                <w:color w:val="auto"/>
              </w:rPr>
            </w:pPr>
          </w:p>
        </w:tc>
      </w:tr>
      <w:tr>
        <w:trPr>
          <w:trHeight w:val="260"/>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liabilities</w:t>
            </w:r>
          </w:p>
        </w:tc>
        <w:tc>
          <w:tcPr>
            <w:tcW w:w="4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57,363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59,551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-2317115</wp:posOffset>
            </wp:positionV>
            <wp:extent cx="6553200" cy="2336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6">
                      <a:extLst>
                        <a:ext uri="{28A0092B-C50C-407E-A947-70E740481C1C}"/>
                      </a:extLst>
                    </a:blip>
                    <a:srcRect/>
                    <a:stretch>
                      <a:fillRect/>
                    </a:stretch>
                  </pic:blipFill>
                  <pic:spPr bwMode="auto">
                    <a:xfrm>
                      <a:off x="0" y="0"/>
                      <a:ext cx="6553200" cy="233680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contains supplemental cash flow information related to leases.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0"/>
        </w:trPr>
        <w:tc>
          <w:tcPr>
            <w:tcW w:w="6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cash flows used in operating leases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14,214</w:t>
            </w:r>
          </w:p>
        </w:tc>
      </w:tr>
      <w:tr>
        <w:trPr>
          <w:trHeight w:val="300"/>
        </w:trPr>
        <w:tc>
          <w:tcPr>
            <w:tcW w:w="6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cash flows used in finance leases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351</w:t>
            </w:r>
          </w:p>
        </w:tc>
      </w:tr>
      <w:tr>
        <w:trPr>
          <w:trHeight w:val="300"/>
        </w:trPr>
        <w:tc>
          <w:tcPr>
            <w:tcW w:w="6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Financing cash flows used in finance leases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3,003</w:t>
            </w:r>
          </w:p>
        </w:tc>
      </w:tr>
      <w:tr>
        <w:trPr>
          <w:trHeight w:val="30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 liabilities (1)</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5,181</w:t>
            </w:r>
          </w:p>
        </w:tc>
      </w:tr>
      <w:tr>
        <w:trPr>
          <w:trHeight w:val="30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finance lease liabilities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-1146810</wp:posOffset>
            </wp:positionV>
            <wp:extent cx="6540500" cy="1168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a:extLst>
                        <a:ext uri="{28A0092B-C50C-407E-A947-70E740481C1C}"/>
                      </a:extLst>
                    </a:blip>
                    <a:srcRect/>
                    <a:stretch>
                      <a:fillRect/>
                    </a:stretch>
                  </pic:blipFill>
                  <pic:spPr bwMode="auto">
                    <a:xfrm>
                      <a:off x="0" y="0"/>
                      <a:ext cx="6540500" cy="116840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(1) Includes new leases, renewals, and modifications.</w:t>
      </w:r>
    </w:p>
    <w:p>
      <w:pPr>
        <w:spacing w:after="0" w:line="130"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20"/>
          <w:szCs w:val="20"/>
          <w:color w:val="auto"/>
        </w:rPr>
        <w:t>The weighted average remaining lease term and weighted-average discount rate for operating and finance leases were as follows: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520" w:type="dxa"/>
            <w:vAlign w:val="bottom"/>
          </w:tcPr>
          <w:p>
            <w:pPr>
              <w:spacing w:after="0"/>
              <w:rPr>
                <w:sz w:val="18"/>
                <w:szCs w:val="18"/>
                <w:color w:val="auto"/>
              </w:rPr>
            </w:pPr>
          </w:p>
        </w:tc>
        <w:tc>
          <w:tcPr>
            <w:tcW w:w="24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20" w:type="dxa"/>
            <w:vAlign w:val="bottom"/>
            <w:tcBorders>
              <w:bottom w:val="single" w:sz="8" w:color="auto"/>
            </w:tcBorders>
          </w:tcPr>
          <w:p>
            <w:pPr>
              <w:spacing w:after="0"/>
              <w:rPr>
                <w:sz w:val="18"/>
                <w:szCs w:val="18"/>
                <w:color w:val="auto"/>
              </w:rPr>
            </w:pPr>
          </w:p>
        </w:tc>
      </w:tr>
      <w:tr>
        <w:trPr>
          <w:trHeight w:val="205"/>
        </w:trPr>
        <w:tc>
          <w:tcPr>
            <w:tcW w:w="7520" w:type="dxa"/>
            <w:vAlign w:val="bottom"/>
          </w:tcPr>
          <w:p>
            <w:pPr>
              <w:spacing w:after="0"/>
              <w:rPr>
                <w:sz w:val="17"/>
                <w:szCs w:val="17"/>
                <w:color w:val="auto"/>
              </w:rPr>
            </w:pPr>
          </w:p>
        </w:tc>
        <w:tc>
          <w:tcPr>
            <w:tcW w:w="110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r>
      <w:tr>
        <w:trPr>
          <w:trHeight w:val="292"/>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 operating leases</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8.5 years</w:t>
            </w:r>
          </w:p>
        </w:tc>
        <w:tc>
          <w:tcPr>
            <w:tcW w:w="60" w:type="dxa"/>
            <w:vAlign w:val="bottom"/>
          </w:tcPr>
          <w:p>
            <w:pPr>
              <w:spacing w:after="0"/>
              <w:rPr>
                <w:sz w:val="24"/>
                <w:szCs w:val="24"/>
                <w:color w:val="auto"/>
              </w:rPr>
            </w:pP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9.2 years</w:t>
            </w:r>
          </w:p>
        </w:tc>
      </w:tr>
      <w:tr>
        <w:trPr>
          <w:trHeight w:val="315"/>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 finance leases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 years</w:t>
            </w:r>
          </w:p>
        </w:tc>
        <w:tc>
          <w:tcPr>
            <w:tcW w:w="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 years</w:t>
            </w:r>
          </w:p>
        </w:tc>
      </w:tr>
      <w:tr>
        <w:trPr>
          <w:trHeight w:val="315"/>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 - operating leases</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 - finance leases</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-803910</wp:posOffset>
            </wp:positionV>
            <wp:extent cx="6540500" cy="825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8">
                      <a:extLst>
                        <a:ext uri="{28A0092B-C50C-407E-A947-70E740481C1C}"/>
                      </a:extLst>
                    </a:blip>
                    <a:srcRect/>
                    <a:stretch>
                      <a:fillRect/>
                    </a:stretch>
                  </pic:blipFill>
                  <pic:spPr bwMode="auto">
                    <a:xfrm>
                      <a:off x="0" y="0"/>
                      <a:ext cx="6540500" cy="825500"/>
                    </a:xfrm>
                    <a:prstGeom prst="rect">
                      <a:avLst/>
                    </a:prstGeom>
                    <a:noFill/>
                  </pic:spPr>
                </pic:pic>
              </a:graphicData>
            </a:graphic>
          </wp:anchor>
        </w:drawing>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60"/>
          </w:cols>
          <w:pgMar w:left="1000" w:top="786" w:right="9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The maturities of lease liabilities as of December 31, 2024, is as follows: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Operating Leases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4,004</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3,398</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2,141</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167</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78</w:t>
            </w:r>
          </w:p>
        </w:tc>
      </w:tr>
      <w:tr>
        <w:trPr>
          <w:trHeight w:val="30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25,227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future minimum lease payments</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9,788</w:t>
            </w:r>
          </w:p>
        </w:tc>
      </w:tr>
      <w:tr>
        <w:trPr>
          <w:trHeight w:val="30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16,090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754</w:t>
            </w: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48,329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9,034</w:t>
            </w:r>
          </w:p>
        </w:tc>
      </w:tr>
      <w:tr>
        <w:trPr>
          <w:trHeight w:val="20"/>
        </w:trPr>
        <w:tc>
          <w:tcPr>
            <w:tcW w:w="7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553200" cy="1765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9">
                      <a:extLst>
                        <a:ext uri="{28A0092B-C50C-407E-A947-70E740481C1C}"/>
                      </a:extLst>
                    </a:blip>
                    <a:srcRect/>
                    <a:stretch>
                      <a:fillRect/>
                    </a:stretch>
                  </pic:blipFill>
                  <pic:spPr bwMode="auto">
                    <a:xfrm>
                      <a:off x="0" y="0"/>
                      <a:ext cx="6553200" cy="176530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Subleases</w:t>
      </w:r>
    </w:p>
    <w:p>
      <w:pPr>
        <w:spacing w:after="0" w:line="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have entered into subleases for certain leased buildings or portions of leased buildings when no longer needed for our current operational needs. The weighted-average remaining lease term of our subleases is 9.7 years. In June 2023, we began subleasing our Taunton and Irvine sites, under subleases that extend through the lease termination dates of the respective head leases. We are subleasing a portion of our leased corporate headquarters office space under two separate subleases that expire in 2027 and 2029, respectively. The undiscounted cash flows to be received under operating subleases subsequent to December 31,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6350</wp:posOffset>
            </wp:positionV>
            <wp:extent cx="6540500" cy="1111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a:extLst>
                        <a:ext uri="{28A0092B-C50C-407E-A947-70E740481C1C}"/>
                      </a:extLst>
                    </a:blip>
                    <a:srcRect/>
                    <a:stretch>
                      <a:fillRect/>
                    </a:stretch>
                  </pic:blipFill>
                  <pic:spPr bwMode="auto">
                    <a:xfrm>
                      <a:off x="0" y="0"/>
                      <a:ext cx="6540500" cy="1111250"/>
                    </a:xfrm>
                    <a:prstGeom prst="rect">
                      <a:avLst/>
                    </a:prstGeom>
                    <a:noFill/>
                  </pic:spPr>
                </pic:pic>
              </a:graphicData>
            </a:graphic>
          </wp:anchor>
        </w:drawing>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44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3,820</w:t>
            </w:r>
          </w:p>
        </w:tc>
      </w:tr>
      <w:tr>
        <w:trPr>
          <w:trHeight w:val="28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4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3,937</w:t>
            </w:r>
          </w:p>
        </w:tc>
      </w:tr>
      <w:tr>
        <w:trPr>
          <w:trHeight w:val="28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3,920</w:t>
            </w:r>
          </w:p>
        </w:tc>
      </w:tr>
      <w:tr>
        <w:trPr>
          <w:trHeight w:val="28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4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3,626</w:t>
            </w:r>
          </w:p>
        </w:tc>
      </w:tr>
      <w:tr>
        <w:trPr>
          <w:trHeight w:val="28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4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3,374</w:t>
            </w:r>
          </w:p>
        </w:tc>
      </w:tr>
      <w:tr>
        <w:trPr>
          <w:trHeight w:val="28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4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19,261</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Commitments and Contingencies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Brazil ICMS Tax Matter</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We have obtained multiple favorable decisions and one unfavorable decision.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$2.0 million, inclusive of interest and penalties.</w:t>
      </w:r>
    </w:p>
    <w:p>
      <w:pPr>
        <w:spacing w:after="0" w:line="9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20"/>
          <w:szCs w:val="20"/>
          <w:color w:val="auto"/>
        </w:rPr>
        <w:t>We are entitled to indemnification from the former shareholders of Autocam, subject to the limitations and procedures set forth in the agreement and plan of merger relating to the Autocam acquisition. Accordingly, we do not expect such losses, if any, to have a material impact on our business, operations or financial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Legal Matters</w:t>
      </w:r>
    </w:p>
    <w:p>
      <w:pPr>
        <w:spacing w:after="0" w:line="7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60"/>
          </w:cols>
          <w:pgMar w:left="1000" w:top="793" w:right="9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Note 13. Income Taxes</w:t>
      </w:r>
    </w:p>
    <w:p>
      <w:pPr>
        <w:spacing w:after="0" w:line="7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income (loss) before benefit (provision) for income taxes and share of net income from joint venture.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center"/>
              <w:ind w:left="66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40" w:type="dxa"/>
            <w:vAlign w:val="bottom"/>
            <w:tcBorders>
              <w:bottom w:val="single" w:sz="8" w:color="auto"/>
            </w:tcBorders>
          </w:tcPr>
          <w:p>
            <w:pPr>
              <w:spacing w:after="0"/>
              <w:rPr>
                <w:sz w:val="18"/>
                <w:szCs w:val="18"/>
                <w:color w:val="auto"/>
              </w:rPr>
            </w:pPr>
          </w:p>
        </w:tc>
      </w:tr>
      <w:tr>
        <w:trPr>
          <w:trHeight w:val="220"/>
        </w:trPr>
        <w:tc>
          <w:tcPr>
            <w:tcW w:w="5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4"/>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(54,703)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(64,394)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(40,543)</w:t>
            </w:r>
          </w:p>
        </w:tc>
      </w:tr>
      <w:tr>
        <w:trPr>
          <w:trHeight w:val="286"/>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9,269</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10,723</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9,474</w:t>
            </w:r>
          </w:p>
        </w:tc>
      </w:tr>
      <w:tr>
        <w:trPr>
          <w:trHeight w:val="204"/>
        </w:trPr>
        <w:tc>
          <w:tcPr>
            <w:tcW w:w="560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Loss before provision for income taxes and share of net income from</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1"/>
        </w:trPr>
        <w:tc>
          <w:tcPr>
            <w:tcW w:w="5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joint venture</w:t>
            </w: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(45,434)</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(53,671)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(31,069)</w:t>
            </w:r>
          </w:p>
        </w:tc>
      </w:tr>
      <w:tr>
        <w:trPr>
          <w:trHeight w:val="20"/>
        </w:trPr>
        <w:tc>
          <w:tcPr>
            <w:tcW w:w="56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89"/>
        </w:trPr>
        <w:tc>
          <w:tcPr>
            <w:tcW w:w="75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w w:val="99"/>
              </w:rPr>
              <w:t>The following table summarizes total income tax expense (benefit) recognized in each year.</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1"/>
        </w:trPr>
        <w:tc>
          <w:tcPr>
            <w:tcW w:w="56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140" w:type="dxa"/>
            <w:vAlign w:val="bottom"/>
            <w:tcBorders>
              <w:bottom w:val="single" w:sz="8" w:color="auto"/>
            </w:tcBorders>
            <w:gridSpan w:val="6"/>
          </w:tcPr>
          <w:p>
            <w:pPr>
              <w:jc w:val="center"/>
              <w:ind w:left="66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40" w:type="dxa"/>
            <w:vAlign w:val="bottom"/>
            <w:tcBorders>
              <w:bottom w:val="single" w:sz="8" w:color="auto"/>
            </w:tcBorders>
          </w:tcPr>
          <w:p>
            <w:pPr>
              <w:spacing w:after="0"/>
              <w:rPr>
                <w:sz w:val="23"/>
                <w:szCs w:val="23"/>
                <w:color w:val="auto"/>
              </w:rPr>
            </w:pPr>
          </w:p>
        </w:tc>
      </w:tr>
      <w:tr>
        <w:trPr>
          <w:trHeight w:val="220"/>
        </w:trPr>
        <w:tc>
          <w:tcPr>
            <w:tcW w:w="5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4"/>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taxes:</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5"/>
        </w:trPr>
        <w:tc>
          <w:tcPr>
            <w:tcW w:w="5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 Federal</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r>
      <w:tr>
        <w:trPr>
          <w:trHeight w:val="285"/>
        </w:trPr>
        <w:tc>
          <w:tcPr>
            <w:tcW w:w="5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State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w:t>
            </w:r>
          </w:p>
        </w:tc>
      </w:tr>
      <w:tr>
        <w:trPr>
          <w:trHeight w:val="286"/>
        </w:trPr>
        <w:tc>
          <w:tcPr>
            <w:tcW w:w="5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Foreign</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4,292</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4,576</w:t>
            </w:r>
          </w:p>
        </w:tc>
      </w:tr>
      <w:tr>
        <w:trPr>
          <w:trHeight w:val="265"/>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current tax expense</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3,331</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3,447</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3,406</w:t>
            </w:r>
          </w:p>
        </w:tc>
      </w:tr>
      <w:tr>
        <w:trPr>
          <w:trHeight w:val="264"/>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taxes:</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5"/>
        </w:trPr>
        <w:tc>
          <w:tcPr>
            <w:tcW w:w="5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 Federal</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(10,421)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(6,245)</w:t>
            </w:r>
          </w:p>
        </w:tc>
      </w:tr>
      <w:tr>
        <w:trPr>
          <w:trHeight w:val="285"/>
        </w:trPr>
        <w:tc>
          <w:tcPr>
            <w:tcW w:w="5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State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70</w:t>
            </w:r>
          </w:p>
        </w:tc>
      </w:tr>
      <w:tr>
        <w:trPr>
          <w:trHeight w:val="285"/>
        </w:trPr>
        <w:tc>
          <w:tcPr>
            <w:tcW w:w="5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Foreign</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w:t>
            </w:r>
          </w:p>
        </w:tc>
      </w:tr>
      <w:tr>
        <w:trPr>
          <w:trHeight w:val="286"/>
        </w:trPr>
        <w:tc>
          <w:tcPr>
            <w:tcW w:w="5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 federal, state and foreign valuation allowance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12,900</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10,449</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5,376</w:t>
            </w:r>
          </w:p>
        </w:tc>
      </w:tr>
      <w:tr>
        <w:trPr>
          <w:trHeight w:val="265"/>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deferred tax benefit</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(921)</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(1,785)</w:t>
            </w:r>
          </w:p>
        </w:tc>
      </w:tr>
      <w:tr>
        <w:trPr>
          <w:trHeight w:val="245"/>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income tax expense</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1,621</w:t>
            </w:r>
          </w:p>
        </w:tc>
      </w:tr>
      <w:tr>
        <w:trPr>
          <w:trHeight w:val="20"/>
        </w:trPr>
        <w:tc>
          <w:tcPr>
            <w:tcW w:w="5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-3475990</wp:posOffset>
            </wp:positionV>
            <wp:extent cx="6553200" cy="7270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1">
                      <a:extLst>
                        <a:ext uri="{28A0092B-C50C-407E-A947-70E740481C1C}"/>
                      </a:extLst>
                    </a:blip>
                    <a:srcRect/>
                    <a:stretch>
                      <a:fillRect/>
                    </a:stretch>
                  </pic:blipFill>
                  <pic:spPr bwMode="auto">
                    <a:xfrm>
                      <a:off x="0" y="0"/>
                      <a:ext cx="6553200" cy="7270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-2202815</wp:posOffset>
            </wp:positionV>
            <wp:extent cx="6553200" cy="2222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2">
                      <a:extLst>
                        <a:ext uri="{28A0092B-C50C-407E-A947-70E740481C1C}"/>
                      </a:extLst>
                    </a:blip>
                    <a:srcRect/>
                    <a:stretch>
                      <a:fillRect/>
                    </a:stretch>
                  </pic:blipFill>
                  <pic:spPr bwMode="auto">
                    <a:xfrm>
                      <a:off x="0" y="0"/>
                      <a:ext cx="6553200" cy="222250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reconciliation of income taxes based on the U.S. federal statutory income tax rate.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560" w:type="dxa"/>
            <w:vAlign w:val="bottom"/>
          </w:tcPr>
          <w:p>
            <w:pPr>
              <w:spacing w:after="0"/>
              <w:rPr>
                <w:sz w:val="18"/>
                <w:szCs w:val="18"/>
                <w:color w:val="auto"/>
              </w:rPr>
            </w:pPr>
          </w:p>
        </w:tc>
        <w:tc>
          <w:tcPr>
            <w:tcW w:w="3500" w:type="dxa"/>
            <w:vAlign w:val="bottom"/>
            <w:tcBorders>
              <w:bottom w:val="single" w:sz="8" w:color="auto"/>
            </w:tcBorders>
            <w:gridSpan w:val="5"/>
          </w:tcPr>
          <w:p>
            <w:pPr>
              <w:ind w:left="14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60" w:type="dxa"/>
            <w:vAlign w:val="bottom"/>
            <w:tcBorders>
              <w:bottom w:val="single" w:sz="8" w:color="auto"/>
            </w:tcBorders>
          </w:tcPr>
          <w:p>
            <w:pPr>
              <w:spacing w:after="0"/>
              <w:rPr>
                <w:sz w:val="18"/>
                <w:szCs w:val="18"/>
                <w:color w:val="auto"/>
              </w:rPr>
            </w:pPr>
          </w:p>
        </w:tc>
      </w:tr>
      <w:tr>
        <w:trPr>
          <w:trHeight w:val="220"/>
        </w:trPr>
        <w:tc>
          <w:tcPr>
            <w:tcW w:w="5560" w:type="dxa"/>
            <w:vAlign w:val="bottom"/>
          </w:tcPr>
          <w:p>
            <w:pPr>
              <w:spacing w:after="0"/>
              <w:rPr>
                <w:sz w:val="19"/>
                <w:szCs w:val="19"/>
                <w:color w:val="auto"/>
              </w:rPr>
            </w:pPr>
          </w:p>
        </w:tc>
        <w:tc>
          <w:tcPr>
            <w:tcW w:w="15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4"/>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U.S federal statutory income tax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exclusive of state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State taxes, net of federal taxes, exclusive of tax reform</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1.6 %</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Non-U.S. earnings taxed at different rates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0.7 %</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Global intangible low-taxed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Deferred true-up</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tax credit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0.3 %</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Interest on CARES Act refund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1.8 %</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Return to provision</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1.3 %</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Taxes on unremitted foreign earnings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Intercompany lending</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Warrant revaluation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3.6 %</w:t>
            </w:r>
          </w:p>
        </w:tc>
      </w:tr>
      <w:tr>
        <w:trPr>
          <w:trHeight w:val="286"/>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 net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8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45"/>
        </w:trPr>
        <w:tc>
          <w:tcPr>
            <w:tcW w:w="5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Effective tax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0"/>
        </w:trPr>
        <w:tc>
          <w:tcPr>
            <w:tcW w:w="55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-2564765</wp:posOffset>
            </wp:positionV>
            <wp:extent cx="6553200" cy="2584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3">
                      <a:extLst>
                        <a:ext uri="{28A0092B-C50C-407E-A947-70E740481C1C}"/>
                      </a:extLst>
                    </a:blip>
                    <a:srcRect/>
                    <a:stretch>
                      <a:fillRect/>
                    </a:stretch>
                  </pic:blipFill>
                  <pic:spPr bwMode="auto">
                    <a:xfrm>
                      <a:off x="0" y="0"/>
                      <a:ext cx="6553200" cy="2584450"/>
                    </a:xfrm>
                    <a:prstGeom prst="rect">
                      <a:avLst/>
                    </a:prstGeom>
                    <a:noFill/>
                  </pic:spPr>
                </pic:pic>
              </a:graphicData>
            </a:graphic>
          </wp:anchor>
        </w:drawing>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Our effective tax rate was (5.3)% for the year ended December 31, 2024. The effective tax rate differed from the U.S. federal statutory tax rate of 21% primarily due to the accrual of tax on non-permanently reinvested unremitted earnings of foreign subsidiaries, foreign tax rate differences and the limitation on the amount of tax benefit recorded for losses in certain jurisdictions where we believe it is more likely than not that a future tax benefit may not be realized. Our effective tax rate was (4.3)% and (5.2)% for the years ended December 31, 2023 and 2022, respectively, which differed from the U.S. federal statutory tax rate of 21% primarily due to the impact of our valuation allowance changes during each year.</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60"/>
          </w:cols>
          <w:pgMar w:left="1000" w:top="786" w:right="980" w:bottom="0" w:gutter="0" w:footer="0" w:header="0"/>
          <w:type w:val="continuous"/>
        </w:sectPr>
      </w:pPr>
    </w:p>
    <w:bookmarkStart w:id="53" w:name="page54"/>
    <w:bookmarkEnd w:id="53"/>
    <w:p>
      <w:pPr>
        <w:ind w:right="120"/>
        <w:spacing w:after="0" w:line="258" w:lineRule="auto"/>
        <w:rPr>
          <w:sz w:val="20"/>
          <w:szCs w:val="20"/>
          <w:color w:val="auto"/>
        </w:rPr>
      </w:pPr>
      <w:r>
        <w:rPr>
          <w:rFonts w:ascii="Times New Roman" w:cs="Times New Roman" w:eastAsia="Times New Roman" w:hAnsi="Times New Roman"/>
          <w:sz w:val="20"/>
          <w:szCs w:val="20"/>
          <w:color w:val="auto"/>
        </w:rPr>
        <w:t>In 2021, we filed a refund claim with the IRS as a result of the Coronavirus Aid, Relief, and Economic Security Act (the “CARES Act”). During the years ended December 31, 2024 and 2023, we accrued $0.7 million and $0.6 million, respectively, of interest on the CARES Act refund. Including interest accrued on the initial refund amount, we have a $12.3 million tax refund receivable at December 31, 2024, which is in the process of IRS review. The timing of the receipt of the refund is expected in the first half of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principal components of the deferred tax assets and liabilities.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35"/>
        </w:trPr>
        <w:tc>
          <w:tcPr>
            <w:tcW w:w="7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Tax in excess of book depreciation</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21,497</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13,659</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9,970</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Taxes on unremitted foreign earnings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4,658</w:t>
            </w:r>
          </w:p>
        </w:tc>
      </w:tr>
      <w:tr>
        <w:trPr>
          <w:trHeight w:val="286"/>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Other deferred tax liabilities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682</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725</w:t>
            </w:r>
          </w:p>
        </w:tc>
      </w:tr>
      <w:tr>
        <w:trPr>
          <w:trHeight w:val="265"/>
        </w:trPr>
        <w:tc>
          <w:tcPr>
            <w:tcW w:w="7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deferred income tax liabilities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36,625</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50,509</w:t>
            </w:r>
          </w:p>
        </w:tc>
      </w:tr>
      <w:tr>
        <w:trPr>
          <w:trHeight w:val="26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limitation</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14,920</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18,393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20,419</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Inventories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2,456</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Section 174 research and development costs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2,400</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Pension and personnel accruals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1,818</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12,238</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29,304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32,043</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swap</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251</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Credit carryforwards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3,235</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Accruals and reserves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904</w:t>
            </w:r>
          </w:p>
        </w:tc>
      </w:tr>
      <w:tr>
        <w:trPr>
          <w:trHeight w:val="286"/>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Other deferred tax assets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3,099</w:t>
            </w:r>
          </w:p>
        </w:tc>
      </w:tr>
      <w:tr>
        <w:trPr>
          <w:trHeight w:val="264"/>
        </w:trPr>
        <w:tc>
          <w:tcPr>
            <w:tcW w:w="7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income tax assets before valuation allowance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92,325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93,783</w:t>
            </w:r>
          </w:p>
        </w:tc>
      </w:tr>
      <w:tr>
        <w:trPr>
          <w:trHeight w:val="286"/>
        </w:trPr>
        <w:tc>
          <w:tcPr>
            <w:tcW w:w="7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Valuation allowance on deferred tax assets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(59,340)</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(47,528)</w:t>
            </w:r>
          </w:p>
        </w:tc>
      </w:tr>
      <w:tr>
        <w:trPr>
          <w:trHeight w:val="265"/>
        </w:trPr>
        <w:tc>
          <w:tcPr>
            <w:tcW w:w="7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deferred income tax assets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32,985</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46,255</w:t>
            </w:r>
          </w:p>
        </w:tc>
      </w:tr>
      <w:tr>
        <w:trPr>
          <w:trHeight w:val="24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income tax liabilities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4,254</w:t>
            </w:r>
          </w:p>
        </w:tc>
      </w:tr>
      <w:tr>
        <w:trPr>
          <w:trHeight w:val="20"/>
        </w:trPr>
        <w:tc>
          <w:tcPr>
            <w:tcW w:w="7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-4193540</wp:posOffset>
            </wp:positionV>
            <wp:extent cx="6553200" cy="4213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4">
                      <a:extLst>
                        <a:ext uri="{28A0092B-C50C-407E-A947-70E740481C1C}"/>
                      </a:extLst>
                    </a:blip>
                    <a:srcRect/>
                    <a:stretch>
                      <a:fillRect/>
                    </a:stretch>
                  </pic:blipFill>
                  <pic:spPr bwMode="auto">
                    <a:xfrm>
                      <a:off x="0" y="0"/>
                      <a:ext cx="6553200" cy="4213225"/>
                    </a:xfrm>
                    <a:prstGeom prst="rect">
                      <a:avLst/>
                    </a:prstGeom>
                    <a:noFill/>
                  </pic:spPr>
                </pic:pic>
              </a:graphicData>
            </a:graphic>
          </wp:anchor>
        </w:drawing>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As of December 31, 2024, we had a $28.4 million U.S. federal net operating loss (“NOL”) carryover. The federal NOL has an indefinite life, but utilization within any tax year is limited to 80% of taxable income. Management has determined it is more likely than not this NOL will not be realized and has established a full valuation allowance against the deferred tax asset. As of December 31, 2024, we had $16.3 million of tax effected, state NOL carryovers, which begin to expire in 2030. Management has determined it is more likely than not these state NOL’s will not be realized and has established a full valuation allowance against these deferred tax assets. We also have $10.5 million, tax-effected, of foreign NOL carryovers at December 31, 2024. The foreign NOLs have an indefinite life; however, management believes that benefit for certain of the foreign NOLs may not be realized. Therefore, we have established a valuation allowance of $7.7 million to reduce the carrying value of the asset related to foreign NOLs to the amount that has been determined to be more likely than not realized.</w:t>
      </w:r>
    </w:p>
    <w:p>
      <w:pPr>
        <w:spacing w:after="0" w:line="8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We have $0.4 million and $2.7 million of U.S. federal tax credits and tax credits in foreign jurisdictions, respectively, as of December 31, 2024. We have recognized a full valuation allowance against these tax credits. In addition, we have other federal and state deferred tax assets of $11.7 million that we believe it is more likely than not will not be realized for which we have established a full valuation allowance.</w:t>
      </w:r>
    </w:p>
    <w:p>
      <w:pPr>
        <w:spacing w:after="0" w:line="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We have a U.S. federal and state deferred tax asset related to interest expense carryforwards. Management believes it is more likely than not that the benefit for this asset will not be realized. We have established a valuation allowance of $18.6 million to eliminate the carrying value of this asset.</w:t>
      </w:r>
    </w:p>
    <w:p>
      <w:pPr>
        <w:spacing w:after="0" w:line="7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color w:val="auto"/>
        </w:rPr>
        <w:t>Management assesses available positive and negative evidence to estimate whether it is more likely than not sufficient future taxable income will be generated to provide use of the existing deferred tax assets. A significant piece of objective negative evidence evaluated is cumulative losses incurred over the three-year period ended December 31, 2024. Such objective evidence limits the ability to consider other subjective evidence, such as our projections for future earnings growth. On the basis of this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60"/>
          </w:cols>
          <w:pgMar w:left="1000" w:top="793" w:right="980" w:bottom="0" w:gutter="0" w:footer="0" w:header="0"/>
          <w:type w:val="continuous"/>
        </w:sectPr>
      </w:pPr>
    </w:p>
    <w:bookmarkStart w:id="54" w:name="page55"/>
    <w:bookmarkEnd w:id="54"/>
    <w:p>
      <w:pPr>
        <w:ind w:right="80"/>
        <w:spacing w:after="0" w:line="281" w:lineRule="auto"/>
        <w:rPr>
          <w:sz w:val="20"/>
          <w:szCs w:val="20"/>
          <w:color w:val="auto"/>
        </w:rPr>
      </w:pPr>
      <w:r>
        <w:rPr>
          <w:rFonts w:ascii="Times New Roman" w:cs="Times New Roman" w:eastAsia="Times New Roman" w:hAnsi="Times New Roman"/>
          <w:sz w:val="20"/>
          <w:szCs w:val="20"/>
          <w:color w:val="auto"/>
        </w:rPr>
        <w:t>evaluation, as of December 31, 2024, a valuation allowance of $59.3 million has been recorded to recognize only the portion of the deferred tax asset that is more likely than not to be realized without consideration of future earnings growth.</w:t>
      </w:r>
    </w:p>
    <w:p>
      <w:pPr>
        <w:spacing w:after="0" w:line="6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Management believes all remaining tax assets will more likely than not be realized. However, the amount of the deferred tax asset realized will change based on future conditions, and the amount considered realizable will be adjusted if objective negative evidence in the form of cumulative losses is no longer present allowing additional weight to be given to subjective evidence such as our projections for growth.</w:t>
      </w:r>
    </w:p>
    <w:p>
      <w:pPr>
        <w:spacing w:after="0" w:line="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During 2024, the valuation allowance increased by $11.8 million, primarily due to allowances recorded against U.S. federal net operating loss carryforwards, and carryforwards of disallowed interest expense which are subject to certain annual deduction limitations.</w:t>
      </w:r>
    </w:p>
    <w:p>
      <w:pPr>
        <w:spacing w:after="0" w:line="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As a result of the deemed mandatory repatriation provisions in the U.S. Tax Cuts and Jobs Act of 2017 and subsequent recognition in income of GILTI, we do not have material basis differences related to cumulative unremitted earnings for U.S. income tax purposes. However, we continue to evaluate the impact that repatriation of foreign earnings would have on withholding and other taxes. As of December 31, 2024, we have recorded a liability of $4.5 million for the anticipated withholding taxes that would be due upon repatriation of the unremitted earnings of those subsidiaries for which management does not intend to permanently reinvest.</w:t>
      </w:r>
    </w:p>
    <w:p>
      <w:pPr>
        <w:spacing w:after="0" w:line="88"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color w:val="auto"/>
        </w:rPr>
        <w:t>We are subject to U.S. federal income tax as well as tax in several foreign jurisdictions. We are also subject to tax by various state authorities. The tax years subject to examination vary by jurisdiction. We are no longer subject to U.S. federal examination for periods before 2021. We regularly assess the outcomes of both ongoing and future examinations for the current or prior years to ensure our provision for income taxes is sufficient. We recognize liabilities based on estimates of whether additional taxes will be due, and we believe our reserves are adequate in relation to any potential assessments. The outcome of any one examination, some of which may conclude during the next twelve months, is not expected to have a material impact on our financial position or results of operations.</w:t>
      </w:r>
    </w:p>
    <w:p>
      <w:pPr>
        <w:spacing w:after="0" w:line="9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20"/>
          <w:szCs w:val="20"/>
          <w:color w:val="auto"/>
        </w:rPr>
        <w:t>Interest and penalties related to federal, state, and foreign income tax matters are recorded as a component of the provision for income taxes in our Consolidated Statements of Operations and Comprehensive Income (Loss). Accrued interest and penalties of $0.5 million and $0.5 million are included in other non-current liabilities as of December 31, 2024 and 2023, respectively.</w:t>
      </w:r>
    </w:p>
    <w:p>
      <w:pPr>
        <w:spacing w:after="0" w:line="75"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auto"/>
        </w:rPr>
        <w:t>The following table presents a reconciliation of the beginning and ending amounts of unrecognized tax benefits, excluding interest and penalties.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5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40" w:type="dxa"/>
            <w:vAlign w:val="bottom"/>
            <w:tcBorders>
              <w:bottom w:val="single" w:sz="8" w:color="auto"/>
            </w:tcBorders>
          </w:tcPr>
          <w:p>
            <w:pPr>
              <w:spacing w:after="0"/>
              <w:rPr>
                <w:sz w:val="18"/>
                <w:szCs w:val="18"/>
                <w:color w:val="auto"/>
              </w:rPr>
            </w:pPr>
          </w:p>
        </w:tc>
      </w:tr>
      <w:tr>
        <w:trPr>
          <w:trHeight w:val="220"/>
        </w:trPr>
        <w:tc>
          <w:tcPr>
            <w:tcW w:w="5560" w:type="dxa"/>
            <w:vAlign w:val="bottom"/>
          </w:tcPr>
          <w:p>
            <w:pPr>
              <w:spacing w:after="0"/>
              <w:rPr>
                <w:sz w:val="19"/>
                <w:szCs w:val="19"/>
                <w:color w:val="auto"/>
              </w:rPr>
            </w:pPr>
          </w:p>
        </w:tc>
        <w:tc>
          <w:tcPr>
            <w:tcW w:w="10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1020" w:type="dxa"/>
            <w:vAlign w:val="bottom"/>
          </w:tcPr>
          <w:p>
            <w:pPr>
              <w:jc w:val="right"/>
              <w:ind w:right="767"/>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125</w:t>
            </w:r>
          </w:p>
        </w:tc>
      </w:tr>
      <w:tr>
        <w:trPr>
          <w:trHeight w:val="287"/>
        </w:trPr>
        <w:tc>
          <w:tcPr>
            <w:tcW w:w="5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Additions for tax positions of prior years</w:t>
            </w:r>
          </w:p>
        </w:tc>
        <w:tc>
          <w:tcPr>
            <w:tcW w:w="10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5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Reductions for tax positions of prior years</w:t>
            </w: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4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1020" w:type="dxa"/>
            <w:vAlign w:val="bottom"/>
          </w:tcPr>
          <w:p>
            <w:pPr>
              <w:jc w:val="right"/>
              <w:ind w:right="767"/>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118</w:t>
            </w:r>
          </w:p>
        </w:tc>
      </w:tr>
      <w:tr>
        <w:trPr>
          <w:trHeight w:val="20"/>
        </w:trPr>
        <w:tc>
          <w:tcPr>
            <w:tcW w:w="5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5">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decrease to unrecognized tax benefits in 2024 is related to the foreign currency remeasurement of previously unrecognized tax benefits. As of December 31, 2024, the unrecognized tax benefits would, if recognized, impact our effective tax rate by $0.7 million, inclusive of the impact of interest and penalties. Management believes that it is reasonably possible that the amount of unrecognized income tax benefits, including interest and penalties, may not decrease during the next twelve months as no statutes are expected to lapse within the period.</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60"/>
          </w:cols>
          <w:pgMar w:left="1000" w:top="793" w:right="9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Note 14. Net Income (Loss) Per Common Share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computation of basic and diluted net income (loss) per common share.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35"/>
        </w:trPr>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0"/>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(38,273)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(26,098)</w:t>
            </w:r>
          </w:p>
        </w:tc>
      </w:tr>
      <w:tr>
        <w:trPr>
          <w:trHeight w:val="303"/>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Adjustment for preferred stock cumulative dividends and deemed dividends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(15,698)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(13,098)</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(10,894)</w:t>
            </w:r>
          </w:p>
        </w:tc>
      </w:tr>
      <w:tr>
        <w:trPr>
          <w:trHeight w:val="277"/>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Numerator for basic and diluted net loss per common share</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(53,971)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(63,248)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(36,992)</w:t>
            </w:r>
          </w:p>
        </w:tc>
      </w:tr>
      <w:tr>
        <w:trPr>
          <w:trHeight w:val="555"/>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0"/>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49,596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46,174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43,738</w:t>
            </w:r>
          </w:p>
        </w:tc>
      </w:tr>
      <w:tr>
        <w:trPr>
          <w:trHeight w:val="300"/>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Adjustment for participating securities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w:t>
            </w:r>
          </w:p>
        </w:tc>
      </w:tr>
      <w:tr>
        <w:trPr>
          <w:trHeight w:val="303"/>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Adjustment for warrants outstanding (1)</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3,200</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1,893</w:t>
            </w:r>
          </w:p>
        </w:tc>
      </w:tr>
      <w:tr>
        <w:trPr>
          <w:trHeight w:val="260"/>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Shares used to calculate basic and diluted net loss per share</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48,653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46,738</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44,680</w:t>
            </w:r>
          </w:p>
        </w:tc>
      </w:tr>
      <w:tr>
        <w:trPr>
          <w:trHeight w:val="20"/>
        </w:trPr>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57"/>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Basic and diluted net loss per common share</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(0.83)</w:t>
            </w:r>
          </w:p>
        </w:tc>
      </w:tr>
      <w:tr>
        <w:trPr>
          <w:trHeight w:val="272"/>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_______________________________</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-2433955</wp:posOffset>
            </wp:positionV>
            <wp:extent cx="6553200" cy="22828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6">
                      <a:extLst>
                        <a:ext uri="{28A0092B-C50C-407E-A947-70E740481C1C}"/>
                      </a:extLst>
                    </a:blip>
                    <a:srcRect/>
                    <a:stretch>
                      <a:fillRect/>
                    </a:stretch>
                  </pic:blipFill>
                  <pic:spPr bwMode="auto">
                    <a:xfrm>
                      <a:off x="0" y="0"/>
                      <a:ext cx="6553200" cy="2282825"/>
                    </a:xfrm>
                    <a:prstGeom prst="rect">
                      <a:avLst/>
                    </a:prstGeom>
                    <a:noFill/>
                  </pic:spPr>
                </pic:pic>
              </a:graphicData>
            </a:graphic>
          </wp:anchor>
        </w:drawing>
      </w:r>
    </w:p>
    <w:p>
      <w:pPr>
        <w:spacing w:after="0" w:line="72" w:lineRule="exact"/>
        <w:rPr>
          <w:sz w:val="20"/>
          <w:szCs w:val="20"/>
          <w:color w:val="auto"/>
        </w:rPr>
      </w:pPr>
    </w:p>
    <w:p>
      <w:pPr>
        <w:ind w:left="980" w:right="60" w:hanging="270"/>
        <w:spacing w:after="0" w:line="281" w:lineRule="auto"/>
        <w:tabs>
          <w:tab w:leader="none" w:pos="9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warrants that are exercisable at an exercise price of $0.01 per share, are included in shares outstanding for calculation of basic earnings per share (see Note 17).</w:t>
      </w:r>
    </w:p>
    <w:p>
      <w:pPr>
        <w:spacing w:after="0" w:line="6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The following table presents potentially dilutive securities that were excluded from the calculation of diluted net income (loss) per common share because they had an anti-dilutive effect.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290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r>
      <w:tr>
        <w:trPr>
          <w:trHeight w:val="220"/>
        </w:trPr>
        <w:tc>
          <w:tcPr>
            <w:tcW w:w="6440" w:type="dxa"/>
            <w:vAlign w:val="bottom"/>
          </w:tcPr>
          <w:p>
            <w:pPr>
              <w:spacing w:after="0"/>
              <w:rPr>
                <w:sz w:val="19"/>
                <w:szCs w:val="19"/>
                <w:color w:val="auto"/>
              </w:rPr>
            </w:pPr>
          </w:p>
        </w:tc>
        <w:tc>
          <w:tcPr>
            <w:tcW w:w="12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1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212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557</w:t>
            </w:r>
          </w:p>
        </w:tc>
      </w:tr>
      <w:tr>
        <w:trPr>
          <w:trHeight w:val="30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Warrants</w:t>
            </w:r>
          </w:p>
        </w:tc>
        <w:tc>
          <w:tcPr>
            <w:tcW w:w="1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1,500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1,500</w:t>
            </w:r>
          </w:p>
        </w:tc>
      </w:tr>
      <w:tr>
        <w:trPr>
          <w:trHeight w:val="303"/>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Performance share units</w:t>
            </w:r>
          </w:p>
        </w:tc>
        <w:tc>
          <w:tcPr>
            <w:tcW w:w="12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802</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antidilutive securities</w:t>
            </w:r>
          </w:p>
        </w:tc>
        <w:tc>
          <w:tcPr>
            <w:tcW w:w="1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2,514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2,057</w:t>
            </w:r>
          </w:p>
        </w:tc>
      </w:tr>
      <w:tr>
        <w:trPr>
          <w:trHeight w:val="20"/>
        </w:trPr>
        <w:tc>
          <w:tcPr>
            <w:tcW w:w="64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53200" cy="812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7">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line="10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Stock options excluded from the EPS calculations had a per share exercise price ranging from $7.93 to $25.16 for the year ended December 31, 2024. The 2019 Warrants excluded from the EPS calculations for the year ended December 31, 2024 had a per share exercise price of $11.03 (see Note 17). Performance share units are potentially dilutive when the related performance criterion has been met.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Share-Based Compensation</w:t>
      </w:r>
    </w:p>
    <w:p>
      <w:pPr>
        <w:spacing w:after="0" w:line="7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As of December 31, 2024, we have 3.4 million shares available that can be issued to employees and non-executive directors under the NN, Inc. 2022 Amended and Restated Omnibus Incentive Plan and prior plans (collectively, the “Incentive Plans”), as options, stock appreciation rights, and other share-based awards. Shares of our common stock delivered upon exercise or vesting may consist of newly issued shares of our common stock or shares acquired in the open market.</w:t>
      </w:r>
    </w:p>
    <w:p>
      <w:pPr>
        <w:spacing w:after="0" w:line="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Share-based compensation expense is recognized in the “Selling, general, and administrative expense” line in the Consolidated Statements of Operations and Comprehensive Income (Loss). The following table lists the components of share-based compensation expense by type of award.</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r>
      <w:tr>
        <w:trPr>
          <w:trHeight w:val="220"/>
        </w:trPr>
        <w:tc>
          <w:tcPr>
            <w:tcW w:w="54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w:t>
            </w:r>
          </w:p>
        </w:tc>
        <w:tc>
          <w:tcPr>
            <w:tcW w:w="940" w:type="dxa"/>
            <w:vAlign w:val="bottom"/>
          </w:tcPr>
          <w:p>
            <w:pPr>
              <w:jc w:val="right"/>
              <w:ind w:right="707"/>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2,237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3,635</w:t>
            </w:r>
          </w:p>
        </w:tc>
      </w:tr>
      <w:tr>
        <w:trPr>
          <w:trHeight w:val="285"/>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Performance share units</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570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w:t>
            </w:r>
          </w:p>
        </w:tc>
      </w:tr>
      <w:tr>
        <w:trPr>
          <w:trHeight w:val="286"/>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45"/>
        </w:trPr>
        <w:tc>
          <w:tcPr>
            <w:tcW w:w="5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940" w:type="dxa"/>
            <w:vAlign w:val="bottom"/>
          </w:tcPr>
          <w:p>
            <w:pPr>
              <w:jc w:val="right"/>
              <w:ind w:right="707"/>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2,821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4,377</w:t>
            </w:r>
          </w:p>
        </w:tc>
      </w:tr>
      <w:tr>
        <w:trPr>
          <w:trHeight w:val="20"/>
        </w:trPr>
        <w:tc>
          <w:tcPr>
            <w:tcW w:w="5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486525" cy="774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8">
                      <a:extLst>
                        <a:ext uri="{28A0092B-C50C-407E-A947-70E740481C1C}"/>
                      </a:extLst>
                    </a:blip>
                    <a:srcRect/>
                    <a:stretch>
                      <a:fillRect/>
                    </a:stretch>
                  </pic:blipFill>
                  <pic:spPr bwMode="auto">
                    <a:xfrm>
                      <a:off x="0" y="0"/>
                      <a:ext cx="6486525" cy="774700"/>
                    </a:xfrm>
                    <a:prstGeom prst="rect">
                      <a:avLst/>
                    </a:prstGeom>
                    <a:noFill/>
                  </pic:spPr>
                </pic:pic>
              </a:graphicData>
            </a:graphic>
          </wp:anchor>
        </w:drawing>
      </w:r>
    </w:p>
    <w:p>
      <w:pPr>
        <w:spacing w:after="0" w:line="108"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20"/>
          <w:szCs w:val="20"/>
          <w:color w:val="auto"/>
        </w:rPr>
        <w:t>Unrecognized compensation cost related to unvested awards was $7.4 million as of December 31, 2024, which will be recognized over a weighted-average period of 3.4 years.</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60"/>
          </w:cols>
          <w:pgMar w:left="1000" w:top="786" w:right="9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2024, 2023, and 2022, we granted 660,000, 3,782,000, and 897,000 shares of restricted stock with weighted average grant-date fair values of $4.25, $1.37, and $3.31 per share, respectively. The total grant-date fair value of restricted stock that vested in the years ended December 31, 2024, 2023, and 2022, was $2.0 million, $4.2 million, and $2.1 million, respectively.</w:t>
      </w:r>
    </w:p>
    <w:p>
      <w:pPr>
        <w:spacing w:after="0" w:line="8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status of unvested restricted stock awards as of December 31, 2024 and changes during the year then ended.</w:t>
      </w:r>
    </w:p>
    <w:tbl>
      <w:tblPr>
        <w:tblLayout w:type="fixed"/>
        <w:tblInd w:w="40" w:type="dxa"/>
        <w:tblCellMar>
          <w:top w:w="0" w:type="dxa"/>
          <w:left w:w="0" w:type="dxa"/>
          <w:bottom w:w="0" w:type="dxa"/>
          <w:right w:w="0" w:type="dxa"/>
        </w:tblCellMar>
      </w:tblPr>
      <w:tr>
        <w:trPr>
          <w:trHeight w:val="174"/>
        </w:trPr>
        <w:tc>
          <w:tcPr>
            <w:tcW w:w="7140" w:type="dxa"/>
            <w:vAlign w:val="bottom"/>
          </w:tcPr>
          <w:p>
            <w:pPr>
              <w:spacing w:after="0"/>
              <w:rPr>
                <w:sz w:val="15"/>
                <w:szCs w:val="15"/>
                <w:color w:val="auto"/>
              </w:rPr>
            </w:pPr>
          </w:p>
        </w:tc>
        <w:tc>
          <w:tcPr>
            <w:tcW w:w="15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Nonvested</w:t>
            </w:r>
          </w:p>
        </w:tc>
        <w:tc>
          <w:tcPr>
            <w:tcW w:w="80" w:type="dxa"/>
            <w:vAlign w:val="bottom"/>
          </w:tcPr>
          <w:p>
            <w:pPr>
              <w:spacing w:after="0"/>
              <w:rPr>
                <w:sz w:val="15"/>
                <w:szCs w:val="15"/>
                <w:color w:val="auto"/>
              </w:rPr>
            </w:pPr>
          </w:p>
        </w:tc>
        <w:tc>
          <w:tcPr>
            <w:tcW w:w="150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160"/>
        </w:trPr>
        <w:tc>
          <w:tcPr>
            <w:tcW w:w="714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66"/>
              <w:spacing w:after="0" w:line="160" w:lineRule="exact"/>
              <w:rPr>
                <w:sz w:val="20"/>
                <w:szCs w:val="20"/>
                <w:color w:val="auto"/>
              </w:rPr>
            </w:pPr>
            <w:r>
              <w:rPr>
                <w:rFonts w:ascii="Times New Roman" w:cs="Times New Roman" w:eastAsia="Times New Roman" w:hAnsi="Times New Roman"/>
                <w:sz w:val="16"/>
                <w:szCs w:val="16"/>
                <w:b w:val="1"/>
                <w:bCs w:val="1"/>
                <w:color w:val="auto"/>
              </w:rPr>
              <w:t>Grant-Date</w:t>
            </w:r>
          </w:p>
        </w:tc>
      </w:tr>
      <w:tr>
        <w:trPr>
          <w:trHeight w:val="214"/>
        </w:trPr>
        <w:tc>
          <w:tcPr>
            <w:tcW w:w="714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6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Unvested at January 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1.41</w:t>
            </w:r>
          </w:p>
        </w:tc>
      </w:tr>
      <w:tr>
        <w:trPr>
          <w:trHeight w:val="285"/>
        </w:trPr>
        <w:tc>
          <w:tcPr>
            <w:tcW w:w="7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4.25</w:t>
            </w:r>
          </w:p>
        </w:tc>
      </w:tr>
      <w:tr>
        <w:trPr>
          <w:trHeight w:val="285"/>
        </w:trPr>
        <w:tc>
          <w:tcPr>
            <w:tcW w:w="7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1.33</w:t>
            </w:r>
          </w:p>
        </w:tc>
      </w:tr>
      <w:tr>
        <w:trPr>
          <w:trHeight w:val="286"/>
        </w:trPr>
        <w:tc>
          <w:tcPr>
            <w:tcW w:w="7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2.13</w:t>
            </w:r>
          </w:p>
        </w:tc>
      </w:tr>
      <w:tr>
        <w:trPr>
          <w:trHeight w:val="24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Unvested at December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2.18</w:t>
            </w:r>
          </w:p>
        </w:tc>
      </w:tr>
      <w:tr>
        <w:trPr>
          <w:trHeight w:val="20"/>
        </w:trPr>
        <w:tc>
          <w:tcPr>
            <w:tcW w:w="7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40500" cy="9556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9">
                      <a:extLst>
                        <a:ext uri="{28A0092B-C50C-407E-A947-70E740481C1C}"/>
                      </a:extLst>
                    </a:blip>
                    <a:srcRect/>
                    <a:stretch>
                      <a:fillRect/>
                    </a:stretch>
                  </pic:blipFill>
                  <pic:spPr bwMode="auto">
                    <a:xfrm>
                      <a:off x="0" y="0"/>
                      <a:ext cx="6540500" cy="955675"/>
                    </a:xfrm>
                    <a:prstGeom prst="rect">
                      <a:avLst/>
                    </a:prstGeom>
                    <a:noFill/>
                  </pic:spPr>
                </pic:pic>
              </a:graphicData>
            </a:graphic>
          </wp:anchor>
        </w:drawing>
      </w:r>
    </w:p>
    <w:p>
      <w:pPr>
        <w:spacing w:after="0" w:line="10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2024, we granted 390,000 shares of restricted stock to non-executive directors, officers and certain other employees which vest pro-rata over three years for employees and over one year for non-executive directors. In addition, we granted 270,000 shares of restricted stock to new executive officers as inducement grants, during the year ended December 31, 2024, which vest pro-rata over five years.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Share Units</w:t>
      </w:r>
    </w:p>
    <w:p>
      <w:pPr>
        <w:spacing w:after="0" w:line="7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vest upon achieving specified performance targets over a performance period, which are based on total shareholder return (“TSR Awards”), return on invested capital (“ROIC Awards”), or on the Company’s stock price meeting specified thresholds (“Inducement Awards”). PSUs cliff-vest at the end of the performance period and expire automatically if the performance metric thresholds are not met during the performance period.</w:t>
      </w:r>
    </w:p>
    <w:p>
      <w:pPr>
        <w:spacing w:after="0" w:line="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TSR Awards vest, if at all, upon our achieving a specified relative total shareholder return, which will be measured against the total shareholder return of a specified index, as defined by the Incentive Plans, during the performance periods. The ROIC Awards vest, if at all, upon our achieving a specified average return on invested capital during the performance periods. The performance periods for TSR Awards and ROIC Awards begins on January 1st of the year of grant and ends three years later on December 31st. The Inducement Awards are earned upon our stock price meeting specified thresholds for any 20 consecutive trading days during the five-year performance period.</w:t>
      </w:r>
    </w:p>
    <w:p>
      <w:pPr>
        <w:spacing w:after="0" w:line="8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PSUs that vest will be settled by the issuance of shares of our common stock with the actual number of shares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status of unvested PSUs as of December 31, 2024 and activity during the year then ended.</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500" w:type="dxa"/>
            <w:vAlign w:val="bottom"/>
            <w:vMerge w:val="restart"/>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Nonvested PSU</w:t>
            </w:r>
          </w:p>
        </w:tc>
        <w:tc>
          <w:tcPr>
            <w:tcW w:w="8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0"/>
        </w:trPr>
        <w:tc>
          <w:tcPr>
            <w:tcW w:w="71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65"/>
              <w:spacing w:after="0" w:line="160"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7140" w:type="dxa"/>
            <w:vAlign w:val="bottom"/>
          </w:tcPr>
          <w:p>
            <w:pPr>
              <w:spacing w:after="0"/>
              <w:rPr>
                <w:sz w:val="18"/>
                <w:szCs w:val="18"/>
                <w:color w:val="auto"/>
              </w:rPr>
            </w:pPr>
          </w:p>
        </w:tc>
        <w:tc>
          <w:tcPr>
            <w:tcW w:w="15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6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January 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85"/>
        </w:trPr>
        <w:tc>
          <w:tcPr>
            <w:tcW w:w="7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3.71</w:t>
            </w:r>
          </w:p>
        </w:tc>
        <w:tc>
          <w:tcPr>
            <w:tcW w:w="0" w:type="dxa"/>
            <w:vAlign w:val="bottom"/>
          </w:tcPr>
          <w:p>
            <w:pPr>
              <w:spacing w:after="0"/>
              <w:rPr>
                <w:sz w:val="1"/>
                <w:szCs w:val="1"/>
                <w:color w:val="auto"/>
              </w:rPr>
            </w:pPr>
          </w:p>
        </w:tc>
      </w:tr>
      <w:tr>
        <w:trPr>
          <w:trHeight w:val="285"/>
        </w:trPr>
        <w:tc>
          <w:tcPr>
            <w:tcW w:w="7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2.53</w:t>
            </w:r>
          </w:p>
        </w:tc>
        <w:tc>
          <w:tcPr>
            <w:tcW w:w="0" w:type="dxa"/>
            <w:vAlign w:val="bottom"/>
          </w:tcPr>
          <w:p>
            <w:pPr>
              <w:spacing w:after="0"/>
              <w:rPr>
                <w:sz w:val="1"/>
                <w:szCs w:val="1"/>
                <w:color w:val="auto"/>
              </w:rPr>
            </w:pPr>
          </w:p>
        </w:tc>
      </w:tr>
      <w:tr>
        <w:trPr>
          <w:trHeight w:val="285"/>
        </w:trPr>
        <w:tc>
          <w:tcPr>
            <w:tcW w:w="7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2.40</w:t>
            </w:r>
          </w:p>
        </w:tc>
        <w:tc>
          <w:tcPr>
            <w:tcW w:w="0" w:type="dxa"/>
            <w:vAlign w:val="bottom"/>
          </w:tcPr>
          <w:p>
            <w:pPr>
              <w:spacing w:after="0"/>
              <w:rPr>
                <w:sz w:val="1"/>
                <w:szCs w:val="1"/>
                <w:color w:val="auto"/>
              </w:rPr>
            </w:pPr>
          </w:p>
        </w:tc>
      </w:tr>
      <w:tr>
        <w:trPr>
          <w:trHeight w:val="286"/>
        </w:trPr>
        <w:tc>
          <w:tcPr>
            <w:tcW w:w="7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2.58</w:t>
            </w:r>
          </w:p>
        </w:tc>
        <w:tc>
          <w:tcPr>
            <w:tcW w:w="0" w:type="dxa"/>
            <w:vAlign w:val="bottom"/>
          </w:tcPr>
          <w:p>
            <w:pPr>
              <w:spacing w:after="0"/>
              <w:rPr>
                <w:sz w:val="1"/>
                <w:szCs w:val="1"/>
                <w:color w:val="auto"/>
              </w:rPr>
            </w:pPr>
          </w:p>
        </w:tc>
      </w:tr>
      <w:tr>
        <w:trPr>
          <w:trHeight w:val="24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December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40500" cy="11366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
                      <a:extLst>
                        <a:ext uri="{28A0092B-C50C-407E-A947-70E740481C1C}"/>
                      </a:extLst>
                    </a:blip>
                    <a:srcRect/>
                    <a:stretch>
                      <a:fillRect/>
                    </a:stretch>
                  </pic:blipFill>
                  <pic:spPr bwMode="auto">
                    <a:xfrm>
                      <a:off x="0" y="0"/>
                      <a:ext cx="6540500" cy="1136650"/>
                    </a:xfrm>
                    <a:prstGeom prst="rect">
                      <a:avLst/>
                    </a:prstGeom>
                    <a:noFill/>
                  </pic:spPr>
                </pic:pic>
              </a:graphicData>
            </a:graphic>
          </wp:anchor>
        </w:drawing>
      </w:r>
    </w:p>
    <w:p>
      <w:pPr>
        <w:spacing w:after="0" w:line="10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2024, we granted 175,000 TSR Awards to executive officers under the Incentive Plans for the 2023 to 2025 performance period, and 415,000 Inducement Awards to new executive officers. During the years ended December 31, 2023 and 2022, we granted 3,621,000 and 790,000 PSUs with weighted average grant-date fair values of $1.14 and $2.58 per share, respectively.</w:t>
      </w:r>
    </w:p>
    <w:p>
      <w:pPr>
        <w:spacing w:after="0" w:line="8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auto"/>
        </w:rPr>
        <w:t>The total grant-date fair value of PSU’s that vested in the years ended December 31, 2024, 2023, and 2022, was $0.1 million, $0.3 million, and $0, respectively.</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789" w:right="9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7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Stock options, which were last granted in 2020, have an exercise price equal to the closing price of our stock on the date of grant, an exercise term of ten years, and a vesting period of three years. The following table presents stock option activity for the year ended December 31, 2024.</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320" w:type="dxa"/>
            <w:vAlign w:val="bottom"/>
            <w:vMerge w:val="restart"/>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17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170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44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3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2024</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14.46</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Expired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15.07</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and exercisable at December 31, 2024</w:t>
            </w:r>
          </w:p>
        </w:tc>
        <w:tc>
          <w:tcPr>
            <w:tcW w:w="1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169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13.99</w:t>
            </w:r>
          </w:p>
        </w:tc>
        <w:tc>
          <w:tcPr>
            <w:tcW w:w="60" w:type="dxa"/>
            <w:vAlign w:val="bottom"/>
          </w:tcPr>
          <w:p>
            <w:pPr>
              <w:spacing w:after="0"/>
              <w:rPr>
                <w:sz w:val="22"/>
                <w:szCs w:val="22"/>
                <w:color w:val="auto"/>
              </w:rPr>
            </w:pPr>
          </w:p>
        </w:tc>
        <w:tc>
          <w:tcPr>
            <w:tcW w:w="1700" w:type="dxa"/>
            <w:vAlign w:val="bottom"/>
            <w:gridSpan w:val="3"/>
          </w:tcPr>
          <w:p>
            <w:pPr>
              <w:ind w:left="620"/>
              <w:spacing w:after="0"/>
              <w:rPr>
                <w:sz w:val="20"/>
                <w:szCs w:val="20"/>
                <w:color w:val="auto"/>
              </w:rPr>
            </w:pPr>
            <w:r>
              <w:rPr>
                <w:rFonts w:ascii="Times New Roman" w:cs="Times New Roman" w:eastAsia="Times New Roman" w:hAnsi="Times New Roman"/>
                <w:sz w:val="20"/>
                <w:szCs w:val="20"/>
                <w:color w:val="auto"/>
              </w:rPr>
              <w:t>2.6 years  $</w:t>
            </w:r>
          </w:p>
        </w:tc>
        <w:tc>
          <w:tcPr>
            <w:tcW w:w="144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  (1)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40500" cy="622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1">
                      <a:extLst>
                        <a:ext uri="{28A0092B-C50C-407E-A947-70E740481C1C}"/>
                      </a:extLst>
                    </a:blip>
                    <a:srcRect/>
                    <a:stretch>
                      <a:fillRect/>
                    </a:stretch>
                  </pic:blipFill>
                  <pic:spPr bwMode="auto">
                    <a:xfrm>
                      <a:off x="0" y="0"/>
                      <a:ext cx="6540500" cy="622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16" w:lineRule="exact"/>
        <w:rPr>
          <w:sz w:val="20"/>
          <w:szCs w:val="20"/>
          <w:color w:val="auto"/>
        </w:rPr>
      </w:pPr>
    </w:p>
    <w:p>
      <w:pPr>
        <w:ind w:left="1080" w:right="320" w:hanging="370"/>
        <w:spacing w:after="0" w:line="266" w:lineRule="auto"/>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intrinsic value is the sum of intrinsic values for each exercisable individual option grant. The intrinsic value is the amount by which the closing market price of our stock at December 31, 2024, was greater than the exercise price of any individual option grant.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Accumulated Other Comprehensive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accumulated other comprehensive income (loss) (“AOCI”) are as follows: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8"/>
              </w:rPr>
              <w:t>Income taxes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64"/>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swap</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(31,902)</w:t>
            </w:r>
          </w:p>
        </w:tc>
        <w:tc>
          <w:tcPr>
            <w:tcW w:w="0" w:type="dxa"/>
            <w:vAlign w:val="bottom"/>
          </w:tcPr>
          <w:p>
            <w:pPr>
              <w:spacing w:after="0"/>
              <w:rPr>
                <w:sz w:val="1"/>
                <w:szCs w:val="1"/>
                <w:color w:val="auto"/>
              </w:rPr>
            </w:pPr>
          </w:p>
        </w:tc>
      </w:tr>
      <w:tr>
        <w:trPr>
          <w:trHeight w:val="300"/>
        </w:trPr>
        <w:tc>
          <w:tcPr>
            <w:tcW w:w="5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comprehensive income (loss) before reclassifications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(4,798)</w:t>
            </w:r>
          </w:p>
        </w:tc>
        <w:tc>
          <w:tcPr>
            <w:tcW w:w="0" w:type="dxa"/>
            <w:vAlign w:val="bottom"/>
          </w:tcPr>
          <w:p>
            <w:pPr>
              <w:spacing w:after="0"/>
              <w:rPr>
                <w:sz w:val="1"/>
                <w:szCs w:val="1"/>
                <w:color w:val="auto"/>
              </w:rPr>
            </w:pPr>
          </w:p>
        </w:tc>
      </w:tr>
      <w:tr>
        <w:trPr>
          <w:trHeight w:val="303"/>
        </w:trPr>
        <w:tc>
          <w:tcPr>
            <w:tcW w:w="5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Amounts reclassified from AOCI to interest expense (2)</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0" w:type="dxa"/>
            <w:vAlign w:val="bottom"/>
          </w:tcPr>
          <w:p>
            <w:pPr>
              <w:spacing w:after="0"/>
              <w:rPr>
                <w:sz w:val="1"/>
                <w:szCs w:val="1"/>
                <w:color w:val="auto"/>
              </w:rPr>
            </w:pPr>
          </w:p>
        </w:tc>
      </w:tr>
      <w:tr>
        <w:trPr>
          <w:trHeight w:val="28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Net other comprehensive income (loss)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(5,218)</w:t>
            </w:r>
          </w:p>
        </w:tc>
        <w:tc>
          <w:tcPr>
            <w:tcW w:w="0" w:type="dxa"/>
            <w:vAlign w:val="bottom"/>
          </w:tcPr>
          <w:p>
            <w:pPr>
              <w:spacing w:after="0"/>
              <w:rPr>
                <w:sz w:val="1"/>
                <w:szCs w:val="1"/>
                <w:color w:val="auto"/>
              </w:rPr>
            </w:pPr>
          </w:p>
        </w:tc>
      </w:tr>
      <w:tr>
        <w:trPr>
          <w:trHeight w:val="28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(37,120)</w:t>
            </w:r>
          </w:p>
        </w:tc>
        <w:tc>
          <w:tcPr>
            <w:tcW w:w="0" w:type="dxa"/>
            <w:vAlign w:val="bottom"/>
          </w:tcPr>
          <w:p>
            <w:pPr>
              <w:spacing w:after="0"/>
              <w:rPr>
                <w:sz w:val="1"/>
                <w:szCs w:val="1"/>
                <w:color w:val="auto"/>
              </w:rPr>
            </w:pPr>
          </w:p>
        </w:tc>
      </w:tr>
      <w:tr>
        <w:trPr>
          <w:trHeight w:val="277"/>
        </w:trPr>
        <w:tc>
          <w:tcPr>
            <w:tcW w:w="5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comprehensive income (loss) before reclassifications</w:t>
            </w: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1,410</w:t>
            </w: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1,180</w:t>
            </w:r>
          </w:p>
        </w:tc>
        <w:tc>
          <w:tcPr>
            <w:tcW w:w="0" w:type="dxa"/>
            <w:vAlign w:val="bottom"/>
          </w:tcPr>
          <w:p>
            <w:pPr>
              <w:spacing w:after="0"/>
              <w:rPr>
                <w:sz w:val="1"/>
                <w:szCs w:val="1"/>
                <w:color w:val="auto"/>
              </w:rPr>
            </w:pPr>
          </w:p>
        </w:tc>
      </w:tr>
      <w:tr>
        <w:trPr>
          <w:trHeight w:val="303"/>
        </w:trPr>
        <w:tc>
          <w:tcPr>
            <w:tcW w:w="5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Amounts reclassified from AOCI to interest expense (2)</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(1,815)</w:t>
            </w:r>
          </w:p>
        </w:tc>
        <w:tc>
          <w:tcPr>
            <w:tcW w:w="0" w:type="dxa"/>
            <w:vAlign w:val="bottom"/>
          </w:tcPr>
          <w:p>
            <w:pPr>
              <w:spacing w:after="0"/>
              <w:rPr>
                <w:sz w:val="1"/>
                <w:szCs w:val="1"/>
                <w:color w:val="auto"/>
              </w:rPr>
            </w:pPr>
          </w:p>
        </w:tc>
      </w:tr>
      <w:tr>
        <w:trPr>
          <w:trHeight w:val="28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Net other comprehensive income (loss)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(2,142)</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0" w:type="dxa"/>
            <w:vAlign w:val="bottom"/>
          </w:tcPr>
          <w:p>
            <w:pPr>
              <w:spacing w:after="0"/>
              <w:rPr>
                <w:sz w:val="1"/>
                <w:szCs w:val="1"/>
                <w:color w:val="auto"/>
              </w:rPr>
            </w:pPr>
          </w:p>
        </w:tc>
      </w:tr>
      <w:tr>
        <w:trPr>
          <w:trHeight w:val="28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(37,755)</w:t>
            </w:r>
          </w:p>
        </w:tc>
        <w:tc>
          <w:tcPr>
            <w:tcW w:w="0" w:type="dxa"/>
            <w:vAlign w:val="bottom"/>
          </w:tcPr>
          <w:p>
            <w:pPr>
              <w:spacing w:after="0"/>
              <w:rPr>
                <w:sz w:val="1"/>
                <w:szCs w:val="1"/>
                <w:color w:val="auto"/>
              </w:rPr>
            </w:pPr>
          </w:p>
        </w:tc>
      </w:tr>
      <w:tr>
        <w:trPr>
          <w:trHeight w:val="277"/>
        </w:trPr>
        <w:tc>
          <w:tcPr>
            <w:tcW w:w="5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comprehensive income (loss) before reclassifications</w:t>
            </w: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(9,405)</w:t>
            </w: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(9,405)</w:t>
            </w:r>
          </w:p>
        </w:tc>
        <w:tc>
          <w:tcPr>
            <w:tcW w:w="0" w:type="dxa"/>
            <w:vAlign w:val="bottom"/>
          </w:tcPr>
          <w:p>
            <w:pPr>
              <w:spacing w:after="0"/>
              <w:rPr>
                <w:sz w:val="1"/>
                <w:szCs w:val="1"/>
                <w:color w:val="auto"/>
              </w:rPr>
            </w:pPr>
          </w:p>
        </w:tc>
      </w:tr>
      <w:tr>
        <w:trPr>
          <w:trHeight w:val="303"/>
        </w:trPr>
        <w:tc>
          <w:tcPr>
            <w:tcW w:w="5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Amounts reclassified from AOCI to interest expense (2)</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(1,007)</w:t>
            </w:r>
          </w:p>
        </w:tc>
        <w:tc>
          <w:tcPr>
            <w:tcW w:w="0" w:type="dxa"/>
            <w:vAlign w:val="bottom"/>
          </w:tcPr>
          <w:p>
            <w:pPr>
              <w:spacing w:after="0"/>
              <w:rPr>
                <w:sz w:val="1"/>
                <w:szCs w:val="1"/>
                <w:color w:val="auto"/>
              </w:rPr>
            </w:pPr>
          </w:p>
        </w:tc>
      </w:tr>
      <w:tr>
        <w:trPr>
          <w:trHeight w:val="28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Net other comprehensive income (loss)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(10,412)</w:t>
            </w:r>
          </w:p>
        </w:tc>
        <w:tc>
          <w:tcPr>
            <w:tcW w:w="0" w:type="dxa"/>
            <w:vAlign w:val="bottom"/>
          </w:tcPr>
          <w:p>
            <w:pPr>
              <w:spacing w:after="0"/>
              <w:rPr>
                <w:sz w:val="1"/>
                <w:szCs w:val="1"/>
                <w:color w:val="auto"/>
              </w:rPr>
            </w:pPr>
          </w:p>
        </w:tc>
      </w:tr>
      <w:tr>
        <w:trPr>
          <w:trHeight w:val="26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(48,167)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-2507615</wp:posOffset>
            </wp:positionV>
            <wp:extent cx="6553200" cy="2527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2">
                      <a:extLst>
                        <a:ext uri="{28A0092B-C50C-407E-A947-70E740481C1C}"/>
                      </a:extLst>
                    </a:blip>
                    <a:srcRect/>
                    <a:stretch>
                      <a:fillRect/>
                    </a:stretch>
                  </pic:blipFill>
                  <pic:spPr bwMode="auto">
                    <a:xfrm>
                      <a:off x="0" y="0"/>
                      <a:ext cx="6553200" cy="2527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16" w:lineRule="exact"/>
        <w:rPr>
          <w:sz w:val="20"/>
          <w:szCs w:val="20"/>
          <w:color w:val="auto"/>
        </w:rPr>
      </w:pPr>
    </w:p>
    <w:p>
      <w:pPr>
        <w:ind w:left="720" w:hanging="28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effect of changes in interest rate swap.</w:t>
      </w:r>
    </w:p>
    <w:p>
      <w:pPr>
        <w:spacing w:after="0" w:line="7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gain recognized in interest expense on effective interest rate swap.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Fair Value Measurements</w:t>
      </w:r>
    </w:p>
    <w:p>
      <w:pPr>
        <w:spacing w:after="0" w:line="13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Note 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Embedded Derivatives</w:t>
      </w:r>
    </w:p>
    <w:p>
      <w:pPr>
        <w:spacing w:after="0" w:line="70"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20"/>
          <w:szCs w:val="20"/>
          <w:color w:val="auto"/>
        </w:rPr>
        <w:t xml:space="preserve">In accordance with ASC 815-15, </w:t>
      </w:r>
      <w:r>
        <w:rPr>
          <w:rFonts w:ascii="Times New Roman" w:cs="Times New Roman" w:eastAsia="Times New Roman" w:hAnsi="Times New Roman"/>
          <w:sz w:val="20"/>
          <w:szCs w:val="20"/>
          <w:b w:val="1"/>
          <w:bCs w:val="1"/>
          <w:i w:val="1"/>
          <w:iCs w:val="1"/>
          <w:color w:val="auto"/>
        </w:rPr>
        <w:t>Derivatives and Hedging - Embedded Derivatives</w:t>
      </w:r>
      <w:r>
        <w:rPr>
          <w:rFonts w:ascii="Times New Roman" w:cs="Times New Roman" w:eastAsia="Times New Roman" w:hAnsi="Times New Roman"/>
          <w:sz w:val="20"/>
          <w:szCs w:val="20"/>
          <w:color w:val="auto"/>
        </w:rPr>
        <w:t>, certain features of our preferred stock and long-term debt were bifurcated and accounted for as derivatives separately.</w:t>
      </w:r>
    </w:p>
    <w:p>
      <w:pPr>
        <w:spacing w:after="0" w:line="5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In conjunction with an amendment to our Term Loan in 2023, we issued warrants to purchase up to 2.0 million shares of our common stock at an exercise price of $0.01 per share (the “2023 Warrants”). The 2023 Warrants are exercisable, in full or in part, at any time prior to June 30, 2033. The 2023 Warrants include anti-dilution adjustments in the event of certain future equity issuances, stock splits, stock dividends, combinations or similar events. During the year ended December 31, 2024, 500,000 of the 2023 Warrants were exercised on a cashless basis, resulting in the issuance of 499,000 shares.</w:t>
      </w:r>
    </w:p>
    <w:p>
      <w:pPr>
        <w:spacing w:after="0" w:line="8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In conjunction with our placement of the Series D Preferred Stock in 2021, we issued warrants to purchase up to 1.9 million shares of our common stock (the “2021 Warrants”). The 2021 Warrants were exercisable, in full or in part, at an exercise price</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60"/>
          </w:cols>
          <w:pgMar w:left="1000" w:top="789" w:right="980" w:bottom="0" w:gutter="0" w:footer="0" w:header="0"/>
          <w:type w:val="continuous"/>
        </w:sectPr>
      </w:pPr>
    </w:p>
    <w:bookmarkStart w:id="58" w:name="page59"/>
    <w:bookmarkEnd w:id="58"/>
    <w:p>
      <w:pPr>
        <w:ind w:right="100"/>
        <w:spacing w:after="0" w:line="266" w:lineRule="auto"/>
        <w:rPr>
          <w:sz w:val="20"/>
          <w:szCs w:val="20"/>
          <w:color w:val="auto"/>
        </w:rPr>
      </w:pPr>
      <w:r>
        <w:rPr>
          <w:rFonts w:ascii="Times New Roman" w:cs="Times New Roman" w:eastAsia="Times New Roman" w:hAnsi="Times New Roman"/>
          <w:sz w:val="20"/>
          <w:szCs w:val="20"/>
          <w:color w:val="auto"/>
        </w:rPr>
        <w:t>of $0.01 per share, subject to anti-dilution adjustments in the event of certain future equity issuances, stock splits, stock dividends, combinations or similar events. During the year ended December 31, 2024, all of the 2021 Warrants were exercised on a cashless basis, resulting in the issuance of 1,896,000 shares.</w:t>
      </w:r>
    </w:p>
    <w:p>
      <w:pPr>
        <w:spacing w:after="0" w:line="7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In conjunction with our placement of the Series B Preferred Stock in 2019, we issued warrants to purchase up to 1.5 million shares of our common stock (the “2019 Warrants”). The 2019 Warrants, are exercisable, in full or in part, at any time prior to December 11, 2026, at an exercise price of $11.03 per share, and are subject to anti-dilution adjustments in the event of future below market issuances, stock splits, stock dividends, combinations or similar events.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changes in the liability balance of the embedded derivatives.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20"/>
        </w:trPr>
        <w:tc>
          <w:tcPr>
            <w:tcW w:w="7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16,556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2,959</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Issuances</w:t>
            </w:r>
          </w:p>
        </w:tc>
        <w:tc>
          <w:tcPr>
            <w:tcW w:w="28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2,712</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(1)</w:t>
            </w:r>
          </w:p>
        </w:tc>
        <w:tc>
          <w:tcPr>
            <w:tcW w:w="28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10,885</w:t>
            </w:r>
          </w:p>
        </w:tc>
      </w:tr>
      <w:tr>
        <w:trPr>
          <w:trHeight w:val="303"/>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Settlements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(11,376)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5,192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16,556</w:t>
            </w:r>
          </w:p>
        </w:tc>
      </w:tr>
      <w:tr>
        <w:trPr>
          <w:trHeight w:val="20"/>
        </w:trPr>
        <w:tc>
          <w:tcPr>
            <w:tcW w:w="7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53200" cy="1003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3">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16" w:lineRule="exact"/>
        <w:rPr>
          <w:sz w:val="20"/>
          <w:szCs w:val="20"/>
          <w:color w:val="auto"/>
        </w:rPr>
      </w:pPr>
    </w:p>
    <w:p>
      <w:pPr>
        <w:ind w:left="720" w:right="24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fair value are recognized in the “Other expense (income), net” line in the Consolidated Statements of Operations and Comprehensive Income (Loss).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show the fair values of the embedded derivatives within the fair value hierarchy.</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8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8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0"/>
        </w:trPr>
        <w:tc>
          <w:tcPr>
            <w:tcW w:w="1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4260" w:type="dxa"/>
            <w:vAlign w:val="bottom"/>
            <w:vMerge w:val="restart"/>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Identical Assets</w:t>
            </w: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5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Pr>
          <w:p>
            <w:pPr>
              <w:spacing w:after="0"/>
              <w:rPr>
                <w:sz w:val="15"/>
                <w:szCs w:val="15"/>
                <w:color w:val="auto"/>
              </w:rPr>
            </w:pPr>
          </w:p>
        </w:tc>
        <w:tc>
          <w:tcPr>
            <w:tcW w:w="15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80" w:type="dxa"/>
            <w:vAlign w:val="bottom"/>
          </w:tcPr>
          <w:p>
            <w:pPr>
              <w:spacing w:after="0"/>
              <w:rPr>
                <w:sz w:val="15"/>
                <w:szCs w:val="15"/>
                <w:color w:val="auto"/>
              </w:rPr>
            </w:pPr>
          </w:p>
        </w:tc>
        <w:tc>
          <w:tcPr>
            <w:tcW w:w="15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
        </w:trPr>
        <w:tc>
          <w:tcPr>
            <w:tcW w:w="5560" w:type="dxa"/>
            <w:vAlign w:val="bottom"/>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Derivative liability - other non-current liabilities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4,776</w:t>
            </w:r>
          </w:p>
        </w:tc>
        <w:tc>
          <w:tcPr>
            <w:tcW w:w="80" w:type="dxa"/>
            <w:vAlign w:val="bottom"/>
          </w:tcPr>
          <w:p>
            <w:pPr>
              <w:spacing w:after="0"/>
              <w:rPr>
                <w:sz w:val="24"/>
                <w:szCs w:val="24"/>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416</w:t>
            </w:r>
          </w:p>
        </w:tc>
        <w:tc>
          <w:tcPr>
            <w:tcW w:w="0" w:type="dxa"/>
            <w:vAlign w:val="bottom"/>
          </w:tcPr>
          <w:p>
            <w:pPr>
              <w:spacing w:after="0"/>
              <w:rPr>
                <w:sz w:val="1"/>
                <w:szCs w:val="1"/>
                <w:color w:val="auto"/>
              </w:rPr>
            </w:pPr>
          </w:p>
        </w:tc>
      </w:tr>
      <w:tr>
        <w:trPr>
          <w:trHeight w:val="544"/>
        </w:trPr>
        <w:tc>
          <w:tcPr>
            <w:tcW w:w="13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8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8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0"/>
        </w:trPr>
        <w:tc>
          <w:tcPr>
            <w:tcW w:w="1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4260" w:type="dxa"/>
            <w:vAlign w:val="bottom"/>
            <w:vMerge w:val="restart"/>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Identical Assets</w:t>
            </w: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5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Pr>
          <w:p>
            <w:pPr>
              <w:spacing w:after="0"/>
              <w:rPr>
                <w:sz w:val="15"/>
                <w:szCs w:val="15"/>
                <w:color w:val="auto"/>
              </w:rPr>
            </w:pPr>
          </w:p>
        </w:tc>
        <w:tc>
          <w:tcPr>
            <w:tcW w:w="15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80" w:type="dxa"/>
            <w:vAlign w:val="bottom"/>
          </w:tcPr>
          <w:p>
            <w:pPr>
              <w:spacing w:after="0"/>
              <w:rPr>
                <w:sz w:val="15"/>
                <w:szCs w:val="15"/>
                <w:color w:val="auto"/>
              </w:rPr>
            </w:pPr>
          </w:p>
        </w:tc>
        <w:tc>
          <w:tcPr>
            <w:tcW w:w="15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
        </w:trPr>
        <w:tc>
          <w:tcPr>
            <w:tcW w:w="5560" w:type="dxa"/>
            <w:vAlign w:val="bottom"/>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Derivative liability - other non-current liabilities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15,421</w:t>
            </w:r>
          </w:p>
        </w:tc>
        <w:tc>
          <w:tcPr>
            <w:tcW w:w="80" w:type="dxa"/>
            <w:vAlign w:val="bottom"/>
          </w:tcPr>
          <w:p>
            <w:pPr>
              <w:spacing w:after="0"/>
              <w:rPr>
                <w:sz w:val="24"/>
                <w:szCs w:val="24"/>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-1067435</wp:posOffset>
            </wp:positionV>
            <wp:extent cx="6540500" cy="215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4">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-194310</wp:posOffset>
            </wp:positionV>
            <wp:extent cx="6540500" cy="2159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5">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151"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20"/>
          <w:szCs w:val="20"/>
          <w:color w:val="auto"/>
        </w:rPr>
        <w:t>The fair value of the 2023 Warrants and 2021 Warrants is determined using the observable market price of a share of our common stock, less the $0.01 per share exercise price (Level 1).</w:t>
      </w:r>
    </w:p>
    <w:p>
      <w:pPr>
        <w:spacing w:after="0" w:line="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 fair value of the 2019 Warrants is determined using a valuation model that utilizes unobservable inputs to determine the probability that the 2019 Warrants will remain outstanding for future periods (Level 3). The probabilities resulted in a weighted average term of 2.0 years as of December 31, 2024 and 2.9 years as of December 31,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Swap</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On July 22, 2021, we entered into a fixed-rate interest rate swap agreement to change the applicable variable base rate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fair value of the 2021 Swap. Since the 2021 Swap was an effective cash flow hedge and the forecasted interest payments remain probable of occurring, the gain was recognized as a reduction to interest expense through the original maturity date of July 31, 2024.</w:t>
      </w:r>
    </w:p>
    <w:p>
      <w:pPr>
        <w:spacing w:after="0" w:line="9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2024, 2023, and 2022, we recognized an interest benefit of $1.0 million, $1.8 million, and $0.4 million, respectively, from gains recognized in interest expense on the effective interest rate swap in the Consolidated Statements of Operations and Comprehensive Income (Loss). As of December 31, 2024 and 2023, we reported $0 and $1.0 million gains, respectively, net of tax, in accumulated other comprehensive loss related to the interest rate swap.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Disclosures</w:t>
      </w:r>
    </w:p>
    <w:p>
      <w:pPr>
        <w:spacing w:after="0" w:line="7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Our financial instruments that are subject to fair value disclosure consist of cash and cash equivalents, accounts receivable, accounts payable, and debt. As of December 31, 2024 and 2023, the carrying values of these financial instruments, except for debt, approximated fair value. The fair value of our debt was $147.8 million and $162.2 million, with a carrying amount of $148.6 million and $153.3 million, as of December 31, 2024 and 2023, respectively. The fair value of debt was calculated by</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793" w:right="980" w:bottom="0" w:gutter="0" w:footer="0" w:header="0"/>
          <w:type w:val="continuous"/>
        </w:sectPr>
      </w:pPr>
    </w:p>
    <w:bookmarkStart w:id="59" w:name="page60"/>
    <w:bookmarkEnd w:id="59"/>
    <w:p>
      <w:pPr>
        <w:ind w:right="1360"/>
        <w:spacing w:after="0" w:line="281" w:lineRule="auto"/>
        <w:rPr>
          <w:sz w:val="20"/>
          <w:szCs w:val="20"/>
          <w:color w:val="auto"/>
        </w:rPr>
      </w:pPr>
      <w:r>
        <w:rPr>
          <w:rFonts w:ascii="Times New Roman" w:cs="Times New Roman" w:eastAsia="Times New Roman" w:hAnsi="Times New Roman"/>
          <w:sz w:val="20"/>
          <w:szCs w:val="20"/>
          <w:color w:val="auto"/>
        </w:rPr>
        <w:t>discounting the future cash flows to its present value using prevailing market interest rates for debt with similar creditworthiness, terms and maturities (Level 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Divestiture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July 2, 2024, we completed the sale of our Lubbock operations, known as Industrial Molding Corporation (“IMC”), for</w:t>
      </w:r>
    </w:p>
    <w:p>
      <w:pPr>
        <w:spacing w:after="0" w:line="3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$17.0 million in cash, subject to customary purchase price adjustments. We received net proceeds of $15.4 million after paying certain transaction costs, which was used to repay a portion of the outstanding borrowings under the Term Loan Facility. We determined that the sale of IMC did not represent a strategic shift that will have a major effect on the consolidated results of operations, therefore the results of this business will continue to be reported within our Power Solutions segment. The gain on sale of business is recognized in the “Other expense (income), net” line in the Consolidated Statements of Operations and Comprehensive Income (Loss).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74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is a summary of the net gain recognized in connection with the divestiture:</w:t>
            </w: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03"/>
        </w:trPr>
        <w:tc>
          <w:tcPr>
            <w:tcW w:w="8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proceeds</w:t>
            </w: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17,000</w:t>
            </w:r>
          </w:p>
        </w:tc>
      </w:tr>
      <w:tr>
        <w:trPr>
          <w:trHeight w:val="315"/>
        </w:trPr>
        <w:tc>
          <w:tcPr>
            <w:tcW w:w="8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assets disposed</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8,281</w:t>
            </w:r>
          </w:p>
        </w:tc>
      </w:tr>
      <w:tr>
        <w:trPr>
          <w:trHeight w:val="318"/>
        </w:trPr>
        <w:tc>
          <w:tcPr>
            <w:tcW w:w="8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 costs to sell</w:t>
            </w: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1,565</w:t>
            </w:r>
          </w:p>
        </w:tc>
      </w:tr>
      <w:tr>
        <w:trPr>
          <w:trHeight w:val="292"/>
        </w:trPr>
        <w:tc>
          <w:tcPr>
            <w:tcW w:w="8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Gain on sale of business</w:t>
            </w: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-803910</wp:posOffset>
            </wp:positionV>
            <wp:extent cx="6540500" cy="825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6">
                      <a:extLst>
                        <a:ext uri="{28A0092B-C50C-407E-A947-70E740481C1C}"/>
                      </a:extLst>
                    </a:blip>
                    <a:srcRect/>
                    <a:stretch>
                      <a:fillRect/>
                    </a:stretch>
                  </pic:blipFill>
                  <pic:spPr bwMode="auto">
                    <a:xfrm>
                      <a:off x="0" y="0"/>
                      <a:ext cx="6540500" cy="82550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Plant Optimization Activities</w:t>
      </w:r>
    </w:p>
    <w:p>
      <w:pPr>
        <w:spacing w:after="0" w:line="7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During the second half of 2024, we took specific steps to consolidate our footprint by identifying two manufacturing facilities to close due to volume rationalization which will reduce costs and improve operational efficiency. In January 2025, we ceased production activities at our Mobile Solutions plant in Juarez, Mexico. We plan to stop production activity at our Mobile Solutions plant in Dowagiac, Michigan by the end of the first quarter of 2025. In addition, we implemented operational and cost optimization actions to reduce indirect and overhead costs. We expect the facility closures and organizational changes to be completed in the first half of 2025. We estimate incurring $13.6 million in charges which will be recognized in 2024 and 2025. Once fully implemented, we expect to recognize annual benefits of approximately $5.4 million. All costs incurred have been recognized in the Mobile Solutions segment.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costs incurred and amounts accrued during the year ended December 31, 2024.</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8"/>
              </w:rPr>
              <w:t>Severance 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Impairment of</w:t>
            </w:r>
          </w:p>
        </w:tc>
        <w:tc>
          <w:tcPr>
            <w:tcW w:w="60" w:type="dxa"/>
            <w:vAlign w:val="bottom"/>
          </w:tcPr>
          <w:p>
            <w:pPr>
              <w:spacing w:after="0"/>
              <w:rPr>
                <w:sz w:val="16"/>
                <w:szCs w:val="16"/>
                <w:color w:val="auto"/>
              </w:rPr>
            </w:pP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Costs associated</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b w:val="1"/>
                <w:bCs w:val="1"/>
                <w:color w:val="auto"/>
                <w:w w:val="99"/>
              </w:rPr>
              <w:t>property and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183"/>
              <w:spacing w:after="0" w:line="160" w:lineRule="exact"/>
              <w:rPr>
                <w:sz w:val="20"/>
                <w:szCs w:val="20"/>
                <w:color w:val="auto"/>
              </w:rPr>
            </w:pPr>
            <w:r>
              <w:rPr>
                <w:rFonts w:ascii="Times New Roman" w:cs="Times New Roman" w:eastAsia="Times New Roman" w:hAnsi="Times New Roman"/>
                <w:sz w:val="16"/>
                <w:szCs w:val="16"/>
                <w:b w:val="1"/>
                <w:bCs w:val="1"/>
                <w:color w:val="auto"/>
              </w:rPr>
              <w:t>with exit or</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employee related</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equipment</w:t>
            </w:r>
          </w:p>
        </w:tc>
        <w:tc>
          <w:tcPr>
            <w:tcW w:w="60" w:type="dxa"/>
            <w:vAlign w:val="bottom"/>
          </w:tcPr>
          <w:p>
            <w:pPr>
              <w:spacing w:after="0"/>
              <w:rPr>
                <w:sz w:val="18"/>
                <w:szCs w:val="18"/>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disposal activities</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2023</w:t>
            </w:r>
          </w:p>
        </w:tc>
        <w:tc>
          <w:tcPr>
            <w:tcW w:w="1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7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Restructuring costs</w:t>
            </w:r>
          </w:p>
        </w:tc>
        <w:tc>
          <w:tcPr>
            <w:tcW w:w="16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3,267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6,546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2,787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12,600</w:t>
            </w:r>
          </w:p>
        </w:tc>
        <w:tc>
          <w:tcPr>
            <w:tcW w:w="0" w:type="dxa"/>
            <w:vAlign w:val="bottom"/>
          </w:tcPr>
          <w:p>
            <w:pPr>
              <w:spacing w:after="0"/>
              <w:rPr>
                <w:sz w:val="1"/>
                <w:szCs w:val="1"/>
                <w:color w:val="auto"/>
              </w:rPr>
            </w:pPr>
          </w:p>
        </w:tc>
      </w:tr>
      <w:tr>
        <w:trPr>
          <w:trHeight w:val="300"/>
        </w:trPr>
        <w:tc>
          <w:tcPr>
            <w:tcW w:w="4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Amounts paid</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0" w:type="dxa"/>
            <w:vAlign w:val="bottom"/>
          </w:tcPr>
          <w:p>
            <w:pPr>
              <w:spacing w:after="0"/>
              <w:rPr>
                <w:sz w:val="1"/>
                <w:szCs w:val="1"/>
                <w:color w:val="auto"/>
              </w:rPr>
            </w:pPr>
          </w:p>
        </w:tc>
      </w:tr>
      <w:tr>
        <w:trPr>
          <w:trHeight w:val="303"/>
        </w:trPr>
        <w:tc>
          <w:tcPr>
            <w:tcW w:w="47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Charges against assets</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(9,076)</w:t>
            </w:r>
          </w:p>
        </w:tc>
        <w:tc>
          <w:tcPr>
            <w:tcW w:w="0" w:type="dxa"/>
            <w:vAlign w:val="bottom"/>
          </w:tcPr>
          <w:p>
            <w:pPr>
              <w:spacing w:after="0"/>
              <w:rPr>
                <w:sz w:val="1"/>
                <w:szCs w:val="1"/>
                <w:color w:val="auto"/>
              </w:rPr>
            </w:pPr>
          </w:p>
        </w:tc>
      </w:tr>
      <w:tr>
        <w:trPr>
          <w:trHeight w:val="26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1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2,686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53200" cy="1003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7">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Of the $12.6 million incurred during the year ended December 31, 2024, $5.0 million are recognized in the “Cost of sales” line, $1.1 million in the “Selling, general, and administrative expense” line, and $6.5 million in the “Other expense (income), net” line in the Consolidated Statements of Operations and Comprehensive Income (Loss).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Voluntary Early Retirement Program</w:t>
      </w:r>
    </w:p>
    <w:p>
      <w:pPr>
        <w:spacing w:after="0" w:line="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we recognized $1.2 million related to an early retirement incentive program (“ERIP”) that was open to to certain U.S. employees that met specified age and service requirements, and who terminated employment in 2024. We plan to recognize an additional $0.5 million under the ERIP for employees that will terminate during the first quarter of 2025. The estimated total cost of the ERIP is $1.7 million with all benefit payments expected to be made in 2025.</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793" w:right="980" w:bottom="0" w:gutter="0" w:footer="0" w:header="0"/>
          <w:type w:val="continuous"/>
        </w:sectPr>
      </w:pPr>
    </w:p>
    <w:bookmarkStart w:id="60" w:name="page61"/>
    <w:bookmarkEnd w:id="60"/>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7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Under the supervision and with the participation of management, including our Chief Executive Officer and Chief Financial Officer, we evaluated the effectiveness of disclosure controls and procedures (as defined in Rules 13a-15(e) and 15d-15(e) of the Exchange Act). Based upon that evaluation, our Chief Executive Officer and Chief Financial Officer concluded that our disclosure controls and procedures were effective as of December 31, 2024,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management of NN, Inc. is responsible for establishing and maintaining adequate internal control over financial reporting, as such term is defined in Exchange Act Rule 13a-15(f).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 xml:space="preserve">Management, under the supervision and with the participation of the Chief Executive Officer and Chief Financial Officer, conducted an evaluation of the effectiveness of our internal control over financial reporting as of December 31, 2024, based on the criteria described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Based on this assessment, management has determined that the Company's internal control over financial reporting was effective as of December 31, 2024.</w:t>
      </w:r>
    </w:p>
    <w:p>
      <w:pPr>
        <w:spacing w:after="0" w:line="8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auto"/>
        </w:rPr>
        <w:t>Grant Thornton LLP, the independent registered public accounting firm that has audited our consolidated financial statements, has audited the effectiveness of the Company’s internal control over financial reporting as of December 31, 2024, as stated in their report included in Item 8 of this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defined in the Exchange Act Rules 13a-15(f) and 15d-15(f)) that occurred during the quarter ended December 31, 2024, that have materially affected, or are reasonably likely to materially affect, our internal control over financial reporting.</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Adoption or Termination of Trading Arrangements</w:t>
      </w:r>
    </w:p>
    <w:p>
      <w:pPr>
        <w:spacing w:after="0" w:line="7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During the quarter ended December 31, 2024, none of the Company’s directors or executive officers adopted or terminated any Rule 10b5-1 trading arrangement or non-Rule 10b5-1 trading arrangement, as defined in Item 408 of Regulation S-K.</w:t>
      </w:r>
    </w:p>
    <w:p>
      <w:pPr>
        <w:spacing w:after="0" w:line="174" w:lineRule="exact"/>
        <w:rPr>
          <w:sz w:val="20"/>
          <w:szCs w:val="20"/>
          <w:color w:val="auto"/>
        </w:rPr>
      </w:pPr>
    </w:p>
    <w:p>
      <w:pPr>
        <w:ind w:right="3340"/>
        <w:spacing w:after="0" w:line="352"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40"/>
          </w:cols>
          <w:pgMar w:left="1000" w:top="786" w:right="1000" w:bottom="0" w:gutter="0" w:footer="0" w:header="0"/>
          <w:type w:val="continuous"/>
        </w:sectPr>
      </w:pPr>
    </w:p>
    <w:bookmarkStart w:id="61" w:name="page62"/>
    <w:bookmarkEnd w:id="61"/>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7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10 of Form 10-K concerning our directors is contained in our definitive proxy statement to be filed with the Securities and Exchange Commission within 120 days after December 31, 2024 (“our definitive proxy statement”), and in accordance with General Instruction G to Form 10-K, is hereby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w:t>
      </w:r>
    </w:p>
    <w:p>
      <w:pPr>
        <w:spacing w:after="0" w:line="7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Our Code of Conduct/Ethics Statement, as amended (the “Code”), is applicable to all officers, directors, and employees. The Code is posted on our website at www.nninc.com. Information contained on our website is not part of this Annual Report. We will satisfy any disclosure requirements under Item 5.05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Current Report on Form 8-K.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7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We have adopted an insider trading policy governing the purchase, sale and other dispositions of the Company’s stock by its directors, officers and employees that is reasonably designed to promote compliance with insider trading laws, rules and regulations, as well as the NASDAQ Stock Market. A copy of our Insider Trading Policy is furnished as Exhibit 19.1 to this Annual Report.</w:t>
      </w:r>
    </w:p>
    <w:p>
      <w:pPr>
        <w:spacing w:after="0" w:line="19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7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 information required by Item 11 of Form 10-K is contained in the sections entitled “Information about the Directors and the Director Nominees – Compensation of Directors” and “Executive Compensation” of our definitive proxy statement and, in accordance with General Instruction G to Form 10-K, is hereby incorporated herein by reference.</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 and Related Stockholder Matters</w:t>
      </w:r>
    </w:p>
    <w:p>
      <w:pPr>
        <w:spacing w:after="0" w:line="7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75"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20"/>
          <w:szCs w:val="20"/>
          <w:color w:val="auto"/>
        </w:rPr>
        <w:t>Information required by Item 201(d) of Regulation S-K concerning our equity compensation plans is set forth in the table below.</w:t>
      </w:r>
    </w:p>
    <w:tbl>
      <w:tblPr>
        <w:tblLayout w:type="fixed"/>
        <w:tblInd w:w="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52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Table of Equity Compensation Plan Information</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520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Number of securities</w:t>
            </w:r>
          </w:p>
        </w:tc>
        <w:tc>
          <w:tcPr>
            <w:tcW w:w="0" w:type="dxa"/>
            <w:vAlign w:val="bottom"/>
          </w:tcPr>
          <w:p>
            <w:pPr>
              <w:spacing w:after="0"/>
              <w:rPr>
                <w:sz w:val="1"/>
                <w:szCs w:val="1"/>
                <w:color w:val="auto"/>
              </w:rPr>
            </w:pPr>
          </w:p>
        </w:tc>
      </w:tr>
      <w:tr>
        <w:trPr>
          <w:trHeight w:val="160"/>
        </w:trPr>
        <w:tc>
          <w:tcPr>
            <w:tcW w:w="5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remaining available for</w:t>
            </w:r>
          </w:p>
        </w:tc>
        <w:tc>
          <w:tcPr>
            <w:tcW w:w="0" w:type="dxa"/>
            <w:vAlign w:val="bottom"/>
          </w:tcPr>
          <w:p>
            <w:pPr>
              <w:spacing w:after="0"/>
              <w:rPr>
                <w:sz w:val="1"/>
                <w:szCs w:val="1"/>
                <w:color w:val="auto"/>
              </w:rPr>
            </w:pPr>
          </w:p>
        </w:tc>
      </w:tr>
      <w:tr>
        <w:trPr>
          <w:trHeight w:val="160"/>
        </w:trPr>
        <w:tc>
          <w:tcPr>
            <w:tcW w:w="5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future issuance under</w:t>
            </w:r>
          </w:p>
        </w:tc>
        <w:tc>
          <w:tcPr>
            <w:tcW w:w="0" w:type="dxa"/>
            <w:vAlign w:val="bottom"/>
          </w:tcPr>
          <w:p>
            <w:pPr>
              <w:spacing w:after="0"/>
              <w:rPr>
                <w:sz w:val="1"/>
                <w:szCs w:val="1"/>
                <w:color w:val="auto"/>
              </w:rPr>
            </w:pPr>
          </w:p>
        </w:tc>
      </w:tr>
      <w:tr>
        <w:trPr>
          <w:trHeight w:val="160"/>
        </w:trPr>
        <w:tc>
          <w:tcPr>
            <w:tcW w:w="506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 securities to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color w:val="auto"/>
              </w:rPr>
              <w:t>Weighted-average</w:t>
            </w:r>
          </w:p>
        </w:tc>
        <w:tc>
          <w:tcPr>
            <w:tcW w:w="8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equity compensation</w:t>
            </w:r>
          </w:p>
        </w:tc>
        <w:tc>
          <w:tcPr>
            <w:tcW w:w="0" w:type="dxa"/>
            <w:vAlign w:val="bottom"/>
          </w:tcPr>
          <w:p>
            <w:pPr>
              <w:spacing w:after="0"/>
              <w:rPr>
                <w:sz w:val="1"/>
                <w:szCs w:val="1"/>
                <w:color w:val="auto"/>
              </w:rPr>
            </w:pPr>
          </w:p>
        </w:tc>
      </w:tr>
      <w:tr>
        <w:trPr>
          <w:trHeight w:val="160"/>
        </w:trPr>
        <w:tc>
          <w:tcPr>
            <w:tcW w:w="506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plans</w:t>
            </w:r>
          </w:p>
        </w:tc>
        <w:tc>
          <w:tcPr>
            <w:tcW w:w="0" w:type="dxa"/>
            <w:vAlign w:val="bottom"/>
          </w:tcPr>
          <w:p>
            <w:pPr>
              <w:spacing w:after="0"/>
              <w:rPr>
                <w:sz w:val="1"/>
                <w:szCs w:val="1"/>
                <w:color w:val="auto"/>
              </w:rPr>
            </w:pPr>
          </w:p>
        </w:tc>
      </w:tr>
      <w:tr>
        <w:trPr>
          <w:trHeight w:val="160"/>
        </w:trPr>
        <w:tc>
          <w:tcPr>
            <w:tcW w:w="506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be issued upon exercise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93"/>
              <w:spacing w:after="0" w:line="160" w:lineRule="exact"/>
              <w:rPr>
                <w:sz w:val="20"/>
                <w:szCs w:val="20"/>
                <w:color w:val="auto"/>
              </w:rPr>
            </w:pPr>
            <w:r>
              <w:rPr>
                <w:rFonts w:ascii="Times New Roman" w:cs="Times New Roman" w:eastAsia="Times New Roman" w:hAnsi="Times New Roman"/>
                <w:sz w:val="16"/>
                <w:szCs w:val="16"/>
                <w:color w:val="auto"/>
              </w:rPr>
              <w:t>exercise price of</w:t>
            </w:r>
          </w:p>
        </w:tc>
        <w:tc>
          <w:tcPr>
            <w:tcW w:w="8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(excluding securities</w:t>
            </w:r>
          </w:p>
        </w:tc>
        <w:tc>
          <w:tcPr>
            <w:tcW w:w="0" w:type="dxa"/>
            <w:vAlign w:val="bottom"/>
          </w:tcPr>
          <w:p>
            <w:pPr>
              <w:spacing w:after="0"/>
              <w:rPr>
                <w:sz w:val="1"/>
                <w:szCs w:val="1"/>
                <w:color w:val="auto"/>
              </w:rPr>
            </w:pPr>
          </w:p>
        </w:tc>
      </w:tr>
      <w:tr>
        <w:trPr>
          <w:trHeight w:val="160"/>
        </w:trPr>
        <w:tc>
          <w:tcPr>
            <w:tcW w:w="506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of outstanding options,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93"/>
              <w:spacing w:after="0" w:line="160" w:lineRule="exact"/>
              <w:rPr>
                <w:sz w:val="20"/>
                <w:szCs w:val="20"/>
                <w:color w:val="auto"/>
              </w:rPr>
            </w:pPr>
            <w:r>
              <w:rPr>
                <w:rFonts w:ascii="Times New Roman" w:cs="Times New Roman" w:eastAsia="Times New Roman" w:hAnsi="Times New Roman"/>
                <w:sz w:val="16"/>
                <w:szCs w:val="16"/>
                <w:color w:val="auto"/>
              </w:rPr>
              <w:t>outstanding options,</w:t>
            </w:r>
          </w:p>
        </w:tc>
        <w:tc>
          <w:tcPr>
            <w:tcW w:w="8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reflected in</w:t>
            </w:r>
          </w:p>
        </w:tc>
        <w:tc>
          <w:tcPr>
            <w:tcW w:w="0" w:type="dxa"/>
            <w:vAlign w:val="bottom"/>
          </w:tcPr>
          <w:p>
            <w:pPr>
              <w:spacing w:after="0"/>
              <w:rPr>
                <w:sz w:val="1"/>
                <w:szCs w:val="1"/>
                <w:color w:val="auto"/>
              </w:rPr>
            </w:pPr>
          </w:p>
        </w:tc>
      </w:tr>
      <w:tr>
        <w:trPr>
          <w:trHeight w:val="160"/>
        </w:trPr>
        <w:tc>
          <w:tcPr>
            <w:tcW w:w="50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Plan Category</w:t>
            </w: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warrants, and rights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93"/>
              <w:spacing w:after="0" w:line="160" w:lineRule="exact"/>
              <w:rPr>
                <w:sz w:val="20"/>
                <w:szCs w:val="20"/>
                <w:color w:val="auto"/>
              </w:rPr>
            </w:pPr>
            <w:r>
              <w:rPr>
                <w:rFonts w:ascii="Times New Roman" w:cs="Times New Roman" w:eastAsia="Times New Roman" w:hAnsi="Times New Roman"/>
                <w:sz w:val="16"/>
                <w:szCs w:val="16"/>
                <w:color w:val="auto"/>
                <w:w w:val="99"/>
              </w:rPr>
              <w:t>warrants, and rights</w:t>
            </w:r>
          </w:p>
        </w:tc>
        <w:tc>
          <w:tcPr>
            <w:tcW w:w="8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column (a))</w:t>
            </w:r>
          </w:p>
        </w:tc>
        <w:tc>
          <w:tcPr>
            <w:tcW w:w="0" w:type="dxa"/>
            <w:vAlign w:val="bottom"/>
          </w:tcPr>
          <w:p>
            <w:pPr>
              <w:spacing w:after="0"/>
              <w:rPr>
                <w:sz w:val="1"/>
                <w:szCs w:val="1"/>
                <w:color w:val="auto"/>
              </w:rPr>
            </w:pPr>
          </w:p>
        </w:tc>
      </w:tr>
      <w:tr>
        <w:trPr>
          <w:trHeight w:val="214"/>
        </w:trPr>
        <w:tc>
          <w:tcPr>
            <w:tcW w:w="50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(a)</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color w:val="auto"/>
                <w:w w:val="96"/>
              </w:rPr>
              <w:t>(b)</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277"/>
        </w:trPr>
        <w:tc>
          <w:tcPr>
            <w:tcW w:w="5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w:t>
            </w:r>
          </w:p>
        </w:tc>
        <w:tc>
          <w:tcPr>
            <w:tcW w:w="1760" w:type="dxa"/>
            <w:vAlign w:val="bottom"/>
            <w:gridSpan w:val="2"/>
          </w:tcPr>
          <w:p>
            <w:pPr>
              <w:jc w:val="right"/>
              <w:ind w:right="18"/>
              <w:spacing w:after="0"/>
              <w:rPr>
                <w:sz w:val="20"/>
                <w:szCs w:val="20"/>
                <w:color w:val="auto"/>
              </w:rPr>
            </w:pPr>
            <w:r>
              <w:rPr>
                <w:rFonts w:ascii="Times New Roman" w:cs="Times New Roman" w:eastAsia="Times New Roman" w:hAnsi="Times New Roman"/>
                <w:sz w:val="20"/>
                <w:szCs w:val="20"/>
                <w:color w:val="auto"/>
              </w:rPr>
              <w:t>3,391</w:t>
            </w:r>
          </w:p>
        </w:tc>
        <w:tc>
          <w:tcPr>
            <w:tcW w:w="0" w:type="dxa"/>
            <w:vAlign w:val="bottom"/>
          </w:tcPr>
          <w:p>
            <w:pPr>
              <w:spacing w:after="0"/>
              <w:rPr>
                <w:sz w:val="1"/>
                <w:szCs w:val="1"/>
                <w:color w:val="auto"/>
              </w:rPr>
            </w:pPr>
          </w:p>
        </w:tc>
      </w:tr>
      <w:tr>
        <w:trPr>
          <w:trHeight w:val="303"/>
        </w:trPr>
        <w:tc>
          <w:tcPr>
            <w:tcW w:w="5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w:t>
            </w:r>
          </w:p>
        </w:tc>
        <w:tc>
          <w:tcPr>
            <w:tcW w:w="1760" w:type="dxa"/>
            <w:vAlign w:val="bottom"/>
            <w:gridSpan w:val="2"/>
          </w:tcPr>
          <w:p>
            <w:pPr>
              <w:jc w:val="right"/>
              <w:ind w:right="18"/>
              <w:spacing w:after="0"/>
              <w:rPr>
                <w:sz w:val="20"/>
                <w:szCs w:val="20"/>
                <w:color w:val="auto"/>
              </w:rPr>
            </w:pPr>
            <w:r>
              <w:rPr>
                <w:rFonts w:ascii="Times New Roman" w:cs="Times New Roman" w:eastAsia="Times New Roman" w:hAnsi="Times New Roman"/>
                <w:sz w:val="20"/>
                <w:szCs w:val="20"/>
                <w:color w:val="auto"/>
              </w:rPr>
              <w:t>3,391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40500" cy="215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8">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-221615</wp:posOffset>
            </wp:positionV>
            <wp:extent cx="6553200" cy="241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9">
                      <a:extLst>
                        <a:ext uri="{28A0092B-C50C-407E-A947-70E740481C1C}"/>
                      </a:extLst>
                    </a:blip>
                    <a:srcRect/>
                    <a:stretch>
                      <a:fillRect/>
                    </a:stretch>
                  </pic:blipFill>
                  <pic:spPr bwMode="auto">
                    <a:xfrm>
                      <a:off x="0" y="0"/>
                      <a:ext cx="6553200" cy="241300"/>
                    </a:xfrm>
                    <a:prstGeom prst="rect">
                      <a:avLst/>
                    </a:prstGeom>
                    <a:noFill/>
                  </pic:spPr>
                </pic:pic>
              </a:graphicData>
            </a:graphic>
          </wp:anchor>
        </w:drawing>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7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13 of Form 10-K regarding review, approval, or ratification of transactions with related persons is contained in the section entitled “Certain Relationships and Related Transactions” of our definitive proxy statement and, in accordance with General Instruction G to Form 10-K, is hereby incorporated herein by reference.</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13 of Form 10-K regarding director independence is contained in the section entitled “Information about the Directors and the Director Nominees” of our definitive proxy statement and, in accordance with General Instruction G to Form 10-K, is hereby incorporated herein by reference.</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7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14 of Form 10-K concerning our accounting fees and services is contained in the section entitled “Fees Paid to Registered Independent Public Accounting Firm” of our definitive proxy statement and, in accordance with General Instruction G to Form 10-K, is hereby incorporated herein by reference.</w:t>
      </w:r>
    </w:p>
    <w:p>
      <w:pPr>
        <w:sectPr>
          <w:pgSz w:w="12240" w:h="15840" w:orient="portrait"/>
          <w:cols w:equalWidth="0" w:num="1">
            <w:col w:w="10260"/>
          </w:cols>
          <w:pgMar w:left="1000" w:top="786" w:right="980" w:bottom="0" w:gutter="0" w:footer="0" w:header="0"/>
        </w:sect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60"/>
          </w:cols>
          <w:pgMar w:left="1000" w:top="786" w:right="980" w:bottom="0" w:gutter="0" w:footer="0" w:header="0"/>
          <w:type w:val="continuous"/>
        </w:sectPr>
      </w:pPr>
    </w:p>
    <w:bookmarkStart w:id="62" w:name="page63"/>
    <w:bookmarkEnd w:id="62"/>
    <w:p>
      <w:pPr>
        <w:ind w:left="472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 and Financial Statement Schedules</w:t>
      </w:r>
    </w:p>
    <w:p>
      <w:pPr>
        <w:spacing w:after="0" w:line="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Documents Filed as Part of this Report</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1. Financial Statements</w:t>
      </w:r>
    </w:p>
    <w:p>
      <w:pPr>
        <w:spacing w:after="0" w:line="134" w:lineRule="exact"/>
        <w:rPr>
          <w:sz w:val="20"/>
          <w:szCs w:val="20"/>
          <w:color w:val="auto"/>
        </w:rPr>
      </w:pPr>
    </w:p>
    <w:p>
      <w:pPr>
        <w:ind w:left="1440" w:right="140"/>
        <w:spacing w:after="0" w:line="281" w:lineRule="auto"/>
        <w:rPr>
          <w:sz w:val="20"/>
          <w:szCs w:val="20"/>
          <w:color w:val="auto"/>
        </w:rPr>
      </w:pPr>
      <w:r>
        <w:rPr>
          <w:rFonts w:ascii="Times New Roman" w:cs="Times New Roman" w:eastAsia="Times New Roman" w:hAnsi="Times New Roman"/>
          <w:sz w:val="20"/>
          <w:szCs w:val="20"/>
          <w:color w:val="auto"/>
        </w:rPr>
        <w:t>The consolidated financial statements of NN, Inc. filed as part of this Annual Report on Form 10-K begin on the following pages hereof:</w:t>
      </w:r>
    </w:p>
    <w:p>
      <w:pPr>
        <w:spacing w:after="0" w:line="16" w:lineRule="exact"/>
        <w:rPr>
          <w:sz w:val="20"/>
          <w:szCs w:val="20"/>
          <w:color w:val="auto"/>
        </w:rPr>
      </w:pPr>
    </w:p>
    <w:tbl>
      <w:tblPr>
        <w:tblLayout w:type="fixed"/>
        <w:tblInd w:w="1480" w:type="dxa"/>
        <w:tblCellMar>
          <w:top w:w="0" w:type="dxa"/>
          <w:left w:w="0" w:type="dxa"/>
          <w:bottom w:w="0" w:type="dxa"/>
          <w:right w:w="0" w:type="dxa"/>
        </w:tblCellMar>
      </w:tblPr>
      <w:tr>
        <w:trPr>
          <w:trHeight w:val="211"/>
        </w:trPr>
        <w:tc>
          <w:tcPr>
            <w:tcW w:w="7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9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Income (Loss)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bl>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2. Financial Statement Schedules</w:t>
      </w:r>
    </w:p>
    <w:p>
      <w:pPr>
        <w:spacing w:after="0" w:line="1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The required information is reflected in the Notes to Consolidated Financial Statements within Item 8.</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3. Exhibits</w:t>
      </w:r>
    </w:p>
    <w:p>
      <w:pPr>
        <w:spacing w:after="0" w:line="134" w:lineRule="exact"/>
        <w:rPr>
          <w:sz w:val="20"/>
          <w:szCs w:val="20"/>
          <w:color w:val="auto"/>
        </w:rPr>
      </w:pPr>
    </w:p>
    <w:p>
      <w:pPr>
        <w:ind w:left="1440" w:right="100"/>
        <w:spacing w:after="0" w:line="311" w:lineRule="auto"/>
        <w:rPr>
          <w:sz w:val="20"/>
          <w:szCs w:val="20"/>
          <w:color w:val="auto"/>
        </w:rPr>
      </w:pPr>
      <w:r>
        <w:rPr>
          <w:rFonts w:ascii="Times New Roman" w:cs="Times New Roman" w:eastAsia="Times New Roman" w:hAnsi="Times New Roman"/>
          <w:sz w:val="20"/>
          <w:szCs w:val="20"/>
          <w:color w:val="auto"/>
        </w:rPr>
        <w:t>NN, Inc. will provide without charge to any person, upon the written request of such person, a copy of any of the following Exhibits to this Form 10-K.</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r>
      <w:tr>
        <w:trPr>
          <w:trHeight w:val="173"/>
        </w:trPr>
        <w:tc>
          <w:tcPr>
            <w:tcW w:w="960" w:type="dxa"/>
            <w:vAlign w:val="bottom"/>
          </w:tcPr>
          <w:p>
            <w:pPr>
              <w:ind w:left="220"/>
              <w:spacing w:after="0" w:line="173" w:lineRule="exact"/>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27"/>
        </w:trPr>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9"/>
                <w:szCs w:val="19"/>
                <w:color w:val="auto"/>
              </w:rPr>
            </w:pPr>
          </w:p>
        </w:tc>
        <w:tc>
          <w:tcPr>
            <w:tcW w:w="42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9"/>
                <w:szCs w:val="19"/>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SEC File No.</w:t>
            </w:r>
          </w:p>
        </w:tc>
        <w:tc>
          <w:tcPr>
            <w:tcW w:w="80" w:type="dxa"/>
            <w:vAlign w:val="bottom"/>
          </w:tcPr>
          <w:p>
            <w:pPr>
              <w:spacing w:after="0"/>
              <w:rPr>
                <w:sz w:val="19"/>
                <w:szCs w:val="19"/>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204"/>
        </w:trPr>
        <w:tc>
          <w:tcPr>
            <w:tcW w:w="960" w:type="dxa"/>
            <w:vAlign w:val="bottom"/>
          </w:tcPr>
          <w:p>
            <w:pPr>
              <w:ind w:left="180"/>
              <w:spacing w:after="0" w:line="204"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7"/>
                <w:szCs w:val="17"/>
                <w:color w:val="auto"/>
              </w:rPr>
            </w:pPr>
          </w:p>
        </w:tc>
        <w:tc>
          <w:tcPr>
            <w:tcW w:w="4320" w:type="dxa"/>
            <w:vAlign w:val="bottom"/>
            <w:gridSpan w:val="2"/>
          </w:tcPr>
          <w:p>
            <w:pPr>
              <w:ind w:left="60"/>
              <w:spacing w:after="0" w:line="204" w:lineRule="exact"/>
              <w:rPr>
                <w:sz w:val="20"/>
                <w:szCs w:val="20"/>
                <w:color w:val="auto"/>
              </w:rPr>
            </w:pPr>
            <w:r>
              <w:rPr>
                <w:rFonts w:ascii="Times New Roman" w:cs="Times New Roman" w:eastAsia="Times New Roman" w:hAnsi="Times New Roman"/>
                <w:sz w:val="20"/>
                <w:szCs w:val="20"/>
                <w:color w:val="auto"/>
              </w:rPr>
              <w:t>Agreement and Plan of Merger, dated as of July</w:t>
            </w:r>
          </w:p>
        </w:tc>
        <w:tc>
          <w:tcPr>
            <w:tcW w:w="84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line="204" w:lineRule="exact"/>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20"/>
                <w:szCs w:val="20"/>
                <w:color w:val="auto"/>
                <w:w w:val="95"/>
              </w:rPr>
              <w:t>2.1</w:t>
            </w:r>
          </w:p>
        </w:tc>
        <w:tc>
          <w:tcPr>
            <w:tcW w:w="60" w:type="dxa"/>
            <w:vAlign w:val="bottom"/>
          </w:tcPr>
          <w:p>
            <w:pPr>
              <w:spacing w:after="0"/>
              <w:rPr>
                <w:sz w:val="17"/>
                <w:szCs w:val="17"/>
                <w:color w:val="auto"/>
              </w:rPr>
            </w:pPr>
          </w:p>
        </w:tc>
        <w:tc>
          <w:tcPr>
            <w:tcW w:w="174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color w:val="auto"/>
                <w:w w:val="99"/>
              </w:rPr>
              <w:t>July 22, 2014</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18, 2014, by and among NN, Inc., PMC Global</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Acquisition Corporation, Autocam Corporation,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Newport Global Advisors, L.P., and John C.</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Kennedy</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9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Restated Certificate of Incorporation of NN, Inc.</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S-3</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333-89950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6, 2002</w:t>
            </w:r>
          </w:p>
        </w:tc>
      </w:tr>
      <w:tr>
        <w:trPr>
          <w:trHeight w:val="240"/>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0"/>
                <w:szCs w:val="20"/>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Certificate of Amendment to Restated Certificate</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20, 2019</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of Incorporation of NN, Inc. (Declassification).</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0"/>
                <w:szCs w:val="20"/>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Certificate of Amendment to Restated Certificate</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20, 2019</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of Incorporation of NN, Inc. (Share Increase)</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9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4"/>
                <w:szCs w:val="24"/>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Amended and Restated By-Laws of NN, Inc.</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20, 2023</w:t>
            </w:r>
          </w:p>
        </w:tc>
      </w:tr>
      <w:tr>
        <w:trPr>
          <w:trHeight w:val="240"/>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0"/>
                <w:szCs w:val="20"/>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Certificate of Designation of Series D Preferred</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22, 2021</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Stock</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0"/>
                <w:szCs w:val="20"/>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The specimen stock certificate representing NN,</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S-3</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333-89950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6, 2002</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Inc.’s Common Stock, par value $0.01 per share</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0"/>
                <w:szCs w:val="20"/>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Stockholders’ Agreement, effective as of</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2, 2014</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August 29, 2014, by and between NN, Inc. and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John C. Kennedy</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30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 of Common Stock Purchase Warrant</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December 11, 2019</w:t>
            </w:r>
          </w:p>
        </w:tc>
      </w:tr>
      <w:tr>
        <w:trPr>
          <w:trHeight w:val="313"/>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Description of Securities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4.5</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15, 2021</w:t>
            </w:r>
          </w:p>
        </w:tc>
      </w:tr>
      <w:tr>
        <w:trPr>
          <w:trHeight w:val="300"/>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4"/>
                <w:szCs w:val="24"/>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Common Stock Warrant</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22, 2021</w:t>
            </w:r>
          </w:p>
        </w:tc>
      </w:tr>
      <w:tr>
        <w:trPr>
          <w:trHeight w:val="287"/>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4"/>
                <w:szCs w:val="24"/>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Common Stock Purchase Warrant</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7, 2023</w:t>
            </w:r>
          </w:p>
        </w:tc>
      </w:tr>
      <w:tr>
        <w:trPr>
          <w:trHeight w:val="300"/>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 of Indemnification Agreement</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S-3/A</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333-89950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15, 2002</w:t>
            </w:r>
          </w:p>
        </w:tc>
      </w:tr>
      <w:tr>
        <w:trPr>
          <w:trHeight w:val="240"/>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0"/>
                <w:szCs w:val="20"/>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Escrow Agreement, effective as of August 29,</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2, 2014</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2014, by and among NN, Inc., Newport Global</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Advisors, L.P., John C. Kennedy and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Computershare Trust Company, N.A.</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40"/>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0"/>
                <w:szCs w:val="20"/>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Indemnity Agreement, effective as of August 29,</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2, 2014</w:t>
            </w:r>
          </w:p>
        </w:tc>
      </w:tr>
      <w:tr>
        <w:trPr>
          <w:trHeight w:val="222"/>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2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2014, by and among NN, Inc. and each of the</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ind w:left="1080"/>
        <w:spacing w:after="0" w:line="208" w:lineRule="auto"/>
        <w:rPr>
          <w:sz w:val="20"/>
          <w:szCs w:val="20"/>
          <w:color w:val="auto"/>
        </w:rPr>
      </w:pPr>
      <w:r>
        <w:rPr>
          <w:rFonts w:ascii="Times New Roman" w:cs="Times New Roman" w:eastAsia="Times New Roman" w:hAnsi="Times New Roman"/>
          <w:sz w:val="20"/>
          <w:szCs w:val="20"/>
          <w:color w:val="auto"/>
        </w:rPr>
        <w:t>shareholders of Autocam Corporation identified</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therein</w:t>
      </w:r>
    </w:p>
    <w:p>
      <w:pPr>
        <w:sectPr>
          <w:pgSz w:w="12240" w:h="15840" w:orient="portrait"/>
          <w:cols w:equalWidth="0" w:num="1">
            <w:col w:w="10260"/>
          </w:cols>
          <w:pgMar w:left="1000" w:top="786" w:right="980" w:bottom="0" w:gutter="0" w:footer="0" w:header="0"/>
        </w:sect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60"/>
          </w:cols>
          <w:pgMar w:left="1000" w:top="786" w:right="980" w:bottom="0" w:gutter="0" w:footer="0" w:header="0"/>
          <w:type w:val="continuous"/>
        </w:sectPr>
      </w:pPr>
    </w:p>
    <w:bookmarkStart w:id="63" w:name="page64"/>
    <w:bookmarkEnd w:id="63"/>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6"/>
                <w:szCs w:val="16"/>
                <w:color w:val="auto"/>
              </w:rPr>
            </w:pPr>
          </w:p>
        </w:tc>
        <w:tc>
          <w:tcPr>
            <w:tcW w:w="4240" w:type="dxa"/>
            <w:vAlign w:val="bottom"/>
          </w:tcPr>
          <w:p>
            <w:pPr>
              <w:spacing w:after="0"/>
              <w:rPr>
                <w:sz w:val="16"/>
                <w:szCs w:val="16"/>
                <w:color w:val="auto"/>
              </w:rPr>
            </w:pPr>
          </w:p>
        </w:tc>
      </w:tr>
      <w:tr>
        <w:trPr>
          <w:trHeight w:val="227"/>
        </w:trPr>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9"/>
                <w:szCs w:val="19"/>
                <w:color w:val="auto"/>
              </w:rPr>
            </w:pPr>
          </w:p>
        </w:tc>
        <w:tc>
          <w:tcPr>
            <w:tcW w:w="42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264"/>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NN, Inc. 2019 Omnibus Incentive Plan.</w:t>
            </w:r>
          </w:p>
        </w:tc>
      </w:tr>
      <w:tr>
        <w:trPr>
          <w:trHeight w:val="240"/>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Separation Agreement, dated as of April 1, 2017,</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 and between NN, Inc. and D. Gail Nixon.</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Incentive Stock Option Agreement under</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2019 Omnibus Incentive Plan.</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Nonqualified Stock Option Agreement</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under the 2019 Omnibus Incentive Plan.</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Restricted Share Award Agreement under</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2019 Omnibus Incentive Plan.</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Performance Share Unit Award</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under the 2019 Omnibus Incentive</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Plan.</w:t>
            </w:r>
          </w:p>
        </w:tc>
      </w:tr>
      <w:tr>
        <w:trPr>
          <w:trHeight w:val="24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21"/>
                <w:szCs w:val="21"/>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Securities Purchase Agreement, dated March 22,</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2021, by and between NN, Inc. and the NGTV</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Nevada Holdings LP</w:t>
            </w:r>
          </w:p>
        </w:tc>
      </w:tr>
      <w:tr>
        <w:trPr>
          <w:trHeight w:val="24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10.11</w:t>
            </w:r>
          </w:p>
        </w:tc>
        <w:tc>
          <w:tcPr>
            <w:tcW w:w="60" w:type="dxa"/>
            <w:vAlign w:val="bottom"/>
          </w:tcPr>
          <w:p>
            <w:pPr>
              <w:spacing w:after="0"/>
              <w:rPr>
                <w:sz w:val="21"/>
                <w:szCs w:val="21"/>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Board Observer Agreement, dated March 22, 2021,</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by and between NN, Inc. and the NHTV Nevada</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Holdings LP</w:t>
            </w:r>
          </w:p>
        </w:tc>
      </w:tr>
      <w:tr>
        <w:trPr>
          <w:trHeight w:val="24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10.12</w:t>
            </w:r>
          </w:p>
        </w:tc>
        <w:tc>
          <w:tcPr>
            <w:tcW w:w="60" w:type="dxa"/>
            <w:vAlign w:val="bottom"/>
          </w:tcPr>
          <w:p>
            <w:pPr>
              <w:spacing w:after="0"/>
              <w:rPr>
                <w:sz w:val="21"/>
                <w:szCs w:val="21"/>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Term Loan Credit Agreement, dated March 22,</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2021, by and among NN, Inc., as borrower, and</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Oaktree Fund Administration, LLC, as</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administrative agent</w:t>
            </w:r>
          </w:p>
        </w:tc>
      </w:tr>
      <w:tr>
        <w:trPr>
          <w:trHeight w:val="240"/>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10.13</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Credit Agreement, dated March 22, 2021, by and</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among NN, Inc., as borrower, and JPMorgan</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Chase Bank, N.A., as administrative agent</w:t>
            </w:r>
          </w:p>
        </w:tc>
      </w:tr>
      <w:tr>
        <w:trPr>
          <w:trHeight w:val="24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21"/>
                <w:szCs w:val="21"/>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Separation Agreement by and between NN, Inc.</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Michael C. Felcher</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10.15</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 No. 1 to Term Loan Credit</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dated as of March 3, 2022, by and</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among NN, Inc., certain subsidiaries of NN, Inc.,</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the lenders party thereto, and Oaktree Fund</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Administration, LLC, as administrative agent.</w:t>
            </w:r>
          </w:p>
        </w:tc>
      </w:tr>
      <w:tr>
        <w:trPr>
          <w:trHeight w:val="29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10.16*</w:t>
            </w:r>
          </w:p>
        </w:tc>
        <w:tc>
          <w:tcPr>
            <w:tcW w:w="60" w:type="dxa"/>
            <w:vAlign w:val="bottom"/>
          </w:tcPr>
          <w:p>
            <w:pPr>
              <w:spacing w:after="0"/>
              <w:rPr>
                <w:sz w:val="24"/>
                <w:szCs w:val="24"/>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2022 Omnibus Incentive Plan</w:t>
            </w:r>
          </w:p>
        </w:tc>
      </w:tr>
      <w:tr>
        <w:trPr>
          <w:trHeight w:val="443"/>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10.17</w:t>
            </w:r>
          </w:p>
        </w:tc>
        <w:tc>
          <w:tcPr>
            <w:tcW w:w="60" w:type="dxa"/>
            <w:vAlign w:val="bottom"/>
          </w:tcPr>
          <w:p>
            <w:pPr>
              <w:spacing w:after="0"/>
              <w:rPr>
                <w:sz w:val="24"/>
                <w:szCs w:val="24"/>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 No. 2 to Term Loan Credit</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dated as of March 3, 2023, by and</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among NN, Inc., certain subsidiaries of NN, Inc.,</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the lenders party thereto and Oaktree Fund</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Administration, LLC, as administrative agent</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10.18</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 No. 1 to Credit Agreement, dated as</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of March 3, 2023, by and among NN, Inc., certain</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subsidiaries of NN, Inc., the lenders party thereto</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and JPMorgan Chase Bank, N.A., as administrative</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agent</w:t>
            </w:r>
          </w:p>
        </w:tc>
      </w:tr>
      <w:tr>
        <w:trPr>
          <w:trHeight w:val="24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10.19</w:t>
            </w:r>
          </w:p>
        </w:tc>
        <w:tc>
          <w:tcPr>
            <w:tcW w:w="60" w:type="dxa"/>
            <w:vAlign w:val="bottom"/>
          </w:tcPr>
          <w:p>
            <w:pPr>
              <w:spacing w:after="0"/>
              <w:rPr>
                <w:sz w:val="21"/>
                <w:szCs w:val="21"/>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Warrant Letter Agreement, dated as of March 3,</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2023, by and between NN, Inc. and the affiliates of</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Oaktree Capital Management, L.P. party thereto</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10.20*</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Letter of Understanding, dated May 8, 2023, by</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between NN, Inc. and Harold Bevis.</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Restricted Share Award Agreement, by</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between NN, Inc. and Harold Bevis.</w:t>
            </w:r>
          </w:p>
        </w:tc>
      </w:tr>
      <w:tr>
        <w:trPr>
          <w:trHeight w:val="24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10.22*</w:t>
            </w:r>
          </w:p>
        </w:tc>
        <w:tc>
          <w:tcPr>
            <w:tcW w:w="60" w:type="dxa"/>
            <w:vAlign w:val="bottom"/>
          </w:tcPr>
          <w:p>
            <w:pPr>
              <w:spacing w:after="0"/>
              <w:rPr>
                <w:sz w:val="21"/>
                <w:szCs w:val="21"/>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Performance Share Unit Award</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by and between NN, Inc. and Harold</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Bevis.</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10.23*</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Separation Agreement, by and between</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NN, Inc. and Harold Bevis.</w:t>
            </w: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26670</wp:posOffset>
                </wp:positionV>
                <wp:extent cx="31242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4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pt" to="245.5pt,2.1pt" o:allowincell="f" strokecolor="#000000" strokeweight="1pt"/>
            </w:pict>
          </mc:Fallback>
        </mc:AlternateConten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SEC File No.</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26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DEF14A</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Appendix C</w:t>
            </w:r>
          </w:p>
        </w:tc>
        <w:tc>
          <w:tcPr>
            <w:tcW w:w="6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8, 2019</w:t>
            </w:r>
          </w:p>
        </w:tc>
      </w:tr>
      <w:tr>
        <w:trPr>
          <w:trHeight w:val="30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10, 2019</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9, 2019</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9, 2019</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9, 2019</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000-23486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9, 2019</w:t>
            </w:r>
          </w:p>
        </w:tc>
      </w:tr>
      <w:tr>
        <w:trPr>
          <w:trHeight w:val="70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22, 2021</w:t>
            </w:r>
          </w:p>
        </w:tc>
      </w:tr>
      <w:tr>
        <w:trPr>
          <w:trHeight w:val="70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22, 2021</w:t>
            </w:r>
          </w:p>
        </w:tc>
      </w:tr>
      <w:tr>
        <w:trPr>
          <w:trHeight w:val="70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22, 2021</w:t>
            </w:r>
          </w:p>
        </w:tc>
      </w:tr>
      <w:tr>
        <w:trPr>
          <w:trHeight w:val="90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22, 2021</w:t>
            </w:r>
          </w:p>
        </w:tc>
      </w:tr>
      <w:tr>
        <w:trPr>
          <w:trHeight w:val="70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15, 2021</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4, 2022</w:t>
            </w:r>
          </w:p>
        </w:tc>
      </w:tr>
      <w:tr>
        <w:trPr>
          <w:trHeight w:val="103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DEF14A</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Appendix</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15, 2022</w:t>
            </w:r>
          </w:p>
        </w:tc>
      </w:tr>
      <w:tr>
        <w:trPr>
          <w:trHeight w:val="260"/>
        </w:trPr>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A</w:t>
            </w:r>
          </w:p>
        </w:tc>
        <w:tc>
          <w:tcPr>
            <w:tcW w:w="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7, 2023</w:t>
            </w:r>
          </w:p>
        </w:tc>
      </w:tr>
      <w:tr>
        <w:trPr>
          <w:trHeight w:val="10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7, 2023</w:t>
            </w:r>
          </w:p>
        </w:tc>
      </w:tr>
      <w:tr>
        <w:trPr>
          <w:trHeight w:val="10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7, 2023</w:t>
            </w:r>
          </w:p>
        </w:tc>
      </w:tr>
      <w:tr>
        <w:trPr>
          <w:trHeight w:val="70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9, 2023</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9, 2023</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9, 2023</w:t>
            </w:r>
          </w:p>
        </w:tc>
      </w:tr>
      <w:tr>
        <w:trPr>
          <w:trHeight w:val="70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9, 2023</w:t>
            </w:r>
          </w:p>
        </w:tc>
      </w:tr>
    </w:tbl>
    <w:p>
      <w:pPr>
        <w:spacing w:after="0" w:line="408" w:lineRule="exact"/>
        <w:rPr>
          <w:sz w:val="20"/>
          <w:szCs w:val="20"/>
          <w:color w:val="auto"/>
        </w:rPr>
      </w:pPr>
    </w:p>
    <w:p>
      <w:pPr>
        <w:sectPr>
          <w:pgSz w:w="12240" w:h="15840" w:orient="portrait"/>
          <w:cols w:equalWidth="0" w:num="2">
            <w:col w:w="5260" w:space="80"/>
            <w:col w:w="4920"/>
          </w:cols>
          <w:pgMar w:left="1000" w:top="883" w:right="98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60"/>
          </w:cols>
          <w:pgMar w:left="1000" w:top="883" w:right="980" w:bottom="0" w:gutter="0" w:footer="0" w:header="0"/>
          <w:type w:val="continuous"/>
        </w:sectPr>
      </w:pPr>
    </w:p>
    <w:bookmarkStart w:id="64" w:name="page65"/>
    <w:bookmarkEnd w:id="64"/>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6"/>
                <w:szCs w:val="16"/>
                <w:color w:val="auto"/>
              </w:rPr>
            </w:pPr>
          </w:p>
        </w:tc>
        <w:tc>
          <w:tcPr>
            <w:tcW w:w="4240" w:type="dxa"/>
            <w:vAlign w:val="bottom"/>
          </w:tcPr>
          <w:p>
            <w:pPr>
              <w:spacing w:after="0"/>
              <w:rPr>
                <w:sz w:val="16"/>
                <w:szCs w:val="16"/>
                <w:color w:val="auto"/>
              </w:rPr>
            </w:pPr>
          </w:p>
        </w:tc>
      </w:tr>
      <w:tr>
        <w:trPr>
          <w:trHeight w:val="227"/>
        </w:trPr>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9"/>
                <w:szCs w:val="19"/>
                <w:color w:val="auto"/>
              </w:rPr>
            </w:pPr>
          </w:p>
        </w:tc>
        <w:tc>
          <w:tcPr>
            <w:tcW w:w="42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227"/>
        </w:trPr>
        <w:tc>
          <w:tcPr>
            <w:tcW w:w="960" w:type="dxa"/>
            <w:vAlign w:val="bottom"/>
          </w:tcPr>
          <w:p>
            <w:pPr>
              <w:ind w:left="180"/>
              <w:spacing w:after="0" w:line="228" w:lineRule="exact"/>
              <w:rPr>
                <w:sz w:val="20"/>
                <w:szCs w:val="20"/>
                <w:color w:val="auto"/>
              </w:rPr>
            </w:pPr>
            <w:r>
              <w:rPr>
                <w:rFonts w:ascii="Times New Roman" w:cs="Times New Roman" w:eastAsia="Times New Roman" w:hAnsi="Times New Roman"/>
                <w:sz w:val="20"/>
                <w:szCs w:val="20"/>
                <w:color w:val="auto"/>
              </w:rPr>
              <w:t>10.24*</w:t>
            </w:r>
          </w:p>
        </w:tc>
        <w:tc>
          <w:tcPr>
            <w:tcW w:w="60" w:type="dxa"/>
            <w:vAlign w:val="bottom"/>
          </w:tcPr>
          <w:p>
            <w:pPr>
              <w:spacing w:after="0"/>
              <w:rPr>
                <w:sz w:val="19"/>
                <w:szCs w:val="19"/>
                <w:color w:val="auto"/>
              </w:rPr>
            </w:pPr>
          </w:p>
        </w:tc>
        <w:tc>
          <w:tcPr>
            <w:tcW w:w="424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Executive Employment Agreement, effective as of</w:t>
            </w:r>
          </w:p>
        </w:tc>
      </w:tr>
      <w:tr>
        <w:trPr>
          <w:trHeight w:val="224"/>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4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auto"/>
              </w:rPr>
              <w:t>August 10, 2023, by and between NN Canada, Inc.</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Tim French.</w:t>
            </w:r>
          </w:p>
        </w:tc>
      </w:tr>
      <w:tr>
        <w:trPr>
          <w:trHeight w:val="227"/>
        </w:trPr>
        <w:tc>
          <w:tcPr>
            <w:tcW w:w="96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10.25*</w:t>
            </w:r>
          </w:p>
        </w:tc>
        <w:tc>
          <w:tcPr>
            <w:tcW w:w="60" w:type="dxa"/>
            <w:vAlign w:val="bottom"/>
          </w:tcPr>
          <w:p>
            <w:pPr>
              <w:spacing w:after="0"/>
              <w:rPr>
                <w:sz w:val="19"/>
                <w:szCs w:val="19"/>
                <w:color w:val="auto"/>
              </w:rPr>
            </w:pPr>
          </w:p>
        </w:tc>
        <w:tc>
          <w:tcPr>
            <w:tcW w:w="4240" w:type="dxa"/>
            <w:vAlign w:val="bottom"/>
          </w:tcPr>
          <w:p>
            <w:pPr>
              <w:ind w:left="60"/>
              <w:spacing w:after="0" w:line="227" w:lineRule="exact"/>
              <w:rPr>
                <w:sz w:val="20"/>
                <w:szCs w:val="20"/>
                <w:color w:val="auto"/>
              </w:rPr>
            </w:pPr>
            <w:r>
              <w:rPr>
                <w:rFonts w:ascii="Times New Roman" w:cs="Times New Roman" w:eastAsia="Times New Roman" w:hAnsi="Times New Roman"/>
                <w:sz w:val="20"/>
                <w:szCs w:val="20"/>
                <w:color w:val="auto"/>
              </w:rPr>
              <w:t>Form of Restricted Share Award Agreement, by</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between NN, Inc. and Tim French.</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10.26*</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Performance Share Unit Award</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by and between NN, Inc. and Tim</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French.</w:t>
            </w:r>
          </w:p>
        </w:tc>
      </w:tr>
      <w:tr>
        <w:trPr>
          <w:trHeight w:val="24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10.27*</w:t>
            </w:r>
          </w:p>
        </w:tc>
        <w:tc>
          <w:tcPr>
            <w:tcW w:w="60" w:type="dxa"/>
            <w:vAlign w:val="bottom"/>
          </w:tcPr>
          <w:p>
            <w:pPr>
              <w:spacing w:after="0"/>
              <w:rPr>
                <w:sz w:val="21"/>
                <w:szCs w:val="21"/>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Separation Agreement, by and between</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NN Canada, Inc. and Tim French.</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10.28*</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Indemnification Agreement, by and</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between NN Canada, Inc. and Tim French.</w:t>
            </w:r>
          </w:p>
        </w:tc>
      </w:tr>
      <w:tr>
        <w:trPr>
          <w:trHeight w:val="243"/>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10.29*</w:t>
            </w:r>
          </w:p>
        </w:tc>
        <w:tc>
          <w:tcPr>
            <w:tcW w:w="60" w:type="dxa"/>
            <w:vAlign w:val="bottom"/>
          </w:tcPr>
          <w:p>
            <w:pPr>
              <w:spacing w:after="0"/>
              <w:rPr>
                <w:sz w:val="21"/>
                <w:szCs w:val="21"/>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Restricted Share Award Agreement under</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2022 Omnibus Incentive Plan.</w:t>
            </w:r>
          </w:p>
        </w:tc>
      </w:tr>
      <w:tr>
        <w:trPr>
          <w:trHeight w:val="24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10.30*</w:t>
            </w:r>
          </w:p>
        </w:tc>
        <w:tc>
          <w:tcPr>
            <w:tcW w:w="60" w:type="dxa"/>
            <w:vAlign w:val="bottom"/>
          </w:tcPr>
          <w:p>
            <w:pPr>
              <w:spacing w:after="0"/>
              <w:rPr>
                <w:sz w:val="21"/>
                <w:szCs w:val="21"/>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Performance Share Unit Award</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under the 2022 Omnibus Incentive</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Plan.</w:t>
            </w:r>
          </w:p>
        </w:tc>
      </w:tr>
      <w:tr>
        <w:trPr>
          <w:trHeight w:val="24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10.31</w:t>
            </w:r>
          </w:p>
        </w:tc>
        <w:tc>
          <w:tcPr>
            <w:tcW w:w="60" w:type="dxa"/>
            <w:vAlign w:val="bottom"/>
          </w:tcPr>
          <w:p>
            <w:pPr>
              <w:spacing w:after="0"/>
              <w:rPr>
                <w:sz w:val="21"/>
                <w:szCs w:val="21"/>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Purchase and Sale Agreement and Escrow</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dated March 5, 2024, by and between</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NN, Inc. and Tenet Equity Funding SPE III, LLC.</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10.32</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 No. 3 to Term Loan Credit</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dated March 15, 2024, by and among</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NN, Inc., certain subsidiaries of NN, Inc., the</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lenders party thereto and Oaktree Fund</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Administration, LLC, as administrative agent.</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10.33</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 No. 2 to Credit Agreement, dated as</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of March 15, 2024, by and among NN, Inc., certain</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subsidiaries of NN, Inc., the lenders party thereto</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and JPMorgan Chase Bank, N.A., as administrative</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agent.</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10.34*</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NN, Inc. Amended and Restated 2022 Omnibus</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Incentive Plan.</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10.35*</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Consulting Agreement by and between NN, Inc.</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Michael C. Felcher.</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10.36*</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Letter of Understanding by and between NN, Inc.</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Christopher H. Bohnert.</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10.37*</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Restricted Share Award Agreement by and</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between NN, Inc. and Christopher H. Bohnert.</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10.38*</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Performance Share Unit Award Agreement by and</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between NN, Inc. and Christopher H. Bohnert.</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10.39*</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Separation Agreement by and between NN, Inc.</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Christopher H. Bohnert.</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10.40*</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Indemnification Agreement by and between NN,</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 and Christopher H. Bohnert.</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10.41</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 No. 4 to Term Loan Credit</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dated as of August 29, 2024, by and</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among NN, Inc., certain subsidiaries of NN, Inc.,</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the lenders party thereto and Oaktree Fund</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Administration, LLC, as administrative agent.</w:t>
            </w:r>
          </w:p>
        </w:tc>
      </w:tr>
      <w:tr>
        <w:trPr>
          <w:trHeight w:val="235"/>
        </w:trPr>
        <w:tc>
          <w:tcPr>
            <w:tcW w:w="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10.42</w:t>
            </w:r>
          </w:p>
        </w:tc>
        <w:tc>
          <w:tcPr>
            <w:tcW w:w="6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 No. 3 to Credit Agreement, dated as</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of August 29, 2024, by and among NN, Inc.,</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certain subsidiaries of NN, Inc., the lenders party</w:t>
            </w:r>
          </w:p>
        </w:tc>
      </w:tr>
      <w:tr>
        <w:trPr>
          <w:trHeight w:val="200"/>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thereto and JPMorgan Chase Bank, N.A., as</w:t>
            </w:r>
          </w:p>
        </w:tc>
      </w:tr>
      <w:tr>
        <w:trPr>
          <w:trHeight w:val="260"/>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administrative agent.</w:t>
            </w: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26670</wp:posOffset>
                </wp:positionV>
                <wp:extent cx="31242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4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pt" to="245.5pt,2.1pt" o:allowincell="f" strokecolor="#000000" strokeweight="1pt"/>
            </w:pict>
          </mc:Fallback>
        </mc:AlternateConten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SEC File No.</w:t>
            </w:r>
          </w:p>
        </w:tc>
        <w:tc>
          <w:tcPr>
            <w:tcW w:w="80" w:type="dxa"/>
            <w:vAlign w:val="bottom"/>
          </w:tcPr>
          <w:p>
            <w:pPr>
              <w:spacing w:after="0"/>
              <w:rPr>
                <w:sz w:val="18"/>
                <w:szCs w:val="18"/>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26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8, 2023</w:t>
            </w:r>
          </w:p>
        </w:tc>
      </w:tr>
      <w:tr>
        <w:trPr>
          <w:trHeight w:val="73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8, 2023</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8, 2023</w:t>
            </w:r>
          </w:p>
        </w:tc>
      </w:tr>
      <w:tr>
        <w:trPr>
          <w:trHeight w:val="70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8, 2023</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8, 2023</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10.31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12, 2024</w:t>
            </w:r>
          </w:p>
        </w:tc>
      </w:tr>
      <w:tr>
        <w:trPr>
          <w:trHeight w:val="49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10.32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12, 2024</w:t>
            </w:r>
          </w:p>
        </w:tc>
      </w:tr>
      <w:tr>
        <w:trPr>
          <w:trHeight w:val="70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8, 2024</w:t>
            </w:r>
          </w:p>
        </w:tc>
      </w:tr>
      <w:tr>
        <w:trPr>
          <w:trHeight w:val="705"/>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15,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tabs>
          <w:tab w:leader="none" w:pos="1000" w:val="left"/>
          <w:tab w:leader="none" w:pos="2400" w:val="left"/>
          <w:tab w:leader="none" w:pos="340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001-39268</w:t>
      </w:r>
      <w:r>
        <w:rPr>
          <w:sz w:val="20"/>
          <w:szCs w:val="20"/>
          <w:color w:val="auto"/>
        </w:rPr>
        <w:tab/>
      </w: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color w:val="auto"/>
        </w:rPr>
        <w:t>March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DEF14A</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001-39268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Appendix</w:t>
            </w:r>
          </w:p>
        </w:tc>
        <w:tc>
          <w:tcPr>
            <w:tcW w:w="15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8"/>
              </w:rPr>
              <w:t>April 4, 2024</w:t>
            </w:r>
          </w:p>
        </w:tc>
      </w:tr>
      <w:tr>
        <w:trPr>
          <w:trHeight w:val="260"/>
        </w:trPr>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A</w:t>
            </w:r>
          </w:p>
        </w:tc>
        <w:tc>
          <w:tcPr>
            <w:tcW w:w="1520" w:type="dxa"/>
            <w:vAlign w:val="bottom"/>
          </w:tcPr>
          <w:p>
            <w:pPr>
              <w:spacing w:after="0"/>
              <w:rPr>
                <w:sz w:val="22"/>
                <w:szCs w:val="22"/>
                <w:color w:val="auto"/>
              </w:rPr>
            </w:pPr>
          </w:p>
        </w:tc>
      </w:tr>
      <w:tr>
        <w:trPr>
          <w:trHeight w:val="295"/>
        </w:trPr>
        <w:tc>
          <w:tcPr>
            <w:tcW w:w="8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001-39268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52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June 24, 2024</w:t>
            </w:r>
          </w:p>
        </w:tc>
      </w:tr>
      <w:tr>
        <w:trPr>
          <w:trHeight w:val="495"/>
        </w:trPr>
        <w:tc>
          <w:tcPr>
            <w:tcW w:w="8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001-39268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52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June 24, 2024</w:t>
            </w:r>
          </w:p>
        </w:tc>
      </w:tr>
      <w:tr>
        <w:trPr>
          <w:trHeight w:val="495"/>
        </w:trPr>
        <w:tc>
          <w:tcPr>
            <w:tcW w:w="8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001-39268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152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June 24, 2024</w:t>
            </w:r>
          </w:p>
        </w:tc>
      </w:tr>
      <w:tr>
        <w:trPr>
          <w:trHeight w:val="495"/>
        </w:trPr>
        <w:tc>
          <w:tcPr>
            <w:tcW w:w="8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001-39268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152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June 24, 2024</w:t>
            </w:r>
          </w:p>
        </w:tc>
      </w:tr>
      <w:tr>
        <w:trPr>
          <w:trHeight w:val="495"/>
        </w:trPr>
        <w:tc>
          <w:tcPr>
            <w:tcW w:w="8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001-39268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152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June 24, 2024</w:t>
            </w:r>
          </w:p>
        </w:tc>
      </w:tr>
      <w:tr>
        <w:trPr>
          <w:trHeight w:val="495"/>
        </w:trPr>
        <w:tc>
          <w:tcPr>
            <w:tcW w:w="8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001-39268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152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June 24, 2024</w:t>
            </w:r>
          </w:p>
        </w:tc>
      </w:tr>
      <w:tr>
        <w:trPr>
          <w:trHeight w:val="495"/>
        </w:trPr>
        <w:tc>
          <w:tcPr>
            <w:tcW w:w="8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001-39268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5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rPr>
              <w:t>August 30,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tabs>
          <w:tab w:leader="none" w:pos="1000" w:val="left"/>
          <w:tab w:leader="none" w:pos="2400" w:val="left"/>
          <w:tab w:leader="none" w:pos="336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001-39268</w:t>
      </w:r>
      <w:r>
        <w:rPr>
          <w:sz w:val="20"/>
          <w:szCs w:val="20"/>
          <w:color w:val="auto"/>
        </w:rPr>
        <w:tab/>
      </w: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August 30, 2024</w:t>
      </w:r>
    </w:p>
    <w:p>
      <w:pPr>
        <w:spacing w:after="0" w:line="1038" w:lineRule="exact"/>
        <w:rPr>
          <w:sz w:val="20"/>
          <w:szCs w:val="20"/>
          <w:color w:val="auto"/>
        </w:rPr>
      </w:pPr>
    </w:p>
    <w:p>
      <w:pPr>
        <w:sectPr>
          <w:pgSz w:w="12240" w:h="15840" w:orient="portrait"/>
          <w:cols w:equalWidth="0" w:num="2">
            <w:col w:w="5260" w:space="80"/>
            <w:col w:w="4920"/>
          </w:cols>
          <w:pgMar w:left="1000" w:top="88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883" w:right="980" w:bottom="0" w:gutter="0" w:footer="0" w:header="0"/>
          <w:type w:val="continuous"/>
        </w:sectPr>
      </w:pPr>
    </w:p>
    <w:bookmarkStart w:id="65" w:name="page66"/>
    <w:bookmarkEnd w:id="65"/>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22225</wp:posOffset>
                </wp:positionV>
                <wp:extent cx="6096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75pt" to="47.5pt,1.75pt" o:allowincell="f" strokecolor="#000000" strokeweight="1pt"/>
            </w:pict>
          </mc:Fallback>
        </mc:AlternateConten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10.43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Incorporation by Reference</w:t>
            </w:r>
          </w:p>
        </w:tc>
        <w:tc>
          <w:tcPr>
            <w:tcW w:w="1520" w:type="dxa"/>
            <w:vAlign w:val="bottom"/>
            <w:tcBorders>
              <w:bottom w:val="single" w:sz="8" w:color="auto"/>
            </w:tcBorders>
          </w:tcPr>
          <w:p>
            <w:pPr>
              <w:spacing w:after="0"/>
              <w:rPr>
                <w:sz w:val="18"/>
                <w:szCs w:val="18"/>
                <w:color w:val="auto"/>
              </w:rPr>
            </w:pPr>
          </w:p>
        </w:tc>
      </w:tr>
      <w:tr>
        <w:trPr>
          <w:trHeight w:val="400"/>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24"/>
                <w:szCs w:val="24"/>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SEC File No.</w:t>
            </w:r>
          </w:p>
        </w:tc>
        <w:tc>
          <w:tcPr>
            <w:tcW w:w="8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234"/>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9"/>
              </w:rPr>
              <w:t>Revolving Credit and Security Agreement, dated as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001-39268</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20"/>
                <w:szCs w:val="20"/>
                <w:color w:val="auto"/>
                <w:w w:val="99"/>
              </w:rPr>
              <w:t>January 2, 2025</w:t>
            </w:r>
          </w:p>
        </w:tc>
      </w:tr>
    </w:tbl>
    <w:p>
      <w:pPr>
        <w:ind w:left="60"/>
        <w:spacing w:after="0" w:line="208" w:lineRule="auto"/>
        <w:rPr>
          <w:sz w:val="20"/>
          <w:szCs w:val="20"/>
          <w:color w:val="auto"/>
        </w:rPr>
      </w:pPr>
      <w:r>
        <w:rPr>
          <w:rFonts w:ascii="Times New Roman" w:cs="Times New Roman" w:eastAsia="Times New Roman" w:hAnsi="Times New Roman"/>
          <w:sz w:val="20"/>
          <w:szCs w:val="20"/>
          <w:color w:val="auto"/>
        </w:rPr>
        <w:t>of December 30, 2024, by and among NN, Inc.,</w:t>
      </w:r>
    </w:p>
    <w:p>
      <w:pPr>
        <w:ind w:left="60"/>
        <w:spacing w:after="0" w:line="209" w:lineRule="auto"/>
        <w:rPr>
          <w:sz w:val="20"/>
          <w:szCs w:val="20"/>
          <w:color w:val="auto"/>
        </w:rPr>
      </w:pPr>
      <w:r>
        <w:rPr>
          <w:rFonts w:ascii="Times New Roman" w:cs="Times New Roman" w:eastAsia="Times New Roman" w:hAnsi="Times New Roman"/>
          <w:sz w:val="20"/>
          <w:szCs w:val="20"/>
          <w:color w:val="auto"/>
        </w:rPr>
        <w:t>certain subsidiaries of NN, Inc., the lenders party</w:t>
      </w:r>
    </w:p>
    <w:p>
      <w:pPr>
        <w:ind w:left="60"/>
        <w:spacing w:after="0" w:line="209" w:lineRule="auto"/>
        <w:rPr>
          <w:sz w:val="20"/>
          <w:szCs w:val="20"/>
          <w:color w:val="auto"/>
        </w:rPr>
      </w:pPr>
      <w:r>
        <w:rPr>
          <w:rFonts w:ascii="Times New Roman" w:cs="Times New Roman" w:eastAsia="Times New Roman" w:hAnsi="Times New Roman"/>
          <w:sz w:val="20"/>
          <w:szCs w:val="20"/>
          <w:color w:val="auto"/>
        </w:rPr>
        <w:t>thereto and PNC Bank, National Association., as</w:t>
      </w:r>
    </w:p>
    <w:p>
      <w:pPr>
        <w:ind w:left="6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13" w:lineRule="exact"/>
        <w:rPr>
          <w:sz w:val="20"/>
          <w:szCs w:val="20"/>
          <w:color w:val="auto"/>
        </w:rPr>
      </w:pPr>
    </w:p>
    <w:p>
      <w:pPr>
        <w:sectPr>
          <w:pgSz w:w="12240" w:h="15840" w:orient="portrait"/>
          <w:cols w:equalWidth="0" w:num="2">
            <w:col w:w="760" w:space="260"/>
            <w:col w:w="9240"/>
          </w:cols>
          <w:pgMar w:left="1000" w:top="883" w:right="980" w:bottom="0" w:gutter="0" w:footer="0" w:header="0"/>
        </w:sectPr>
      </w:pPr>
    </w:p>
    <w:tbl>
      <w:tblPr>
        <w:tblLayout w:type="fixed"/>
        <w:tblInd w:w="40" w:type="dxa"/>
        <w:tblCellMar>
          <w:top w:w="0" w:type="dxa"/>
          <w:left w:w="0" w:type="dxa"/>
          <w:bottom w:w="0" w:type="dxa"/>
          <w:right w:w="0" w:type="dxa"/>
        </w:tblCellMar>
      </w:tblP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10.44</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Amendment No. 5 to Term Loan Credit</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001-39268</w:t>
            </w: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10.2</w:t>
            </w:r>
          </w:p>
        </w:tc>
        <w:tc>
          <w:tcPr>
            <w:tcW w:w="156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7"/>
              </w:rPr>
              <w:t>January 2, 2025</w:t>
            </w:r>
          </w:p>
        </w:tc>
      </w:tr>
      <w:tr>
        <w:trPr>
          <w:trHeight w:val="200"/>
        </w:trPr>
        <w:tc>
          <w:tcPr>
            <w:tcW w:w="940" w:type="dxa"/>
            <w:vAlign w:val="bottom"/>
          </w:tcPr>
          <w:p>
            <w:pPr>
              <w:spacing w:after="0"/>
              <w:rPr>
                <w:sz w:val="17"/>
                <w:szCs w:val="17"/>
                <w:color w:val="auto"/>
              </w:rPr>
            </w:pPr>
          </w:p>
        </w:tc>
        <w:tc>
          <w:tcPr>
            <w:tcW w:w="44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Agreement, dated as of December 30, 2024, by and</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940" w:type="dxa"/>
            <w:vAlign w:val="bottom"/>
          </w:tcPr>
          <w:p>
            <w:pPr>
              <w:spacing w:after="0"/>
              <w:rPr>
                <w:sz w:val="17"/>
                <w:szCs w:val="17"/>
                <w:color w:val="auto"/>
              </w:rPr>
            </w:pPr>
          </w:p>
        </w:tc>
        <w:tc>
          <w:tcPr>
            <w:tcW w:w="44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between NN, Inc., certain subsidiaries of NN, Inc.</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940" w:type="dxa"/>
            <w:vAlign w:val="bottom"/>
          </w:tcPr>
          <w:p>
            <w:pPr>
              <w:spacing w:after="0"/>
              <w:rPr>
                <w:sz w:val="17"/>
                <w:szCs w:val="17"/>
                <w:color w:val="auto"/>
              </w:rPr>
            </w:pPr>
          </w:p>
        </w:tc>
        <w:tc>
          <w:tcPr>
            <w:tcW w:w="44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and Oaktree Fund Administration, LLC, as</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administrative agent and collateral agent.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19.1#</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NN, Inc. Amended and Restated Insider Trading</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Policy</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0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21.1#</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List of Subsidiaries of NN, Inc.</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23.1#</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Consent of Grant Thornton LLP, Independent</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Registered Public Accounting Firm</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31.1#</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Chief Executive Officer pursuant</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 Section 302 of Sarbanes-Oxley Act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31.2#</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Chief Financial Officer pursuant to</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302 of Sarbanes-Oxley Act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32.1##</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Chief Executive Officer pursuant</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 Section 906 of Sarbanes-Oxley Act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32.2##</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Chief Financial Officer pursuant to</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906 of Sarbanes-Oxley Act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6"/>
        </w:trPr>
        <w:tc>
          <w:tcPr>
            <w:tcW w:w="940" w:type="dxa"/>
            <w:vAlign w:val="bottom"/>
          </w:tcPr>
          <w:p>
            <w:pPr>
              <w:ind w:left="140"/>
              <w:spacing w:after="0" w:line="227" w:lineRule="exact"/>
              <w:rPr>
                <w:sz w:val="20"/>
                <w:szCs w:val="20"/>
                <w:color w:val="auto"/>
              </w:rPr>
            </w:pPr>
            <w:r>
              <w:rPr>
                <w:rFonts w:ascii="Times New Roman" w:cs="Times New Roman" w:eastAsia="Times New Roman" w:hAnsi="Times New Roman"/>
                <w:sz w:val="20"/>
                <w:szCs w:val="20"/>
                <w:color w:val="auto"/>
              </w:rPr>
              <w:t>97.1</w:t>
            </w:r>
          </w:p>
        </w:tc>
        <w:tc>
          <w:tcPr>
            <w:tcW w:w="4400" w:type="dxa"/>
            <w:vAlign w:val="bottom"/>
          </w:tcPr>
          <w:p>
            <w:pPr>
              <w:ind w:left="100"/>
              <w:spacing w:after="0" w:line="227" w:lineRule="exact"/>
              <w:rPr>
                <w:sz w:val="20"/>
                <w:szCs w:val="20"/>
                <w:color w:val="auto"/>
              </w:rPr>
            </w:pPr>
            <w:r>
              <w:rPr>
                <w:rFonts w:ascii="Times New Roman" w:cs="Times New Roman" w:eastAsia="Times New Roman" w:hAnsi="Times New Roman"/>
                <w:sz w:val="20"/>
                <w:szCs w:val="20"/>
                <w:color w:val="auto"/>
              </w:rPr>
              <w:t>Amended and Restated Incentive Compensation</w:t>
            </w:r>
          </w:p>
        </w:tc>
        <w:tc>
          <w:tcPr>
            <w:tcW w:w="78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color w:val="auto"/>
              </w:rPr>
              <w:t>10-K</w:t>
            </w:r>
          </w:p>
        </w:tc>
        <w:tc>
          <w:tcPr>
            <w:tcW w:w="1300" w:type="dxa"/>
            <w:vAlign w:val="bottom"/>
          </w:tcPr>
          <w:p>
            <w:pPr>
              <w:jc w:val="right"/>
              <w:ind w:right="140"/>
              <w:spacing w:after="0" w:line="227" w:lineRule="exact"/>
              <w:rPr>
                <w:sz w:val="20"/>
                <w:szCs w:val="20"/>
                <w:color w:val="auto"/>
              </w:rPr>
            </w:pPr>
            <w:r>
              <w:rPr>
                <w:rFonts w:ascii="Times New Roman" w:cs="Times New Roman" w:eastAsia="Times New Roman" w:hAnsi="Times New Roman"/>
                <w:sz w:val="20"/>
                <w:szCs w:val="20"/>
                <w:color w:val="auto"/>
              </w:rPr>
              <w:t>001-39268</w:t>
            </w:r>
          </w:p>
        </w:tc>
        <w:tc>
          <w:tcPr>
            <w:tcW w:w="1000" w:type="dxa"/>
            <w:vAlign w:val="bottom"/>
          </w:tcPr>
          <w:p>
            <w:pPr>
              <w:jc w:val="right"/>
              <w:ind w:right="200"/>
              <w:spacing w:after="0" w:line="227" w:lineRule="exact"/>
              <w:rPr>
                <w:sz w:val="20"/>
                <w:szCs w:val="20"/>
                <w:color w:val="auto"/>
              </w:rPr>
            </w:pPr>
            <w:r>
              <w:rPr>
                <w:rFonts w:ascii="Times New Roman" w:cs="Times New Roman" w:eastAsia="Times New Roman" w:hAnsi="Times New Roman"/>
                <w:sz w:val="20"/>
                <w:szCs w:val="20"/>
                <w:color w:val="auto"/>
              </w:rPr>
              <w:t>97.10</w:t>
            </w:r>
          </w:p>
        </w:tc>
        <w:tc>
          <w:tcPr>
            <w:tcW w:w="1560" w:type="dxa"/>
            <w:vAlign w:val="bottom"/>
          </w:tcPr>
          <w:p>
            <w:pPr>
              <w:ind w:left="300"/>
              <w:spacing w:after="0" w:line="227" w:lineRule="exact"/>
              <w:rPr>
                <w:sz w:val="20"/>
                <w:szCs w:val="20"/>
                <w:color w:val="auto"/>
              </w:rPr>
            </w:pPr>
            <w:r>
              <w:rPr>
                <w:rFonts w:ascii="Times New Roman" w:cs="Times New Roman" w:eastAsia="Times New Roman" w:hAnsi="Times New Roman"/>
                <w:sz w:val="20"/>
                <w:szCs w:val="20"/>
                <w:color w:val="auto"/>
                <w:w w:val="97"/>
              </w:rPr>
              <w:t>March 12, 2024</w:t>
            </w: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Recoupment Policy</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Instance Document (the instance document</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0"/>
        </w:trPr>
        <w:tc>
          <w:tcPr>
            <w:tcW w:w="940" w:type="dxa"/>
            <w:vAlign w:val="bottom"/>
          </w:tcPr>
          <w:p>
            <w:pPr>
              <w:spacing w:after="0"/>
              <w:rPr>
                <w:sz w:val="17"/>
                <w:szCs w:val="17"/>
                <w:color w:val="auto"/>
              </w:rPr>
            </w:pPr>
          </w:p>
        </w:tc>
        <w:tc>
          <w:tcPr>
            <w:tcW w:w="44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does not appear in the Interactive Data File</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940" w:type="dxa"/>
            <w:vAlign w:val="bottom"/>
          </w:tcPr>
          <w:p>
            <w:pPr>
              <w:spacing w:after="0"/>
              <w:rPr>
                <w:sz w:val="17"/>
                <w:szCs w:val="17"/>
                <w:color w:val="auto"/>
              </w:rPr>
            </w:pPr>
          </w:p>
        </w:tc>
        <w:tc>
          <w:tcPr>
            <w:tcW w:w="44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because its XBRL tags are embedded within the</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document)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0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Taxonomy Extension Schema Document</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Taxonomy Extension Calculation Linkbase</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Taxonomy Extension Label Linkbase</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Taxonomy Extension Presentation Linkbase</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Taxonomy Extension Definition Linkbase</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104#</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Cover Page Interactive Data File (formatted as</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940" w:type="dxa"/>
            <w:vAlign w:val="bottom"/>
          </w:tcPr>
          <w:p>
            <w:pPr>
              <w:spacing w:after="0"/>
              <w:rPr>
                <w:sz w:val="22"/>
                <w:szCs w:val="22"/>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and contained in Exhibit 101)</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232" w:lineRule="exact"/>
        <w:rPr>
          <w:sz w:val="20"/>
          <w:szCs w:val="20"/>
          <w:color w:val="auto"/>
        </w:rPr>
      </w:pPr>
    </w:p>
    <w:p>
      <w:pPr>
        <w:ind w:left="640" w:hanging="597"/>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w:t>
      </w:r>
    </w:p>
    <w:p>
      <w:pPr>
        <w:spacing w:after="0" w:line="83" w:lineRule="exact"/>
        <w:rPr>
          <w:rFonts w:ascii="Times New Roman" w:cs="Times New Roman" w:eastAsia="Times New Roman" w:hAnsi="Times New Roman"/>
          <w:sz w:val="20"/>
          <w:szCs w:val="20"/>
          <w:color w:val="auto"/>
        </w:rPr>
      </w:pPr>
    </w:p>
    <w:p>
      <w:pPr>
        <w:ind w:left="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Filed herewith</w:t>
      </w:r>
    </w:p>
    <w:p>
      <w:pPr>
        <w:spacing w:after="0" w:line="57" w:lineRule="exact"/>
        <w:rPr>
          <w:sz w:val="20"/>
          <w:szCs w:val="20"/>
          <w:color w:val="auto"/>
        </w:rPr>
      </w:pPr>
    </w:p>
    <w:p>
      <w:pPr>
        <w:ind w:left="640" w:right="100" w:hanging="597"/>
        <w:spacing w:after="0" w:line="224" w:lineRule="auto"/>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certification is being furnished solely to accompany this Annual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filings.</w:t>
      </w:r>
    </w:p>
    <w:p>
      <w:pPr>
        <w:spacing w:after="0" w:line="29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60"/>
          </w:cols>
          <w:pgMar w:left="1000" w:top="883"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883" w:right="980" w:bottom="0" w:gutter="0" w:footer="0" w:header="0"/>
          <w:type w:val="continuous"/>
        </w:sectPr>
      </w:pPr>
    </w:p>
    <w:bookmarkStart w:id="66" w:name="page67"/>
    <w:bookmarkEnd w:id="66"/>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36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Harold C. Bevis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473075</wp:posOffset>
                </wp:positionH>
                <wp:positionV relativeFrom="paragraph">
                  <wp:posOffset>26035</wp:posOffset>
                </wp:positionV>
                <wp:extent cx="292417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4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5pt,2.05pt" to="267.5pt,2.05pt" o:allowincell="f" strokecolor="#000000" strokeweight="1pt"/>
            </w:pict>
          </mc:Fallback>
        </mc:AlternateContent>
      </w:r>
    </w:p>
    <w:p>
      <w:pPr>
        <w:spacing w:after="0" w:line="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Harold C. Bevis</w:t>
      </w:r>
    </w:p>
    <w:p>
      <w:pPr>
        <w:spacing w:after="0" w:line="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i w:val="1"/>
          <w:iCs w:val="1"/>
          <w:color w:val="auto"/>
        </w:rPr>
        <w:t>President, Chief Executive Officer and Director</w:t>
      </w:r>
    </w:p>
    <w:p>
      <w:pPr>
        <w:spacing w:after="0" w:line="34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5, 2025</w:t>
      </w:r>
    </w:p>
    <w:p>
      <w:pPr>
        <w:spacing w:after="0" w:line="200" w:lineRule="exact"/>
        <w:rPr>
          <w:sz w:val="20"/>
          <w:szCs w:val="20"/>
          <w:color w:val="auto"/>
        </w:rPr>
      </w:pPr>
    </w:p>
    <w:p>
      <w:pPr>
        <w:spacing w:after="0" w:line="203"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366" w:lineRule="exact"/>
        <w:rPr>
          <w:sz w:val="20"/>
          <w:szCs w:val="20"/>
          <w:color w:val="auto"/>
        </w:rPr>
      </w:pPr>
    </w:p>
    <w:p>
      <w:pPr>
        <w:ind w:left="1080"/>
        <w:spacing w:after="0"/>
        <w:tabs>
          <w:tab w:leader="none" w:pos="5880" w:val="left"/>
          <w:tab w:leader="none" w:pos="9220" w:val="left"/>
        </w:tabs>
        <w:rPr>
          <w:sz w:val="20"/>
          <w:szCs w:val="20"/>
          <w:color w:val="auto"/>
        </w:rPr>
      </w:pPr>
      <w:r>
        <w:rPr>
          <w:rFonts w:ascii="Times New Roman" w:cs="Times New Roman" w:eastAsia="Times New Roman" w:hAnsi="Times New Roman"/>
          <w:sz w:val="16"/>
          <w:szCs w:val="16"/>
          <w:b w:val="1"/>
          <w:bCs w:val="1"/>
          <w:color w:val="auto"/>
        </w:rPr>
        <w:t>Name and Signature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26670</wp:posOffset>
                </wp:positionV>
                <wp:extent cx="232346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3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1pt" to="180.8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2477770</wp:posOffset>
                </wp:positionH>
                <wp:positionV relativeFrom="paragraph">
                  <wp:posOffset>26670</wp:posOffset>
                </wp:positionV>
                <wp:extent cx="27432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1pt,2.1pt" to="411.1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5459095</wp:posOffset>
                </wp:positionH>
                <wp:positionV relativeFrom="paragraph">
                  <wp:posOffset>26670</wp:posOffset>
                </wp:positionV>
                <wp:extent cx="101917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9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85pt,2.1pt" to="510.1pt,2.1pt" o:allowincell="f" strokecolor="#000000" strokeweight="1pt"/>
            </w:pict>
          </mc:Fallback>
        </mc:AlternateContent>
      </w:r>
    </w:p>
    <w:p>
      <w:pPr>
        <w:sectPr>
          <w:pgSz w:w="12240" w:h="15840" w:orient="portrait"/>
          <w:cols w:equalWidth="0" w:num="1">
            <w:col w:w="10100"/>
          </w:cols>
          <w:pgMar w:left="1040" w:top="786" w:right="110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/s/ Harold C. Bevis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27305</wp:posOffset>
                </wp:positionV>
                <wp:extent cx="232346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3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15pt" to="180.85pt,2.15pt" o:allowincell="f" strokecolor="#000000" strokeweight="1pt"/>
            </w:pict>
          </mc:Fallback>
        </mc:AlternateContent>
      </w:r>
    </w:p>
    <w:p>
      <w:pPr>
        <w:spacing w:after="0" w:line="5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Harold C. Bevis</w:t>
      </w:r>
    </w:p>
    <w:p>
      <w:pPr>
        <w:spacing w:after="0" w:line="37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9"/>
          <w:szCs w:val="19"/>
          <w:color w:val="auto"/>
        </w:rPr>
        <w:t>/s/ Christopher H. Bohnert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34290</wp:posOffset>
                </wp:positionV>
                <wp:extent cx="232346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3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7pt" to="180.85pt,2.7pt" o:allowincell="f" strokecolor="#000000" strokeweight="1pt"/>
            </w:pict>
          </mc:Fallback>
        </mc:AlternateContent>
      </w:r>
    </w:p>
    <w:p>
      <w:pPr>
        <w:spacing w:after="0" w:line="77"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Christopher H. Bohnert</w:t>
      </w:r>
    </w:p>
    <w:p>
      <w:pPr>
        <w:spacing w:after="0" w:line="37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/s/ Jeri J. Harman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27305</wp:posOffset>
                </wp:positionV>
                <wp:extent cx="232346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3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15pt" to="180.85pt,2.15pt" o:allowincell="f" strokecolor="#000000" strokeweight="1pt"/>
            </w:pict>
          </mc:Fallback>
        </mc:AlternateContent>
      </w:r>
    </w:p>
    <w:p>
      <w:pPr>
        <w:spacing w:after="0" w:line="5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Jeri J. Harman</w:t>
      </w:r>
    </w:p>
    <w:p>
      <w:pPr>
        <w:spacing w:after="0" w:line="37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/s/ Raynard D. Benvenuti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27305</wp:posOffset>
                </wp:positionV>
                <wp:extent cx="232346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3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15pt" to="180.85pt,2.15pt" o:allowincell="f" strokecolor="#000000" strokeweight="1pt"/>
            </w:pict>
          </mc:Fallback>
        </mc:AlternateContent>
      </w:r>
    </w:p>
    <w:p>
      <w:pPr>
        <w:spacing w:after="0" w:line="3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Raynard D. Benvenuti</w:t>
      </w:r>
    </w:p>
    <w:p>
      <w:pPr>
        <w:spacing w:after="0" w:line="37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/s/ Christina E. Carroll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27305</wp:posOffset>
                </wp:positionV>
                <wp:extent cx="232346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3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15pt" to="180.85pt,2.15pt" o:allowincell="f" strokecolor="#000000" strokeweight="1pt"/>
            </w:pict>
          </mc:Fallback>
        </mc:AlternateContent>
      </w:r>
    </w:p>
    <w:p>
      <w:pPr>
        <w:spacing w:after="0" w:line="5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Christina E. Carroll</w:t>
      </w:r>
    </w:p>
    <w:p>
      <w:pPr>
        <w:spacing w:after="0" w:line="38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/s/ João Faria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27305</wp:posOffset>
                </wp:positionV>
                <wp:extent cx="232346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3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15pt" to="180.85pt,2.15pt" o:allowincell="f" strokecolor="#000000" strokeweight="1pt"/>
            </w:pict>
          </mc:Fallback>
        </mc:AlternateContent>
      </w:r>
    </w:p>
    <w:p>
      <w:pPr>
        <w:spacing w:after="0" w:line="5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João Faria</w:t>
      </w:r>
    </w:p>
    <w:p>
      <w:pPr>
        <w:spacing w:after="0" w:line="37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/s/ Rajeev Gautam,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27305</wp:posOffset>
                </wp:positionV>
                <wp:extent cx="232346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3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15pt" to="180.85pt,2.15pt" o:allowincell="f" strokecolor="#000000" strokeweight="1pt"/>
            </w:pict>
          </mc:Fallback>
        </mc:AlternateContent>
      </w:r>
    </w:p>
    <w:p>
      <w:pPr>
        <w:spacing w:after="0" w:line="5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Rajeev Gautam, Ph.D.</w:t>
      </w:r>
    </w:p>
    <w:p>
      <w:pPr>
        <w:spacing w:after="0" w:line="37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/s/ Thomas H. Wilson,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27305</wp:posOffset>
                </wp:positionV>
                <wp:extent cx="232346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3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15pt" to="180.85pt,2.15pt" o:allowincell="f" strokecolor="#000000" strokeweight="1pt"/>
            </w:pict>
          </mc:Fallback>
        </mc:AlternateContent>
      </w:r>
    </w:p>
    <w:p>
      <w:pPr>
        <w:spacing w:after="0" w:line="5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color w:val="auto"/>
        </w:rPr>
        <w:t>Thomas H. Wilson,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20"/>
          <w:szCs w:val="20"/>
          <w:color w:val="auto"/>
        </w:rPr>
        <w:t>President, Chief Executive Officer and Director</w:t>
      </w:r>
      <w:r>
        <w:rPr>
          <w:sz w:val="20"/>
          <w:szCs w:val="20"/>
          <w:color w:val="auto"/>
        </w:rPr>
        <w:tab/>
      </w:r>
      <w:r>
        <w:rPr>
          <w:rFonts w:ascii="Times New Roman" w:cs="Times New Roman" w:eastAsia="Times New Roman" w:hAnsi="Times New Roman"/>
          <w:sz w:val="19"/>
          <w:szCs w:val="19"/>
          <w:color w:val="auto"/>
        </w:rPr>
        <w:t>March 5, 2025</w:t>
      </w:r>
    </w:p>
    <w:p>
      <w:pPr>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40"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20"/>
          <w:szCs w:val="20"/>
          <w:color w:val="auto"/>
        </w:rPr>
        <w:t>Senior Vice President and Chief Financial Officer</w:t>
      </w:r>
      <w:r>
        <w:rPr>
          <w:sz w:val="20"/>
          <w:szCs w:val="20"/>
          <w:color w:val="auto"/>
        </w:rPr>
        <w:tab/>
      </w:r>
      <w:r>
        <w:rPr>
          <w:rFonts w:ascii="Times New Roman" w:cs="Times New Roman" w:eastAsia="Times New Roman" w:hAnsi="Times New Roman"/>
          <w:sz w:val="19"/>
          <w:szCs w:val="19"/>
          <w:color w:val="auto"/>
        </w:rPr>
        <w:t>March 5, 2025</w:t>
      </w:r>
    </w:p>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200" w:lineRule="exact"/>
        <w:rPr>
          <w:sz w:val="20"/>
          <w:szCs w:val="20"/>
          <w:color w:val="auto"/>
        </w:rPr>
      </w:pPr>
    </w:p>
    <w:p>
      <w:pPr>
        <w:spacing w:after="0" w:line="263"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20"/>
          <w:szCs w:val="20"/>
          <w:color w:val="auto"/>
        </w:rPr>
        <w:t>Non-Executive Chairman, Director</w:t>
      </w:r>
      <w:r>
        <w:rPr>
          <w:sz w:val="20"/>
          <w:szCs w:val="20"/>
          <w:color w:val="auto"/>
        </w:rPr>
        <w:tab/>
      </w:r>
      <w:r>
        <w:rPr>
          <w:rFonts w:ascii="Times New Roman" w:cs="Times New Roman" w:eastAsia="Times New Roman" w:hAnsi="Times New Roman"/>
          <w:sz w:val="19"/>
          <w:szCs w:val="19"/>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March 5, 2025</w:t>
      </w:r>
    </w:p>
    <w:p>
      <w:pPr>
        <w:spacing w:after="0" w:line="524" w:lineRule="exact"/>
        <w:rPr>
          <w:sz w:val="20"/>
          <w:szCs w:val="20"/>
          <w:color w:val="auto"/>
        </w:rPr>
      </w:pPr>
    </w:p>
    <w:p>
      <w:pPr>
        <w:sectPr>
          <w:pgSz w:w="12240" w:h="15840" w:orient="portrait"/>
          <w:cols w:equalWidth="0" w:num="2">
            <w:col w:w="3240" w:space="720"/>
            <w:col w:w="6140"/>
          </w:cols>
          <w:pgMar w:left="1040" w:top="786"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100"/>
          </w:cols>
          <w:pgMar w:left="1040" w:top="786" w:right="1100" w:bottom="0" w:gutter="0" w:footer="0" w:header="0"/>
          <w:type w:val="continuous"/>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17" w:lineRule="exact"/>
        <w:rPr>
          <w:sz w:val="20"/>
          <w:szCs w:val="20"/>
          <w:color w:val="auto"/>
        </w:rPr>
      </w:pPr>
    </w:p>
    <w:p>
      <w:pPr>
        <w:jc w:val="center"/>
        <w:ind w:right="10"/>
        <w:spacing w:after="0" w:line="344" w:lineRule="auto"/>
        <w:rPr>
          <w:sz w:val="20"/>
          <w:szCs w:val="20"/>
          <w:color w:val="auto"/>
        </w:rPr>
      </w:pPr>
      <w:r>
        <w:rPr>
          <w:rFonts w:ascii="Times New Roman" w:cs="Times New Roman" w:eastAsia="Times New Roman" w:hAnsi="Times New Roman"/>
          <w:sz w:val="20"/>
          <w:szCs w:val="20"/>
          <w:color w:val="auto"/>
        </w:rPr>
        <w:t>CERTIFICATION OF PRINCIPAL EXECUTIVE OFFICER PURSUANT TO RULES 13a-14(a) AND 15d-14(a) UNDER THE SECURITIES EXCHANGE ACT OF 1934, AS AMENDED</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 Harold C. Bevis, certify that:</w:t>
      </w:r>
    </w:p>
    <w:p>
      <w:pPr>
        <w:spacing w:after="0" w:line="190" w:lineRule="exact"/>
        <w:rPr>
          <w:sz w:val="20"/>
          <w:szCs w:val="20"/>
          <w:color w:val="auto"/>
        </w:rPr>
      </w:pPr>
    </w:p>
    <w:p>
      <w:pPr>
        <w:ind w:left="370" w:hanging="370"/>
        <w:spacing w:after="0"/>
        <w:tabs>
          <w:tab w:leader="none" w:pos="37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NN, Inc.;</w:t>
      </w:r>
    </w:p>
    <w:p>
      <w:pPr>
        <w:spacing w:after="0" w:line="130" w:lineRule="exact"/>
        <w:rPr>
          <w:rFonts w:ascii="Times New Roman" w:cs="Times New Roman" w:eastAsia="Times New Roman" w:hAnsi="Times New Roman"/>
          <w:sz w:val="20"/>
          <w:szCs w:val="20"/>
          <w:color w:val="auto"/>
        </w:rPr>
      </w:pPr>
    </w:p>
    <w:p>
      <w:pPr>
        <w:ind w:left="370" w:right="100" w:hanging="370"/>
        <w:spacing w:after="0" w:line="266" w:lineRule="auto"/>
        <w:tabs>
          <w:tab w:leader="none" w:pos="37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20"/>
          <w:szCs w:val="20"/>
          <w:color w:val="auto"/>
        </w:rPr>
      </w:pPr>
    </w:p>
    <w:p>
      <w:pPr>
        <w:ind w:left="370" w:right="100" w:hanging="370"/>
        <w:spacing w:after="0" w:line="266" w:lineRule="auto"/>
        <w:tabs>
          <w:tab w:leader="none" w:pos="37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20"/>
          <w:szCs w:val="20"/>
          <w:color w:val="auto"/>
        </w:rPr>
      </w:pPr>
    </w:p>
    <w:p>
      <w:pPr>
        <w:ind w:left="370" w:right="300" w:hanging="370"/>
        <w:spacing w:after="0" w:line="266" w:lineRule="auto"/>
        <w:tabs>
          <w:tab w:leader="none" w:pos="37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20"/>
          <w:szCs w:val="20"/>
          <w:color w:val="auto"/>
        </w:rPr>
      </w:pPr>
    </w:p>
    <w:p>
      <w:pPr>
        <w:ind w:left="1090" w:right="340" w:hanging="370"/>
        <w:spacing w:after="0" w:line="260" w:lineRule="auto"/>
        <w:tabs>
          <w:tab w:leader="none" w:pos="109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20"/>
          <w:szCs w:val="20"/>
          <w:color w:val="auto"/>
        </w:rPr>
      </w:pPr>
    </w:p>
    <w:p>
      <w:pPr>
        <w:ind w:left="1090" w:right="20" w:hanging="370"/>
        <w:spacing w:after="0" w:line="260" w:lineRule="auto"/>
        <w:tabs>
          <w:tab w:leader="none" w:pos="109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Times New Roman" w:cs="Times New Roman" w:eastAsia="Times New Roman" w:hAnsi="Times New Roman"/>
          <w:sz w:val="20"/>
          <w:szCs w:val="20"/>
          <w:color w:val="auto"/>
        </w:rPr>
      </w:pPr>
    </w:p>
    <w:p>
      <w:pPr>
        <w:jc w:val="both"/>
        <w:ind w:left="1090" w:right="160" w:hanging="370"/>
        <w:spacing w:after="0" w:line="266" w:lineRule="auto"/>
        <w:tabs>
          <w:tab w:leader="none" w:pos="109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20"/>
          <w:szCs w:val="20"/>
          <w:color w:val="auto"/>
        </w:rPr>
      </w:pPr>
    </w:p>
    <w:p>
      <w:pPr>
        <w:ind w:left="1090" w:right="40" w:hanging="370"/>
        <w:spacing w:after="0" w:line="260" w:lineRule="auto"/>
        <w:tabs>
          <w:tab w:leader="none" w:pos="109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3" w:lineRule="exact"/>
        <w:rPr>
          <w:rFonts w:ascii="Times New Roman" w:cs="Times New Roman" w:eastAsia="Times New Roman" w:hAnsi="Times New Roman"/>
          <w:sz w:val="20"/>
          <w:szCs w:val="20"/>
          <w:color w:val="auto"/>
        </w:rPr>
      </w:pPr>
    </w:p>
    <w:p>
      <w:pPr>
        <w:ind w:left="370" w:right="220" w:hanging="370"/>
        <w:spacing w:after="0" w:line="266" w:lineRule="auto"/>
        <w:tabs>
          <w:tab w:leader="none" w:pos="37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20"/>
          <w:szCs w:val="20"/>
          <w:color w:val="auto"/>
        </w:rPr>
      </w:pPr>
    </w:p>
    <w:p>
      <w:pPr>
        <w:ind w:left="1090" w:right="100" w:hanging="370"/>
        <w:spacing w:after="0" w:line="266" w:lineRule="auto"/>
        <w:tabs>
          <w:tab w:leader="none" w:pos="109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Times New Roman" w:cs="Times New Roman" w:eastAsia="Times New Roman" w:hAnsi="Times New Roman"/>
          <w:sz w:val="20"/>
          <w:szCs w:val="20"/>
          <w:color w:val="auto"/>
        </w:rPr>
      </w:pPr>
    </w:p>
    <w:p>
      <w:pPr>
        <w:ind w:left="1090" w:right="200" w:hanging="370"/>
        <w:spacing w:after="0" w:line="281" w:lineRule="auto"/>
        <w:tabs>
          <w:tab w:leader="none" w:pos="109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ind w:left="50"/>
        <w:spacing w:after="0"/>
        <w:tabs>
          <w:tab w:leader="none" w:pos="5170" w:val="left"/>
        </w:tabs>
        <w:rPr>
          <w:sz w:val="20"/>
          <w:szCs w:val="20"/>
          <w:color w:val="auto"/>
        </w:rPr>
      </w:pPr>
      <w:r>
        <w:rPr>
          <w:rFonts w:ascii="Times New Roman" w:cs="Times New Roman" w:eastAsia="Times New Roman" w:hAnsi="Times New Roman"/>
          <w:sz w:val="20"/>
          <w:szCs w:val="20"/>
          <w:color w:val="auto"/>
        </w:rPr>
        <w:t>Date: March 5, 2025</w:t>
      </w:r>
      <w:r>
        <w:rPr>
          <w:sz w:val="20"/>
          <w:szCs w:val="20"/>
          <w:color w:val="auto"/>
        </w:rPr>
        <w:tab/>
      </w:r>
      <w:r>
        <w:rPr>
          <w:rFonts w:ascii="Times New Roman" w:cs="Times New Roman" w:eastAsia="Times New Roman" w:hAnsi="Times New Roman"/>
          <w:sz w:val="20"/>
          <w:szCs w:val="20"/>
          <w:color w:val="auto"/>
        </w:rPr>
        <w:t>/s/ Harold C. Bevis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3267075</wp:posOffset>
                </wp:positionH>
                <wp:positionV relativeFrom="paragraph">
                  <wp:posOffset>35560</wp:posOffset>
                </wp:positionV>
                <wp:extent cx="324802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8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25pt,2.8pt" to="513pt,2.8pt" o:allowincell="f" strokecolor="#000000" strokeweight="1pt"/>
            </w:pict>
          </mc:Fallback>
        </mc:AlternateContent>
      </w:r>
    </w:p>
    <w:p>
      <w:pPr>
        <w:spacing w:after="0" w:line="50" w:lineRule="exact"/>
        <w:rPr>
          <w:sz w:val="20"/>
          <w:szCs w:val="20"/>
          <w:color w:val="auto"/>
        </w:rPr>
      </w:pPr>
    </w:p>
    <w:p>
      <w:pPr>
        <w:ind w:left="5190"/>
        <w:spacing w:after="0"/>
        <w:rPr>
          <w:sz w:val="20"/>
          <w:szCs w:val="20"/>
          <w:color w:val="auto"/>
        </w:rPr>
      </w:pPr>
      <w:r>
        <w:rPr>
          <w:rFonts w:ascii="Times New Roman" w:cs="Times New Roman" w:eastAsia="Times New Roman" w:hAnsi="Times New Roman"/>
          <w:sz w:val="20"/>
          <w:szCs w:val="20"/>
          <w:color w:val="auto"/>
        </w:rPr>
        <w:t>Harold C. Bevis</w:t>
      </w:r>
    </w:p>
    <w:p>
      <w:pPr>
        <w:spacing w:after="0" w:line="70" w:lineRule="exact"/>
        <w:rPr>
          <w:sz w:val="20"/>
          <w:szCs w:val="20"/>
          <w:color w:val="auto"/>
        </w:rPr>
      </w:pPr>
    </w:p>
    <w:p>
      <w:pPr>
        <w:ind w:left="519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p>
      <w:pPr>
        <w:spacing w:after="0" w:line="85" w:lineRule="exact"/>
        <w:rPr>
          <w:sz w:val="20"/>
          <w:szCs w:val="20"/>
          <w:color w:val="auto"/>
        </w:rPr>
      </w:pPr>
    </w:p>
    <w:p>
      <w:pPr>
        <w:ind w:left="519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2240" w:h="15840" w:orient="portrait"/>
          <w:cols w:equalWidth="0" w:num="1">
            <w:col w:w="10270"/>
          </w:cols>
          <w:pgMar w:left="990" w:top="786" w:right="98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317" w:lineRule="exact"/>
        <w:rPr>
          <w:sz w:val="20"/>
          <w:szCs w:val="20"/>
          <w:color w:val="auto"/>
        </w:rPr>
      </w:pPr>
    </w:p>
    <w:p>
      <w:pPr>
        <w:jc w:val="center"/>
        <w:ind w:right="10"/>
        <w:spacing w:after="0" w:line="344" w:lineRule="auto"/>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UNDER THE SECURITIES EXCHANGE ACT OF 1934, AS AMENDED</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 Christopher H. Bohnert, certify that:</w:t>
      </w:r>
    </w:p>
    <w:p>
      <w:pPr>
        <w:spacing w:after="0" w:line="190" w:lineRule="exact"/>
        <w:rPr>
          <w:sz w:val="20"/>
          <w:szCs w:val="20"/>
          <w:color w:val="auto"/>
        </w:rPr>
      </w:pPr>
    </w:p>
    <w:p>
      <w:pPr>
        <w:ind w:left="370" w:hanging="370"/>
        <w:spacing w:after="0"/>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NN, Inc.;</w:t>
      </w:r>
    </w:p>
    <w:p>
      <w:pPr>
        <w:spacing w:after="0" w:line="130" w:lineRule="exact"/>
        <w:rPr>
          <w:rFonts w:ascii="Times New Roman" w:cs="Times New Roman" w:eastAsia="Times New Roman" w:hAnsi="Times New Roman"/>
          <w:sz w:val="20"/>
          <w:szCs w:val="20"/>
          <w:color w:val="auto"/>
        </w:rPr>
      </w:pPr>
    </w:p>
    <w:p>
      <w:pPr>
        <w:ind w:left="370" w:right="100" w:hanging="370"/>
        <w:spacing w:after="0" w:line="266" w:lineRule="auto"/>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20"/>
          <w:szCs w:val="20"/>
          <w:color w:val="auto"/>
        </w:rPr>
      </w:pPr>
    </w:p>
    <w:p>
      <w:pPr>
        <w:ind w:left="370" w:right="100" w:hanging="370"/>
        <w:spacing w:after="0" w:line="266" w:lineRule="auto"/>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20"/>
          <w:szCs w:val="20"/>
          <w:color w:val="auto"/>
        </w:rPr>
      </w:pPr>
    </w:p>
    <w:p>
      <w:pPr>
        <w:ind w:left="370" w:right="300" w:hanging="370"/>
        <w:spacing w:after="0" w:line="266" w:lineRule="auto"/>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20"/>
          <w:szCs w:val="20"/>
          <w:color w:val="auto"/>
        </w:rPr>
      </w:pPr>
    </w:p>
    <w:p>
      <w:pPr>
        <w:ind w:left="1090" w:right="340" w:hanging="370"/>
        <w:spacing w:after="0" w:line="260" w:lineRule="auto"/>
        <w:tabs>
          <w:tab w:leader="none" w:pos="109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20"/>
          <w:szCs w:val="20"/>
          <w:color w:val="auto"/>
        </w:rPr>
      </w:pPr>
    </w:p>
    <w:p>
      <w:pPr>
        <w:ind w:left="1090" w:right="20" w:hanging="370"/>
        <w:spacing w:after="0" w:line="260" w:lineRule="auto"/>
        <w:tabs>
          <w:tab w:leader="none" w:pos="109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Times New Roman" w:cs="Times New Roman" w:eastAsia="Times New Roman" w:hAnsi="Times New Roman"/>
          <w:sz w:val="20"/>
          <w:szCs w:val="20"/>
          <w:color w:val="auto"/>
        </w:rPr>
      </w:pPr>
    </w:p>
    <w:p>
      <w:pPr>
        <w:jc w:val="both"/>
        <w:ind w:left="1090" w:right="160" w:hanging="370"/>
        <w:spacing w:after="0" w:line="266" w:lineRule="auto"/>
        <w:tabs>
          <w:tab w:leader="none" w:pos="109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20"/>
          <w:szCs w:val="20"/>
          <w:color w:val="auto"/>
        </w:rPr>
      </w:pPr>
    </w:p>
    <w:p>
      <w:pPr>
        <w:ind w:left="1090" w:right="40" w:hanging="370"/>
        <w:spacing w:after="0" w:line="260" w:lineRule="auto"/>
        <w:tabs>
          <w:tab w:leader="none" w:pos="109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3" w:lineRule="exact"/>
        <w:rPr>
          <w:rFonts w:ascii="Times New Roman" w:cs="Times New Roman" w:eastAsia="Times New Roman" w:hAnsi="Times New Roman"/>
          <w:sz w:val="20"/>
          <w:szCs w:val="20"/>
          <w:color w:val="auto"/>
        </w:rPr>
      </w:pPr>
    </w:p>
    <w:p>
      <w:pPr>
        <w:ind w:left="370" w:right="220" w:hanging="370"/>
        <w:spacing w:after="0" w:line="266" w:lineRule="auto"/>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20"/>
          <w:szCs w:val="20"/>
          <w:color w:val="auto"/>
        </w:rPr>
      </w:pPr>
    </w:p>
    <w:p>
      <w:pPr>
        <w:ind w:left="1090" w:right="100" w:hanging="370"/>
        <w:spacing w:after="0" w:line="266" w:lineRule="auto"/>
        <w:tabs>
          <w:tab w:leader="none" w:pos="109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Times New Roman" w:cs="Times New Roman" w:eastAsia="Times New Roman" w:hAnsi="Times New Roman"/>
          <w:sz w:val="20"/>
          <w:szCs w:val="20"/>
          <w:color w:val="auto"/>
        </w:rPr>
      </w:pPr>
    </w:p>
    <w:p>
      <w:pPr>
        <w:ind w:left="1090" w:right="200" w:hanging="370"/>
        <w:spacing w:after="0" w:line="281" w:lineRule="auto"/>
        <w:tabs>
          <w:tab w:leader="none" w:pos="109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ind w:left="50"/>
        <w:spacing w:after="0"/>
        <w:tabs>
          <w:tab w:leader="none" w:pos="5190" w:val="left"/>
        </w:tabs>
        <w:rPr>
          <w:sz w:val="20"/>
          <w:szCs w:val="20"/>
          <w:color w:val="auto"/>
        </w:rPr>
      </w:pPr>
      <w:r>
        <w:rPr>
          <w:rFonts w:ascii="Times New Roman" w:cs="Times New Roman" w:eastAsia="Times New Roman" w:hAnsi="Times New Roman"/>
          <w:sz w:val="20"/>
          <w:szCs w:val="20"/>
          <w:color w:val="auto"/>
        </w:rPr>
        <w:t>Date: March 5, 2025</w:t>
      </w:r>
      <w:r>
        <w:rPr>
          <w:sz w:val="20"/>
          <w:szCs w:val="20"/>
          <w:color w:val="auto"/>
        </w:rPr>
        <w:tab/>
      </w:r>
      <w:r>
        <w:rPr>
          <w:rFonts w:ascii="Times New Roman" w:cs="Times New Roman" w:eastAsia="Times New Roman" w:hAnsi="Times New Roman"/>
          <w:sz w:val="19"/>
          <w:szCs w:val="19"/>
          <w:color w:val="auto"/>
        </w:rPr>
        <w:t>/s/ Christopher H. Bohnert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3276600</wp:posOffset>
                </wp:positionH>
                <wp:positionV relativeFrom="paragraph">
                  <wp:posOffset>35560</wp:posOffset>
                </wp:positionV>
                <wp:extent cx="32385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8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2.8pt" to="513pt,2.8pt" o:allowincell="f" strokecolor="#000000" strokeweight="1pt"/>
            </w:pict>
          </mc:Fallback>
        </mc:AlternateContent>
      </w:r>
    </w:p>
    <w:p>
      <w:pPr>
        <w:spacing w:after="0" w:line="50" w:lineRule="exact"/>
        <w:rPr>
          <w:sz w:val="20"/>
          <w:szCs w:val="20"/>
          <w:color w:val="auto"/>
        </w:rPr>
      </w:pPr>
    </w:p>
    <w:p>
      <w:pPr>
        <w:ind w:left="5210"/>
        <w:spacing w:after="0"/>
        <w:rPr>
          <w:sz w:val="20"/>
          <w:szCs w:val="20"/>
          <w:color w:val="auto"/>
        </w:rPr>
      </w:pPr>
      <w:r>
        <w:rPr>
          <w:rFonts w:ascii="Times New Roman" w:cs="Times New Roman" w:eastAsia="Times New Roman" w:hAnsi="Times New Roman"/>
          <w:sz w:val="20"/>
          <w:szCs w:val="20"/>
          <w:color w:val="auto"/>
        </w:rPr>
        <w:t>Christopher H. Bohnert</w:t>
      </w:r>
    </w:p>
    <w:p>
      <w:pPr>
        <w:spacing w:after="0" w:line="68" w:lineRule="exact"/>
        <w:rPr>
          <w:sz w:val="20"/>
          <w:szCs w:val="20"/>
          <w:color w:val="auto"/>
        </w:rPr>
      </w:pPr>
    </w:p>
    <w:p>
      <w:pPr>
        <w:ind w:left="521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p>
      <w:pPr>
        <w:spacing w:after="0" w:line="70" w:lineRule="exact"/>
        <w:rPr>
          <w:sz w:val="20"/>
          <w:szCs w:val="20"/>
          <w:color w:val="auto"/>
        </w:rPr>
      </w:pPr>
    </w:p>
    <w:p>
      <w:pPr>
        <w:ind w:left="521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2240" w:h="15840" w:orient="portrait"/>
          <w:cols w:equalWidth="0" w:num="1">
            <w:col w:w="10270"/>
          </w:cols>
          <w:pgMar w:left="990" w:top="786" w:right="980"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PRINCIPAL EXECUTIVE OFFICER PURSUANT</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SECTION 906 OF THE SARBANES-OXLEY ACT OF 2002</w:t>
      </w:r>
    </w:p>
    <w:p>
      <w:pPr>
        <w:spacing w:after="0" w:line="3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connection with the Annual Report of NN, Inc. (the “Company”) on Form 10-K for the annual period ended December 31, 2024,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5160" w:val="left"/>
        </w:tabs>
        <w:rPr>
          <w:sz w:val="20"/>
          <w:szCs w:val="20"/>
          <w:color w:val="auto"/>
        </w:rPr>
      </w:pPr>
      <w:r>
        <w:rPr>
          <w:rFonts w:ascii="Times New Roman" w:cs="Times New Roman" w:eastAsia="Times New Roman" w:hAnsi="Times New Roman"/>
          <w:sz w:val="20"/>
          <w:szCs w:val="20"/>
          <w:color w:val="auto"/>
        </w:rPr>
        <w:t>Date: March 5, 2025</w:t>
      </w:r>
      <w:r>
        <w:rPr>
          <w:sz w:val="20"/>
          <w:szCs w:val="20"/>
          <w:color w:val="auto"/>
        </w:rPr>
        <w:tab/>
      </w:r>
      <w:r>
        <w:rPr>
          <w:rFonts w:ascii="Times New Roman" w:cs="Times New Roman" w:eastAsia="Times New Roman" w:hAnsi="Times New Roman"/>
          <w:sz w:val="20"/>
          <w:szCs w:val="20"/>
          <w:color w:val="auto"/>
        </w:rPr>
        <w:t>/s/ Harold C. Bevis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3260725</wp:posOffset>
                </wp:positionH>
                <wp:positionV relativeFrom="paragraph">
                  <wp:posOffset>35560</wp:posOffset>
                </wp:positionV>
                <wp:extent cx="324802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8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75pt,2.8pt" to="512.5pt,2.8pt" o:allowincell="f" strokecolor="#000000" strokeweight="1pt"/>
            </w:pict>
          </mc:Fallback>
        </mc:AlternateContent>
      </w:r>
    </w:p>
    <w:p>
      <w:pPr>
        <w:spacing w:after="0" w:line="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Harold C. Bevis</w:t>
      </w:r>
    </w:p>
    <w:p>
      <w:pPr>
        <w:spacing w:after="0" w:line="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p>
      <w:pPr>
        <w:spacing w:after="0" w:line="8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2240" w:h="15840" w:orient="portrait"/>
          <w:cols w:equalWidth="0" w:num="1">
            <w:col w:w="10260"/>
          </w:cols>
          <w:pgMar w:left="1000" w:top="786" w:right="98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PRINCIPAL FINANCIAL OFFICER PURSUANT</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SECTION 906 OF THE SARBANES-OXLEY ACT OF 2002</w:t>
      </w:r>
    </w:p>
    <w:p>
      <w:pPr>
        <w:spacing w:after="0" w:line="3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connection with the Annual Report of NN, Inc. (the “Company”) on Form 10-K for the annual period ended December 31, 2024,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0"/>
          <w:szCs w:val="20"/>
          <w:color w:val="auto"/>
        </w:rPr>
        <w:t>Date: March 5, 2025</w:t>
      </w:r>
      <w:r>
        <w:rPr>
          <w:sz w:val="20"/>
          <w:szCs w:val="20"/>
          <w:color w:val="auto"/>
        </w:rPr>
        <w:tab/>
      </w:r>
      <w:r>
        <w:rPr>
          <w:rFonts w:ascii="Times New Roman" w:cs="Times New Roman" w:eastAsia="Times New Roman" w:hAnsi="Times New Roman"/>
          <w:sz w:val="19"/>
          <w:szCs w:val="19"/>
          <w:color w:val="auto"/>
        </w:rPr>
        <w:t>/s/ Christopher H. Bohnert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3270250</wp:posOffset>
                </wp:positionH>
                <wp:positionV relativeFrom="paragraph">
                  <wp:posOffset>35560</wp:posOffset>
                </wp:positionV>
                <wp:extent cx="32385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8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5pt,2.8pt" to="512.5pt,2.8pt" o:allowincell="f" strokecolor="#000000" strokeweight="1pt"/>
            </w:pict>
          </mc:Fallback>
        </mc:AlternateContent>
      </w:r>
    </w:p>
    <w:p>
      <w:pPr>
        <w:spacing w:after="0" w:line="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Christopher H. Bohnert</w:t>
      </w:r>
    </w:p>
    <w:p>
      <w:pPr>
        <w:spacing w:after="0" w:line="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p>
      <w:pPr>
        <w:spacing w:after="0" w:line="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2240" w:h="15840" w:orient="portrait"/>
          <w:cols w:equalWidth="0" w:num="1">
            <w:col w:w="10260"/>
          </w:cols>
          <w:pgMar w:left="1000" w:top="786" w:right="980" w:bottom="1440" w:gutter="0" w:footer="0" w:header="0"/>
        </w:sectPr>
      </w:pPr>
    </w:p>
    <w:bookmarkStart w:id="71" w:name="page72"/>
    <w:bookmarkEnd w:id="71"/>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lvl w:ilvl="1">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2025-04-08T19:52:22Z</dcterms:created>
  <dcterms:modified xsi:type="dcterms:W3CDTF">2025-04-08T19:52:22Z</dcterms:modified>
</cp:coreProperties>
</file>