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980" w:type="dxa"/>
        <w:tblCellMar>
          <w:top w:w="0" w:type="dxa"/>
          <w:left w:w="0" w:type="dxa"/>
          <w:bottom w:w="0" w:type="dxa"/>
          <w:right w:w="0" w:type="dxa"/>
        </w:tblCellMar>
      </w:tblPr>
      <w:tr>
        <w:trPr>
          <w:trHeight w:val="207"/>
        </w:trPr>
        <w:tc>
          <w:tcPr>
            <w:tcW w:w="3900" w:type="dxa"/>
            <w:vAlign w:val="bottom"/>
            <w:gridSpan w:val="2"/>
          </w:tcPr>
          <w:p>
            <w:pPr>
              <w:ind w:left="1580"/>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to</w:t>
            </w:r>
          </w:p>
        </w:tc>
        <w:tc>
          <w:tcPr>
            <w:tcW w:w="88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97"/>
        </w:trPr>
        <w:tc>
          <w:tcPr>
            <w:tcW w:w="73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Commission File Number 0-23486</w:t>
            </w:r>
          </w:p>
        </w:tc>
      </w:tr>
      <w:tr>
        <w:trPr>
          <w:trHeight w:val="164"/>
        </w:trPr>
        <w:tc>
          <w:tcPr>
            <w:tcW w:w="25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560"/>
        </w:trPr>
        <w:tc>
          <w:tcPr>
            <w:tcW w:w="2540" w:type="dxa"/>
            <w:vAlign w:val="bottom"/>
          </w:tcPr>
          <w:p>
            <w:pPr>
              <w:spacing w:after="0"/>
              <w:rPr>
                <w:sz w:val="24"/>
                <w:szCs w:val="24"/>
                <w:color w:val="auto"/>
              </w:rPr>
            </w:pPr>
          </w:p>
        </w:tc>
        <w:tc>
          <w:tcPr>
            <w:tcW w:w="2240" w:type="dxa"/>
            <w:vAlign w:val="bottom"/>
            <w:gridSpan w:val="2"/>
          </w:tcPr>
          <w:p>
            <w:pPr>
              <w:jc w:val="center"/>
              <w:ind w:left="9"/>
              <w:spacing w:after="0"/>
              <w:rPr>
                <w:sz w:val="20"/>
                <w:szCs w:val="20"/>
                <w:color w:val="auto"/>
              </w:rPr>
            </w:pPr>
            <w:r>
              <w:rPr>
                <w:rFonts w:ascii="Arial" w:cs="Arial" w:eastAsia="Arial" w:hAnsi="Arial"/>
                <w:sz w:val="43"/>
                <w:szCs w:val="43"/>
                <w:b w:val="1"/>
                <w:bCs w:val="1"/>
                <w:color w:val="auto"/>
                <w:w w:val="96"/>
              </w:rPr>
              <w:t>NN, Inc.</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8"/>
        </w:trPr>
        <w:tc>
          <w:tcPr>
            <w:tcW w:w="7380" w:type="dxa"/>
            <w:vAlign w:val="bottom"/>
            <w:gridSpan w:val="7"/>
          </w:tcPr>
          <w:p>
            <w:pPr>
              <w:jc w:val="center"/>
              <w:ind w:left="19"/>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25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05"/>
        </w:trPr>
        <w:tc>
          <w:tcPr>
            <w:tcW w:w="4780" w:type="dxa"/>
            <w:vAlign w:val="bottom"/>
            <w:gridSpan w:val="3"/>
          </w:tcPr>
          <w:p>
            <w:pPr>
              <w:jc w:val="center"/>
              <w:ind w:right="3000"/>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gridSpan w:val="4"/>
          </w:tcPr>
          <w:p>
            <w:pPr>
              <w:jc w:val="center"/>
              <w:ind w:left="1152"/>
              <w:spacing w:after="0"/>
              <w:rPr>
                <w:sz w:val="20"/>
                <w:szCs w:val="20"/>
                <w:color w:val="auto"/>
              </w:rPr>
            </w:pPr>
            <w:r>
              <w:rPr>
                <w:rFonts w:ascii="Arial" w:cs="Arial" w:eastAsia="Arial" w:hAnsi="Arial"/>
                <w:sz w:val="18"/>
                <w:szCs w:val="18"/>
                <w:b w:val="1"/>
                <w:bCs w:val="1"/>
                <w:color w:val="auto"/>
                <w:w w:val="87"/>
              </w:rPr>
              <w:t>62-1096725</w:t>
            </w:r>
          </w:p>
        </w:tc>
      </w:tr>
      <w:tr>
        <w:trPr>
          <w:trHeight w:val="149"/>
        </w:trPr>
        <w:tc>
          <w:tcPr>
            <w:tcW w:w="4780" w:type="dxa"/>
            <w:vAlign w:val="bottom"/>
            <w:gridSpan w:val="3"/>
          </w:tcPr>
          <w:p>
            <w:pPr>
              <w:jc w:val="center"/>
              <w:ind w:right="30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780" w:type="dxa"/>
            <w:vAlign w:val="bottom"/>
            <w:gridSpan w:val="3"/>
          </w:tcPr>
          <w:p>
            <w:pPr>
              <w:jc w:val="center"/>
              <w:ind w:right="3020"/>
              <w:spacing w:after="0"/>
              <w:rPr>
                <w:sz w:val="20"/>
                <w:szCs w:val="20"/>
                <w:color w:val="auto"/>
              </w:rPr>
            </w:pPr>
            <w:r>
              <w:rPr>
                <w:rFonts w:ascii="Arial" w:cs="Arial" w:eastAsia="Arial" w:hAnsi="Arial"/>
                <w:sz w:val="14"/>
                <w:szCs w:val="14"/>
                <w:b w:val="1"/>
                <w:bCs w:val="1"/>
                <w:color w:val="auto"/>
                <w:w w:val="88"/>
              </w:rPr>
              <w:t>incorporation or organization)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jc w:val="center"/>
              <w:ind w:left="92"/>
              <w:spacing w:after="0"/>
              <w:rPr>
                <w:sz w:val="20"/>
                <w:szCs w:val="20"/>
                <w:color w:val="auto"/>
              </w:rPr>
            </w:pPr>
            <w:r>
              <w:rPr>
                <w:rFonts w:ascii="Arial" w:cs="Arial" w:eastAsia="Arial" w:hAnsi="Arial"/>
                <w:sz w:val="14"/>
                <w:szCs w:val="14"/>
                <w:b w:val="1"/>
                <w:bCs w:val="1"/>
                <w:color w:val="auto"/>
                <w:w w:val="90"/>
              </w:rPr>
              <w:t>Identification Number)</w:t>
            </w:r>
          </w:p>
        </w:tc>
      </w:tr>
      <w:tr>
        <w:trPr>
          <w:trHeight w:val="364"/>
        </w:trPr>
        <w:tc>
          <w:tcPr>
            <w:tcW w:w="2540" w:type="dxa"/>
            <w:vAlign w:val="bottom"/>
          </w:tcPr>
          <w:p>
            <w:pPr>
              <w:spacing w:after="0"/>
              <w:rPr>
                <w:sz w:val="24"/>
                <w:szCs w:val="24"/>
                <w:color w:val="auto"/>
              </w:rPr>
            </w:pPr>
          </w:p>
        </w:tc>
        <w:tc>
          <w:tcPr>
            <w:tcW w:w="2240" w:type="dxa"/>
            <w:vAlign w:val="bottom"/>
            <w:gridSpan w:val="2"/>
          </w:tcPr>
          <w:p>
            <w:pPr>
              <w:jc w:val="center"/>
              <w:ind w:left="9"/>
              <w:spacing w:after="0"/>
              <w:rPr>
                <w:sz w:val="20"/>
                <w:szCs w:val="20"/>
                <w:color w:val="auto"/>
              </w:rPr>
            </w:pPr>
            <w:r>
              <w:rPr>
                <w:rFonts w:ascii="Arial" w:cs="Arial" w:eastAsia="Arial" w:hAnsi="Arial"/>
                <w:sz w:val="18"/>
                <w:szCs w:val="18"/>
                <w:b w:val="1"/>
                <w:bCs w:val="1"/>
                <w:color w:val="auto"/>
                <w:w w:val="89"/>
              </w:rPr>
              <w:t>2000 Waters Edge Drive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8"/>
        </w:trPr>
        <w:tc>
          <w:tcPr>
            <w:tcW w:w="2540" w:type="dxa"/>
            <w:vAlign w:val="bottom"/>
          </w:tcPr>
          <w:p>
            <w:pPr>
              <w:spacing w:after="0"/>
              <w:rPr>
                <w:sz w:val="19"/>
                <w:szCs w:val="19"/>
                <w:color w:val="auto"/>
              </w:rPr>
            </w:pPr>
          </w:p>
        </w:tc>
        <w:tc>
          <w:tcPr>
            <w:tcW w:w="2240" w:type="dxa"/>
            <w:vAlign w:val="bottom"/>
            <w:gridSpan w:val="2"/>
          </w:tcPr>
          <w:p>
            <w:pPr>
              <w:jc w:val="center"/>
              <w:ind w:left="9"/>
              <w:spacing w:after="0"/>
              <w:rPr>
                <w:sz w:val="20"/>
                <w:szCs w:val="20"/>
                <w:color w:val="auto"/>
              </w:rPr>
            </w:pPr>
            <w:r>
              <w:rPr>
                <w:rFonts w:ascii="Arial" w:cs="Arial" w:eastAsia="Arial" w:hAnsi="Arial"/>
                <w:sz w:val="18"/>
                <w:szCs w:val="18"/>
                <w:b w:val="1"/>
                <w:bCs w:val="1"/>
                <w:color w:val="auto"/>
                <w:w w:val="88"/>
              </w:rPr>
              <w:t>Building C, Suite 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4, 2011, there were 16,948,632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60" w:type="dxa"/>
            <w:vAlign w:val="bottom"/>
            <w:gridSpan w:val="7"/>
          </w:tcPr>
          <w:p>
            <w:pPr>
              <w:jc w:val="center"/>
              <w:ind w:right="4760"/>
              <w:spacing w:after="0"/>
              <w:rPr>
                <w:sz w:val="20"/>
                <w:szCs w:val="20"/>
                <w:color w:val="auto"/>
              </w:rPr>
            </w:pPr>
            <w:r>
              <w:rPr>
                <w:rFonts w:ascii="Arial" w:cs="Arial" w:eastAsia="Arial" w:hAnsi="Arial"/>
                <w:sz w:val="18"/>
                <w:szCs w:val="18"/>
                <w:b w:val="1"/>
                <w:bCs w:val="1"/>
                <w:color w:val="auto"/>
                <w:w w:val="92"/>
              </w:rPr>
              <w:t>NN, Inc.</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60" w:type="dxa"/>
            <w:vAlign w:val="bottom"/>
            <w:gridSpan w:val="7"/>
          </w:tcPr>
          <w:p>
            <w:pPr>
              <w:jc w:val="center"/>
              <w:ind w:right="474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82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Page No.</w:t>
            </w:r>
          </w:p>
        </w:tc>
        <w:tc>
          <w:tcPr>
            <w:tcW w:w="0" w:type="dxa"/>
            <w:vAlign w:val="bottom"/>
          </w:tcPr>
          <w:p>
            <w:pPr>
              <w:spacing w:after="0"/>
              <w:rPr>
                <w:sz w:val="1"/>
                <w:szCs w:val="1"/>
                <w:color w:val="auto"/>
              </w:rPr>
            </w:pPr>
          </w:p>
        </w:tc>
      </w:tr>
      <w:tr>
        <w:trPr>
          <w:trHeight w:val="156"/>
        </w:trPr>
        <w:tc>
          <w:tcPr>
            <w:tcW w:w="10820" w:type="dxa"/>
            <w:vAlign w:val="bottom"/>
            <w:gridSpan w:val="22"/>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18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Income and Comprehensive Income (Loss) for the three and nine months ended September</w:t>
              </w:r>
            </w:hyperlink>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30, 2011 and 2010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September 30, 2011 and December 31, 2010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Changes in Stockholders’ Equity for the nine months ended September 30, 2011 (unaudited)</w:t>
              </w:r>
            </w:hyperlink>
          </w:p>
        </w:tc>
        <w:tc>
          <w:tcPr>
            <w:tcW w:w="48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nine months ended September 30, 2011 and 2010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22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Management’s Discussion and Analysis of Financial Condition and Results of Operations</w:t>
              </w:r>
            </w:hyperlink>
          </w:p>
        </w:tc>
        <w:tc>
          <w:tcPr>
            <w:tcW w:w="34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550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4"/>
              </w:rPr>
            </w:pPr>
            <w:hyperlink w:anchor="page25">
              <w:r>
                <w:rPr>
                  <w:rFonts w:ascii="Arial" w:cs="Arial" w:eastAsia="Arial" w:hAnsi="Arial"/>
                  <w:sz w:val="18"/>
                  <w:szCs w:val="18"/>
                  <w:b w:val="1"/>
                  <w:bCs w:val="1"/>
                  <w:color w:val="0000EE"/>
                  <w:w w:val="94"/>
                </w:rPr>
                <w:t>Part II. Other Information</w:t>
              </w:r>
            </w:hyperlink>
          </w:p>
        </w:tc>
        <w:tc>
          <w:tcPr>
            <w:tcW w:w="880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Legal Proceedings</w:t>
              </w:r>
            </w:hyperlink>
          </w:p>
        </w:tc>
        <w:tc>
          <w:tcPr>
            <w:tcW w:w="840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Risk Factors</w:t>
              </w:r>
            </w:hyperlink>
          </w:p>
        </w:tc>
        <w:tc>
          <w:tcPr>
            <w:tcW w:w="882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Unregistered Sales of Equity Securities and Use of Proceeds</w:t>
              </w:r>
            </w:hyperlink>
          </w:p>
        </w:tc>
        <w:tc>
          <w:tcPr>
            <w:tcW w:w="546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70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(Removed and Reserved)</w:t>
              </w:r>
            </w:hyperlink>
          </w:p>
        </w:tc>
        <w:tc>
          <w:tcPr>
            <w:tcW w:w="480" w:type="dxa"/>
            <w:vAlign w:val="bottom"/>
            <w:tcBorders>
              <w:top w:val="single" w:sz="8" w:color="0000EE"/>
            </w:tcBorders>
            <w:gridSpan w:val="2"/>
          </w:tcPr>
          <w:p>
            <w:pPr>
              <w:spacing w:after="0"/>
              <w:rPr>
                <w:sz w:val="17"/>
                <w:szCs w:val="17"/>
                <w:color w:val="auto"/>
              </w:rPr>
            </w:pPr>
          </w:p>
        </w:tc>
        <w:tc>
          <w:tcPr>
            <w:tcW w:w="744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Other Information</w:t>
              </w:r>
            </w:hyperlink>
          </w:p>
        </w:tc>
        <w:tc>
          <w:tcPr>
            <w:tcW w:w="842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70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gridSpan w:val="14"/>
          </w:tcPr>
          <w:p>
            <w:pPr>
              <w:jc w:val="center"/>
              <w:ind w:left="4372"/>
              <w:spacing w:after="0"/>
              <w:rPr>
                <w:sz w:val="20"/>
                <w:szCs w:val="20"/>
                <w:color w:val="auto"/>
              </w:rPr>
            </w:pPr>
            <w:r>
              <w:rPr>
                <w:rFonts w:ascii="Arial" w:cs="Arial" w:eastAsia="Arial" w:hAnsi="Arial"/>
                <w:sz w:val="18"/>
                <w:szCs w:val="18"/>
                <w:color w:val="auto"/>
                <w:w w:val="79"/>
              </w:rPr>
              <w:t>1</w:t>
            </w: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4"/>
        </w:trPr>
        <w:tc>
          <w:tcPr>
            <w:tcW w:w="770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100" w:type="dxa"/>
            <w:vAlign w:val="bottom"/>
          </w:tcPr>
          <w:p>
            <w:pPr>
              <w:spacing w:after="0"/>
              <w:rPr>
                <w:sz w:val="15"/>
                <w:szCs w:val="15"/>
                <w:color w:val="auto"/>
              </w:rPr>
            </w:pPr>
          </w:p>
        </w:tc>
        <w:tc>
          <w:tcPr>
            <w:tcW w:w="17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7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4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101,143</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90,996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328,371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269,029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83,575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75,066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268,530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12,624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deconsolidation of bankrupt subsidiary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70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Write-off of unamortized debt issuance costs</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20,920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16,034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9,825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770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00" w:type="dxa"/>
            <w:vAlign w:val="bottom"/>
            <w:gridSpan w:val="3"/>
          </w:tcPr>
          <w:p>
            <w:pPr>
              <w:spacing w:after="0"/>
              <w:rPr>
                <w:sz w:val="20"/>
                <w:szCs w:val="20"/>
                <w:color w:val="auto"/>
              </w:rPr>
            </w:pPr>
            <w:r>
              <w:rPr>
                <w:rFonts w:ascii="Arial" w:cs="Arial" w:eastAsia="Arial" w:hAnsi="Arial"/>
                <w:sz w:val="18"/>
                <w:szCs w:val="18"/>
                <w:color w:val="auto"/>
              </w:rPr>
              <w:t>Basic income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00" w:type="dxa"/>
            <w:vAlign w:val="bottom"/>
            <w:gridSpan w:val="3"/>
          </w:tcPr>
          <w:p>
            <w:pPr>
              <w:spacing w:after="0"/>
              <w:rPr>
                <w:sz w:val="20"/>
                <w:szCs w:val="20"/>
                <w:color w:val="auto"/>
              </w:rPr>
            </w:pPr>
            <w:r>
              <w:rPr>
                <w:rFonts w:ascii="Arial" w:cs="Arial" w:eastAsia="Arial" w:hAnsi="Arial"/>
                <w:sz w:val="18"/>
                <w:szCs w:val="18"/>
                <w:color w:val="auto"/>
              </w:rPr>
              <w:t>Diluted income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944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2"/>
                <w:szCs w:val="12"/>
                <w:color w:val="auto"/>
              </w:rPr>
            </w:pPr>
          </w:p>
        </w:tc>
        <w:tc>
          <w:tcPr>
            <w:tcW w:w="56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4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4"/>
              <w:spacing w:after="0" w:line="114" w:lineRule="exact"/>
              <w:rPr>
                <w:sz w:val="20"/>
                <w:szCs w:val="20"/>
                <w:color w:val="auto"/>
              </w:rPr>
            </w:pPr>
            <w:r>
              <w:rPr>
                <w:rFonts w:ascii="Arial" w:cs="Arial" w:eastAsia="Arial" w:hAnsi="Arial"/>
                <w:sz w:val="12"/>
                <w:szCs w:val="12"/>
                <w:b w:val="1"/>
                <w:bCs w:val="1"/>
                <w:color w:val="auto"/>
              </w:rPr>
              <w:t>2011</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14"/>
              <w:spacing w:after="0" w:line="114" w:lineRule="exact"/>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4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$382 and $478, respectively</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72,988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43,867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5,657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134,593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4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119,782</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118,488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Intangible asset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268,978</w:t>
            </w:r>
          </w:p>
        </w:tc>
        <w:tc>
          <w:tcPr>
            <w:tcW w:w="5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248,555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45,980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12,605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75,275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81,129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170,373</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98,605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gridSpan w:val="3"/>
            <w:vMerge w:val="continue"/>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268,978</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248,555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6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9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gridSpan w:val="2"/>
            <w:vMerge w:val="restart"/>
          </w:tcPr>
          <w:p>
            <w:pPr>
              <w:ind w:left="40"/>
              <w:spacing w:after="0"/>
              <w:rPr>
                <w:sz w:val="20"/>
                <w:szCs w:val="20"/>
                <w:color w:val="auto"/>
              </w:rPr>
            </w:pPr>
            <w:r>
              <w:rPr>
                <w:rFonts w:ascii="Arial" w:cs="Arial" w:eastAsia="Arial" w:hAnsi="Arial"/>
                <w:sz w:val="14"/>
                <w:szCs w:val="14"/>
                <w:color w:val="auto"/>
              </w:rPr>
              <w:t>(In Thousands of Dollars and Shares)</w:t>
            </w:r>
          </w:p>
        </w:tc>
        <w:tc>
          <w:tcPr>
            <w:tcW w:w="82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Par</w:t>
            </w:r>
          </w:p>
        </w:tc>
        <w:tc>
          <w:tcPr>
            <w:tcW w:w="300" w:type="dxa"/>
            <w:vAlign w:val="bottom"/>
          </w:tcPr>
          <w:p>
            <w:pPr>
              <w:spacing w:after="0"/>
              <w:rPr>
                <w:sz w:val="11"/>
                <w:szCs w:val="11"/>
                <w:color w:val="auto"/>
              </w:rPr>
            </w:pPr>
          </w:p>
        </w:tc>
        <w:tc>
          <w:tcPr>
            <w:tcW w:w="9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Paid in</w:t>
            </w: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Retained</w:t>
            </w:r>
          </w:p>
        </w:tc>
        <w:tc>
          <w:tcPr>
            <w:tcW w:w="300" w:type="dxa"/>
            <w:vAlign w:val="bottom"/>
          </w:tcPr>
          <w:p>
            <w:pPr>
              <w:spacing w:after="0"/>
              <w:rPr>
                <w:sz w:val="11"/>
                <w:szCs w:val="11"/>
                <w:color w:val="auto"/>
              </w:rPr>
            </w:pPr>
          </w:p>
        </w:tc>
        <w:tc>
          <w:tcPr>
            <w:tcW w:w="122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80" w:type="dxa"/>
            <w:vAlign w:val="bottom"/>
            <w:gridSpan w:val="2"/>
            <w:vMerge w:val="continue"/>
          </w:tcPr>
          <w:p>
            <w:pPr>
              <w:spacing w:after="0"/>
              <w:rPr>
                <w:sz w:val="11"/>
                <w:szCs w:val="11"/>
                <w:color w:val="auto"/>
              </w:rPr>
            </w:pPr>
          </w:p>
        </w:tc>
        <w:tc>
          <w:tcPr>
            <w:tcW w:w="820" w:type="dxa"/>
            <w:vAlign w:val="bottom"/>
            <w:gridSpan w:val="2"/>
          </w:tcPr>
          <w:p>
            <w:pPr>
              <w:jc w:val="right"/>
              <w:ind w:right="300"/>
              <w:spacing w:after="0" w:line="114" w:lineRule="exact"/>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1"/>
                <w:szCs w:val="11"/>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2"/>
                <w:szCs w:val="12"/>
                <w:b w:val="1"/>
                <w:bCs w:val="1"/>
                <w:color w:val="auto"/>
                <w:w w:val="99"/>
              </w:rPr>
              <w:t>Value</w:t>
            </w:r>
          </w:p>
        </w:tc>
        <w:tc>
          <w:tcPr>
            <w:tcW w:w="940" w:type="dxa"/>
            <w:vAlign w:val="bottom"/>
            <w:gridSpan w:val="2"/>
          </w:tcPr>
          <w:p>
            <w:pPr>
              <w:jc w:val="center"/>
              <w:ind w:right="300"/>
              <w:spacing w:after="0" w:line="114" w:lineRule="exact"/>
              <w:rPr>
                <w:sz w:val="20"/>
                <w:szCs w:val="20"/>
                <w:color w:val="auto"/>
              </w:rPr>
            </w:pPr>
            <w:r>
              <w:rPr>
                <w:rFonts w:ascii="Arial" w:cs="Arial" w:eastAsia="Arial" w:hAnsi="Arial"/>
                <w:sz w:val="12"/>
                <w:szCs w:val="12"/>
                <w:b w:val="1"/>
                <w:bCs w:val="1"/>
                <w:color w:val="auto"/>
              </w:rPr>
              <w:t>Capital</w:t>
            </w:r>
          </w:p>
        </w:tc>
        <w:tc>
          <w:tcPr>
            <w:tcW w:w="580" w:type="dxa"/>
            <w:vAlign w:val="bottom"/>
            <w:gridSpan w:val="2"/>
          </w:tcPr>
          <w:p>
            <w:pPr>
              <w:jc w:val="right"/>
              <w:spacing w:after="0" w:line="114" w:lineRule="exact"/>
              <w:rPr>
                <w:sz w:val="20"/>
                <w:szCs w:val="20"/>
                <w:color w:val="auto"/>
              </w:rPr>
            </w:pPr>
            <w:r>
              <w:rPr>
                <w:rFonts w:ascii="Arial" w:cs="Arial" w:eastAsia="Arial" w:hAnsi="Arial"/>
                <w:sz w:val="12"/>
                <w:szCs w:val="12"/>
                <w:b w:val="1"/>
                <w:bCs w:val="1"/>
                <w:color w:val="auto"/>
              </w:rPr>
              <w:t>Earnings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480"/>
              <w:spacing w:after="0" w:line="114" w:lineRule="exact"/>
              <w:rPr>
                <w:sz w:val="20"/>
                <w:szCs w:val="20"/>
                <w:color w:val="auto"/>
              </w:rPr>
            </w:pPr>
            <w:r>
              <w:rPr>
                <w:rFonts w:ascii="Arial" w:cs="Arial" w:eastAsia="Arial" w:hAnsi="Arial"/>
                <w:sz w:val="12"/>
                <w:szCs w:val="12"/>
                <w:b w:val="1"/>
                <w:bCs w:val="1"/>
                <w:color w:val="auto"/>
              </w:rPr>
              <w:t>Income</w:t>
            </w:r>
          </w:p>
        </w:tc>
        <w:tc>
          <w:tcPr>
            <w:tcW w:w="720" w:type="dxa"/>
            <w:vAlign w:val="bottom"/>
            <w:gridSpan w:val="2"/>
          </w:tcPr>
          <w:p>
            <w:pPr>
              <w:ind w:left="160"/>
              <w:spacing w:after="0" w:line="114"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January 1, 2011</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$ 167</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$ 51,863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6,675</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19,402</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$ 78,107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16,034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Shares issued for options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Stock option expense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stock expense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gain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16,949</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$ 169</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$ 54,713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22,709</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$ 98,605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95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8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9580" w:type="dxa"/>
            <w:vAlign w:val="bottom"/>
            <w:gridSpan w:val="3"/>
            <w:vMerge w:val="continue"/>
          </w:tcPr>
          <w:p>
            <w:pPr>
              <w:spacing w:after="0"/>
              <w:rPr>
                <w:sz w:val="12"/>
                <w:szCs w:val="12"/>
                <w:color w:val="auto"/>
              </w:rPr>
            </w:pPr>
          </w:p>
        </w:tc>
        <w:tc>
          <w:tcPr>
            <w:tcW w:w="6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8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$ 16,034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86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12,624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860"/>
              <w:spacing w:after="0"/>
              <w:rPr>
                <w:sz w:val="20"/>
                <w:szCs w:val="20"/>
                <w:color w:val="auto"/>
              </w:rPr>
            </w:pPr>
            <w:r>
              <w:rPr>
                <w:rFonts w:ascii="Arial" w:cs="Arial" w:eastAsia="Arial" w:hAnsi="Arial"/>
                <w:sz w:val="18"/>
                <w:szCs w:val="18"/>
                <w:color w:val="auto"/>
              </w:rPr>
              <w:t>Write-off of unamortized debt issuance cost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loss on disposal of assets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860"/>
              <w:spacing w:after="0"/>
              <w:rPr>
                <w:sz w:val="20"/>
                <w:szCs w:val="20"/>
                <w:color w:val="auto"/>
              </w:rPr>
            </w:pPr>
            <w:r>
              <w:rPr>
                <w:rFonts w:ascii="Arial" w:cs="Arial" w:eastAsia="Arial" w:hAnsi="Arial"/>
                <w:sz w:val="18"/>
                <w:szCs w:val="18"/>
                <w:color w:val="auto"/>
              </w:rPr>
              <w:t>Non-cash gain from deconsolidation of bankrupt subsidiary</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860"/>
              <w:spacing w:after="0"/>
              <w:rPr>
                <w:sz w:val="20"/>
                <w:szCs w:val="20"/>
                <w:color w:val="auto"/>
              </w:rPr>
            </w:pPr>
            <w:r>
              <w:rPr>
                <w:rFonts w:ascii="Arial" w:cs="Arial" w:eastAsia="Arial" w:hAnsi="Arial"/>
                <w:sz w:val="18"/>
                <w:szCs w:val="18"/>
                <w:color w:val="auto"/>
              </w:rPr>
              <w:t>Non-cash interest income from long-term note receivable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1280"/>
              <w:spacing w:after="0"/>
              <w:rPr>
                <w:sz w:val="20"/>
                <w:szCs w:val="20"/>
                <w:color w:val="auto"/>
              </w:rPr>
            </w:pPr>
            <w:r>
              <w:rPr>
                <w:rFonts w:ascii="Arial" w:cs="Arial" w:eastAsia="Arial" w:hAnsi="Arial"/>
                <w:sz w:val="18"/>
                <w:szCs w:val="18"/>
                <w:color w:val="auto"/>
              </w:rPr>
              <w:t>Accounts receivable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(12,696)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128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(8,319)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Other assets and liabilities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(14,829)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lost on deconsolidation of Eltmann subsidiary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Proceeds from disposals of property, plant and equipment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investing activities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330"/>
        </w:trPr>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(repayment) of short-term debt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Principal payment on capital lease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(repayment) of long term debt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stock</w:t>
            </w:r>
          </w:p>
        </w:tc>
        <w:tc>
          <w:tcPr>
            <w:tcW w:w="660" w:type="dxa"/>
            <w:vAlign w:val="bottom"/>
          </w:tcPr>
          <w:p>
            <w:pPr>
              <w:jc w:val="right"/>
              <w:spacing w:after="0"/>
              <w:rPr>
                <w:sz w:val="20"/>
                <w:szCs w:val="20"/>
                <w:color w:val="auto"/>
              </w:rPr>
            </w:pPr>
            <w:r>
              <w:rPr>
                <w:rFonts w:ascii="Arial" w:cs="Arial" w:eastAsia="Arial" w:hAnsi="Arial"/>
                <w:sz w:val="18"/>
                <w:szCs w:val="18"/>
                <w:color w:val="auto"/>
              </w:rPr>
              <w:t>2,383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issuance costs paid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100" w:type="dxa"/>
            <w:vAlign w:val="bottom"/>
            <w:vMerge w:val="restart"/>
          </w:tcPr>
          <w:p>
            <w:pPr>
              <w:ind w:left="260"/>
              <w:spacing w:after="0"/>
              <w:rPr>
                <w:sz w:val="20"/>
                <w:szCs w:val="20"/>
                <w:color w:val="auto"/>
              </w:rPr>
            </w:pPr>
            <w:r>
              <w:rPr>
                <w:rFonts w:ascii="Arial" w:cs="Arial" w:eastAsia="Arial" w:hAnsi="Arial"/>
                <w:sz w:val="18"/>
                <w:szCs w:val="18"/>
                <w:color w:val="auto"/>
              </w:rPr>
              <w:t>Net cash (used) provided by financing activities</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10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322"/>
        </w:trPr>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Net Change in Cash</w:t>
            </w:r>
          </w:p>
        </w:tc>
        <w:tc>
          <w:tcPr>
            <w:tcW w:w="660" w:type="dxa"/>
            <w:vAlign w:val="bottom"/>
          </w:tcPr>
          <w:p>
            <w:pPr>
              <w:jc w:val="right"/>
              <w:spacing w:after="0"/>
              <w:rPr>
                <w:sz w:val="20"/>
                <w:szCs w:val="20"/>
                <w:color w:val="auto"/>
              </w:rPr>
            </w:pPr>
            <w:r>
              <w:rPr>
                <w:rFonts w:ascii="Arial" w:cs="Arial" w:eastAsia="Arial" w:hAnsi="Arial"/>
                <w:sz w:val="18"/>
                <w:szCs w:val="18"/>
                <w:color w:val="auto"/>
              </w:rPr>
              <w:t>6,525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Cash at End of Period</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$ 12,081</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amounts were deconsolidated from the Condensed Consolidated Balance Sheet of NN due to the bankruptcy of a subsidiary on January 20, 2011 and are not reflected in the net cash provided by operating activities above: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of $3,388, Inventory of $2,407,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 of $1,947 and Other assets and liabilities of $6,379.</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Additionally, Property, plant and equipment of $1,343 was deconsolidated from the Condensed Consolidated Balance Sheet of NN on January 20, 2011 and is not reflected in the net cash used by investing activities above.</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the third quarter of 2010, we sold $2,230 in property, plant and equipment and $737 in inventory for two notes receivable with aggregate carrying values of $2,279. All of which is excluded from the operating and investing portions of the 2010 Statement of Cash Flows above.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condensed consolidated financial statements of NN, Inc. have not been audited, except that the balance sheet at December 31, 2010 was derived from the Company’s audited consolidated financial statements. In the opinion of the Company’s management, the financial statements reflect all adjustments necessary to fairly state the results of operations for the three and nine month periods ended September 30, 2011 and 2010, the Company’s financial position at September 30, 2011 and December 31, 2010, and the cash flows for the nine month periods ended September 30, 2011 and 2010.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2010 which we filed with the Securities and Exchange Commission on March 15, 2011. The results for the three and nine month period ended September 30, 2011 are not necessarily indicative of results for the year ending December 31, 2011 or any other future periods.</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and as a result became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w:t>
      </w:r>
    </w:p>
    <w:p>
      <w:pPr>
        <w:spacing w:after="0" w:line="14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were informed that in early April 2011, the bankruptcy trustee sold the majority of the production assets of Eltmann to a non-affiliated manufacturing company. It is our understanding that the remaining assets and liabilities of Eltmann will be liquidated sometime in the future by the bankruptcy court. NN does not expect any further significant impact on our consolidated financial statements as a result of the liquidation of this subsidiary.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the deconsolidation of Eltmann effective January 20, 2011:</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Accounts receivable</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(1,343)</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Reduction of total assets</w:t>
            </w: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gridSpan w:val="2"/>
            <w:vMerge w:val="continue"/>
          </w:tcPr>
          <w:p>
            <w:pPr>
              <w:spacing w:after="0"/>
              <w:rPr>
                <w:sz w:val="19"/>
                <w:szCs w:val="19"/>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salaries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0"/>
              </w:rPr>
              <w:t>Reduction of total liabilities and stockholders’ equity</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(8,519)</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780" w:type="dxa"/>
            <w:vAlign w:val="bottom"/>
            <w:gridSpan w:val="2"/>
          </w:tcPr>
          <w:p>
            <w:pPr>
              <w:spacing w:after="0"/>
              <w:rPr>
                <w:sz w:val="20"/>
                <w:szCs w:val="20"/>
                <w:color w:val="auto"/>
              </w:rPr>
            </w:pPr>
            <w:r>
              <w:rPr>
                <w:rFonts w:ascii="Arial" w:cs="Arial" w:eastAsia="Arial" w:hAnsi="Arial"/>
                <w:sz w:val="18"/>
                <w:szCs w:val="18"/>
                <w:color w:val="auto"/>
                <w:w w:val="96"/>
              </w:rPr>
              <w:t>Gain from deconsolidation of bankrupt subsidiary</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320" w:type="dxa"/>
            <w:vAlign w:val="bottom"/>
            <w:vMerge w:val="restart"/>
          </w:tcPr>
          <w:p>
            <w:pPr>
              <w:jc w:val="right"/>
              <w:ind w:right="3092"/>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Restructuring Charges and Other</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first quarter of 2010, we announced the closure of the Tempe Plant. We ceased operations at this location on August 31, 2010. The closure impacted approximately 130 employees. Economic conditions at that time coupled with the long-term manufacturing strategy for our Whirlaway business necessitated a consolidation of our manufacturing resources into existing facilities in Ohio. During the three and nine month periods ended September 30, 2010, we accrued $381 and $1,518, respectively, of severance costs related to the closure. The severance costs were recognized pro-rata over the period from the announcement date until the employees’ termination date as continued employment was a requirement to receive severance payments. Additionally, during the three and nine month periods ended September 30, 2010, we incurred $442 and $506 of site closure and other associated costs. In the first quarter of 2010, we incurred $1,000 of accelerated depreciation related to certain fixed assets that ceased to be used due to the Tempe Plant 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Long Term Notes Receivable</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Certain property, plant and equipment of the Tempe Plant was sold on August 31, 2010, the day the Tempe Plant ceased operations, to a newly formed company not affiliated with NN. Property, plant and equipment with a net book value of $2,230 were sold in exchange for a promissory note with a fair value of $1,562, as of August 31, 2010, (described below as the Tempe Fixed Asset Note).</w:t>
      </w:r>
    </w:p>
    <w:p>
      <w:pPr>
        <w:spacing w:after="0" w:line="14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Tempe Fixed Asset Note had an original face value of $2,500, a 60 month term, a 7% interest rate, interest only payments for 24 months, principal and interest payments totaling $40 per month for the next 36 months followed by a balloon payment of $1,525. The note is secured by a first lien on approximately $1,000 of the assets and a second lien on the remaining assets. As of September 30, 2011, the note had an estimated fair value and carrying value of $1,731 determined using a discounted cash flow method applying market interest rates for similar types of seller financed, partially secured promissory notes (Level 3 under the U.S. GAAP fair value hierarchy). This note is reported within other current assets for the current portion and other non-current assets for the long-term portion within the Condensed Consolidated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500" w:type="dxa"/>
            <w:vAlign w:val="bottom"/>
            <w:gridSpan w:val="4"/>
          </w:tcPr>
          <w:p>
            <w:pPr>
              <w:ind w:left="226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39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2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Work in process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w:t>
            </w:r>
          </w:p>
        </w:tc>
        <w:tc>
          <w:tcPr>
            <w:tcW w:w="12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(1,017)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r>
      <w:tr>
        <w:trPr>
          <w:trHeight w:val="27"/>
        </w:trPr>
        <w:tc>
          <w:tcPr>
            <w:tcW w:w="39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9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43,867</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12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September 30, 2011 and December 31, 2010 totaled $3,759 and $3,401, respectively.</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first quarter of 2011, $2,407 of inventory at Eltmann was deconsolidated from the financial statements of NN. (See Note 1 of the Notes to Condensed Consolidated Financial Statements).</w:t>
      </w:r>
    </w:p>
    <w:p>
      <w:pPr>
        <w:spacing w:after="0" w:line="132"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Income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238"/>
              <w:spacing w:after="0"/>
              <w:rPr>
                <w:sz w:val="20"/>
                <w:szCs w:val="20"/>
                <w:color w:val="auto"/>
              </w:rPr>
            </w:pPr>
            <w:r>
              <w:rPr>
                <w:rFonts w:ascii="Arial" w:cs="Arial" w:eastAsia="Arial" w:hAnsi="Arial"/>
                <w:sz w:val="14"/>
                <w:szCs w:val="14"/>
                <w:b w:val="1"/>
                <w:bCs w:val="1"/>
                <w:color w:val="auto"/>
                <w:w w:val="87"/>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10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41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8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4,702</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(1,008</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16,034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100" w:type="dxa"/>
            <w:vAlign w:val="bottom"/>
            <w:gridSpan w:val="3"/>
          </w:tcPr>
          <w:p>
            <w:pPr>
              <w:spacing w:after="0"/>
              <w:rPr>
                <w:sz w:val="20"/>
                <w:szCs w:val="20"/>
                <w:color w:val="auto"/>
              </w:rPr>
            </w:pPr>
            <w:r>
              <w:rPr>
                <w:rFonts w:ascii="Arial" w:cs="Arial" w:eastAsia="Arial" w:hAnsi="Arial"/>
                <w:sz w:val="18"/>
                <w:szCs w:val="18"/>
                <w:color w:val="auto"/>
              </w:rPr>
              <w:t>Weighted average basic shares outstanding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16,949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16,526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16,784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16,426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dilutive shares outstanding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17,061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16,526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16,954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(0.06)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3"/>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8"/>
              <w:spacing w:after="0"/>
              <w:rPr>
                <w:sz w:val="20"/>
                <w:szCs w:val="20"/>
                <w:color w:val="auto"/>
              </w:rPr>
            </w:pPr>
            <w:r>
              <w:rPr>
                <w:rFonts w:ascii="Arial" w:cs="Arial" w:eastAsia="Arial" w:hAnsi="Arial"/>
                <w:sz w:val="18"/>
                <w:szCs w:val="18"/>
                <w:color w:val="auto"/>
              </w:rPr>
              <w:t>(0.06)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Excluded from the dilutive shares outstanding for the three and nine month periods ended September 30, 2011 were 929 and 210 anti-dilutive options which had exercise prices ranging from $9.36 to $14.13 and $12.99 to $14.13, respectively. Excluded from the dilutive shares outstanding for the three and nine month periods ended September 30, 2010 were 1,339 and 1,075 anti-dilutive options which had exercise prices ranging from $1.30 to $12.62 and $7.63 and $12.62,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Information</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2010. We evaluate segment performance based on segment net income or loss after income taxes. We account for inter-segment sales and transfers at current market prices. We did not have any significant inter-segment transactions during the three and nine month periods ended September 30, 2011 and 2010.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Precision</w:t>
            </w: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Plastic and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Metal Bearing</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Metal</w:t>
            </w: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Rubber</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4"/>
            <w:vMerge w:val="restart"/>
          </w:tcPr>
          <w:p>
            <w:pPr>
              <w:spacing w:after="0"/>
              <w:rPr>
                <w:sz w:val="20"/>
                <w:szCs w:val="20"/>
                <w:color w:val="auto"/>
              </w:rPr>
            </w:pPr>
            <w:r>
              <w:rPr>
                <w:rFonts w:ascii="Arial" w:cs="Arial" w:eastAsia="Arial" w:hAnsi="Arial"/>
                <w:sz w:val="14"/>
                <w:szCs w:val="14"/>
                <w:color w:val="auto"/>
              </w:rPr>
              <w:t>(In Thousands of Dollars)</w:t>
            </w:r>
          </w:p>
        </w:tc>
        <w:tc>
          <w:tcPr>
            <w:tcW w:w="2440" w:type="dxa"/>
            <w:vAlign w:val="bottom"/>
          </w:tcPr>
          <w:p>
            <w:pPr>
              <w:spacing w:after="0"/>
              <w:rPr>
                <w:sz w:val="12"/>
                <w:szCs w:val="12"/>
                <w:color w:val="auto"/>
              </w:rPr>
            </w:pPr>
          </w:p>
        </w:tc>
        <w:tc>
          <w:tcPr>
            <w:tcW w:w="13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Components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4"/>
            <w:vMerge w:val="continue"/>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4"/>
                <w:szCs w:val="14"/>
                <w:color w:val="auto"/>
              </w:rPr>
            </w:pPr>
          </w:p>
        </w:tc>
        <w:tc>
          <w:tcPr>
            <w:tcW w:w="304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7"/>
              </w:rPr>
              <w:t>Three Months ended September 30, 2011</w:t>
            </w:r>
          </w:p>
        </w:tc>
        <w:tc>
          <w:tcPr>
            <w:tcW w:w="24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Revenues from external customers</w:t>
            </w:r>
          </w:p>
        </w:tc>
        <w:tc>
          <w:tcPr>
            <w:tcW w:w="2580" w:type="dxa"/>
            <w:vAlign w:val="bottom"/>
            <w:tcBorders>
              <w:top w:val="single" w:sz="8" w:color="CCEEFF"/>
            </w:tcBorders>
            <w:gridSpan w:val="2"/>
          </w:tcPr>
          <w:p>
            <w:pPr>
              <w:ind w:left="24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72,476</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17,910</w:t>
            </w: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10,757</w:t>
            </w: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101,143</w:t>
            </w:r>
          </w:p>
        </w:tc>
        <w:tc>
          <w:tcPr>
            <w:tcW w:w="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58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60" w:type="dxa"/>
            <w:vAlign w:val="bottom"/>
            <w:gridSpan w:val="4"/>
          </w:tcPr>
          <w:p>
            <w:pPr>
              <w:spacing w:after="0"/>
              <w:rPr>
                <w:sz w:val="20"/>
                <w:szCs w:val="20"/>
                <w:color w:val="auto"/>
              </w:rPr>
            </w:pPr>
            <w:r>
              <w:rPr>
                <w:rFonts w:ascii="Arial" w:cs="Arial" w:eastAsia="Arial" w:hAnsi="Arial"/>
                <w:sz w:val="18"/>
                <w:szCs w:val="18"/>
                <w:b w:val="1"/>
                <w:bCs w:val="1"/>
                <w:color w:val="auto"/>
                <w:w w:val="89"/>
              </w:rPr>
              <w:t>Nine Months ended September 30, 2011</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58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241,084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328,371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60" w:type="dxa"/>
            <w:vAlign w:val="bottom"/>
            <w:gridSpan w:val="4"/>
          </w:tcPr>
          <w:p>
            <w:pPr>
              <w:spacing w:after="0"/>
              <w:rPr>
                <w:sz w:val="20"/>
                <w:szCs w:val="20"/>
                <w:color w:val="auto"/>
              </w:rPr>
            </w:pPr>
            <w:r>
              <w:rPr>
                <w:rFonts w:ascii="Arial" w:cs="Arial" w:eastAsia="Arial" w:hAnsi="Arial"/>
                <w:sz w:val="18"/>
                <w:szCs w:val="18"/>
                <w:color w:val="auto"/>
              </w:rPr>
              <w:t>Segment net income (loss)</w:t>
            </w:r>
          </w:p>
        </w:tc>
        <w:tc>
          <w:tcPr>
            <w:tcW w:w="258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24,794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1,853</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(6,807)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16,034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198,408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268,978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Precision</w:t>
            </w: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Plastic and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Metal Bearing</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Metal</w:t>
            </w: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Rubber</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220" w:type="dxa"/>
            <w:vAlign w:val="bottom"/>
          </w:tcPr>
          <w:p>
            <w:pPr>
              <w:spacing w:after="0"/>
              <w:rPr>
                <w:sz w:val="12"/>
                <w:szCs w:val="12"/>
                <w:color w:val="auto"/>
              </w:rPr>
            </w:pPr>
          </w:p>
        </w:tc>
        <w:tc>
          <w:tcPr>
            <w:tcW w:w="13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Components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5"/>
            <w:vMerge w:val="continue"/>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06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7"/>
              </w:rPr>
              <w:t>Three Months ended September 30, 2010</w:t>
            </w:r>
          </w:p>
        </w:tc>
        <w:tc>
          <w:tcPr>
            <w:tcW w:w="12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67,584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13,410</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10,002</w:t>
            </w:r>
          </w:p>
        </w:tc>
        <w:tc>
          <w:tcPr>
            <w:tcW w:w="4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90,996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84"/>
        </w:trPr>
        <w:tc>
          <w:tcPr>
            <w:tcW w:w="4280" w:type="dxa"/>
            <w:vAlign w:val="bottom"/>
            <w:gridSpan w:val="5"/>
          </w:tcPr>
          <w:p>
            <w:pPr>
              <w:spacing w:after="0"/>
              <w:rPr>
                <w:sz w:val="20"/>
                <w:szCs w:val="20"/>
                <w:color w:val="auto"/>
              </w:rPr>
            </w:pPr>
            <w:r>
              <w:rPr>
                <w:rFonts w:ascii="Arial" w:cs="Arial" w:eastAsia="Arial" w:hAnsi="Arial"/>
                <w:sz w:val="18"/>
                <w:szCs w:val="18"/>
                <w:b w:val="1"/>
                <w:bCs w:val="1"/>
                <w:color w:val="auto"/>
              </w:rPr>
              <w:t>Nine Months ended September 30, 2010</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196,473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269,029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5"/>
          </w:tcPr>
          <w:p>
            <w:pPr>
              <w:spacing w:after="0"/>
              <w:rPr>
                <w:sz w:val="20"/>
                <w:szCs w:val="20"/>
                <w:color w:val="auto"/>
              </w:rPr>
            </w:pPr>
            <w:r>
              <w:rPr>
                <w:rFonts w:ascii="Arial" w:cs="Arial" w:eastAsia="Arial" w:hAnsi="Arial"/>
                <w:sz w:val="18"/>
                <w:szCs w:val="18"/>
                <w:color w:val="auto"/>
              </w:rPr>
              <w:t>Segment net income (loss)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1,937</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(9,081)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194,330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248,757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Pensions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Effective January 20, 2011, the defined benefit pension plan covering the employees at our Eltmann Plant is under control of the bankruptcy trustee and has been or will be taken over by the German government’s pension security fund. The plan is no longer a responsibility of NN, resulting in a reduction of Accrued pension liabilities of $5,623 on January 20, 2011. We have no remaining pension obligations. (See Note 1 of the Notes to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accordance with Italian law, the Company has an unfunded severance plan covering our Pinerolo Plant employees under which all employees at that location are entitled to receive severance indemnities upon termination of their employment. The table below summarizes the changes to the severance indemnity, included in Other non-current liabilities, for the three and nine month periods ended September 30, 2011 and 2010:</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5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2520" w:type="dxa"/>
            <w:vAlign w:val="bottom"/>
            <w:vMerge w:val="restart"/>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5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322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$7,814</w:t>
            </w: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$7,993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$ 7,115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$8,015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Amounts accrued</w:t>
            </w:r>
          </w:p>
        </w:tc>
        <w:tc>
          <w:tcPr>
            <w:tcW w:w="4120" w:type="dxa"/>
            <w:vAlign w:val="bottom"/>
            <w:gridSpan w:val="3"/>
          </w:tcPr>
          <w:p>
            <w:pPr>
              <w:jc w:val="right"/>
              <w:ind w:right="400"/>
              <w:spacing w:after="0"/>
              <w:rPr>
                <w:sz w:val="20"/>
                <w:szCs w:val="20"/>
                <w:color w:val="auto"/>
              </w:rPr>
            </w:pPr>
            <w:r>
              <w:rPr>
                <w:rFonts w:ascii="Arial" w:cs="Arial" w:eastAsia="Arial" w:hAnsi="Arial"/>
                <w:sz w:val="18"/>
                <w:szCs w:val="18"/>
                <w:color w:val="auto"/>
              </w:rPr>
              <w:t>277</w:t>
            </w: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928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4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Payments to government managed plan</w:t>
            </w:r>
          </w:p>
        </w:tc>
        <w:tc>
          <w:tcPr>
            <w:tcW w:w="4120" w:type="dxa"/>
            <w:vAlign w:val="bottom"/>
            <w:gridSpan w:val="3"/>
          </w:tcPr>
          <w:p>
            <w:pPr>
              <w:jc w:val="right"/>
              <w:ind w:right="340"/>
              <w:spacing w:after="0"/>
              <w:rPr>
                <w:sz w:val="20"/>
                <w:szCs w:val="20"/>
                <w:color w:val="auto"/>
              </w:rPr>
            </w:pPr>
            <w:r>
              <w:rPr>
                <w:rFonts w:ascii="Arial" w:cs="Arial" w:eastAsia="Arial" w:hAnsi="Arial"/>
                <w:sz w:val="18"/>
                <w:szCs w:val="18"/>
                <w:color w:val="auto"/>
              </w:rPr>
              <w:t>(188)</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(243)</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(591)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3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3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gridSpan w:val="2"/>
            <w:vMerge w:val="continue"/>
          </w:tcPr>
          <w:p>
            <w:pPr>
              <w:spacing w:after="0"/>
              <w:rPr>
                <w:sz w:val="19"/>
                <w:szCs w:val="19"/>
                <w:color w:val="auto"/>
              </w:rPr>
            </w:pPr>
          </w:p>
        </w:tc>
        <w:tc>
          <w:tcPr>
            <w:tcW w:w="412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7,331</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7,380</w:t>
            </w:r>
          </w:p>
        </w:tc>
        <w:tc>
          <w:tcPr>
            <w:tcW w:w="22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20" w:type="dxa"/>
            <w:vAlign w:val="bottom"/>
            <w:vMerge w:val="restart"/>
          </w:tcPr>
          <w:p>
            <w:pPr>
              <w:jc w:val="right"/>
              <w:ind w:right="1832"/>
              <w:spacing w:after="0"/>
              <w:rPr>
                <w:sz w:val="20"/>
                <w:szCs w:val="20"/>
                <w:color w:val="auto"/>
              </w:rPr>
            </w:pPr>
            <w:r>
              <w:rPr>
                <w:rFonts w:ascii="Arial" w:cs="Arial" w:eastAsia="Arial" w:hAnsi="Arial"/>
                <w:sz w:val="18"/>
                <w:szCs w:val="18"/>
                <w:color w:val="auto"/>
              </w:rPr>
              <w:t>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two plans that cover our Veenendaal Plant employees. One plan provides an award for employees who achieve 25 or 40 years of service and the other plan is an award for employees upon retirement. These plans are both unfunded and the benefits are based on years of service and rate of compensation at the time the award is paid. The table below summarizes the combined changes in the two plans, included in Other non-current liabilities, during the three and nine month periods ended September 30, 2011 and 2010.</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6"/>
              </w:rPr>
              <w:t>Three months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2"/>
              </w:rPr>
              <w:t>ended</w:t>
            </w:r>
          </w:p>
        </w:tc>
        <w:tc>
          <w:tcPr>
            <w:tcW w:w="220" w:type="dxa"/>
            <w:vAlign w:val="bottom"/>
          </w:tcPr>
          <w:p>
            <w:pPr>
              <w:spacing w:after="0"/>
              <w:rPr>
                <w:sz w:val="12"/>
                <w:szCs w:val="12"/>
                <w:color w:val="auto"/>
              </w:rPr>
            </w:pPr>
          </w:p>
        </w:tc>
        <w:tc>
          <w:tcPr>
            <w:tcW w:w="1320" w:type="dxa"/>
            <w:vAlign w:val="bottom"/>
            <w:gridSpan w:val="5"/>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13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6020" w:type="dxa"/>
            <w:vAlign w:val="bottom"/>
            <w:gridSpan w:val="2"/>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Beginning balance</w:t>
            </w:r>
          </w:p>
        </w:tc>
        <w:tc>
          <w:tcPr>
            <w:tcW w:w="6020" w:type="dxa"/>
            <w:vAlign w:val="bottom"/>
            <w:tcBorders>
              <w:top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$840</w:t>
            </w: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$719</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$749</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$805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Service cost</w:t>
            </w:r>
          </w:p>
        </w:tc>
        <w:tc>
          <w:tcPr>
            <w:tcW w:w="63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39</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Benefits paid</w:t>
            </w:r>
          </w:p>
        </w:tc>
        <w:tc>
          <w:tcPr>
            <w:tcW w:w="642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(36)</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(50)</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602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80" w:type="dxa"/>
            <w:vAlign w:val="bottom"/>
            <w:vMerge w:val="continue"/>
          </w:tcPr>
          <w:p>
            <w:pPr>
              <w:spacing w:after="0"/>
              <w:rPr>
                <w:sz w:val="19"/>
                <w:szCs w:val="19"/>
                <w:color w:val="auto"/>
              </w:rPr>
            </w:pPr>
          </w:p>
        </w:tc>
        <w:tc>
          <w:tcPr>
            <w:tcW w:w="63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w:t>
            </w: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848</w:t>
            </w:r>
          </w:p>
        </w:tc>
        <w:tc>
          <w:tcPr>
            <w:tcW w:w="26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New Accounting Pronouncements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June 2011, the FASB issued amended accounting guidance related to presentation of comprehensive income. The standards update is intended to help financial statement users better understand the causes of an entity’s change in financial position and results of operation. It is effective for reporting periods beginning after December 15, 2011. The amendments eliminate the option to present components of other comprehensive income as part of the statement of changes in stockholders’ equity. The amendments require that all non-owner changes in stockholders’ equity be presented either in a single continuous statement of comprehensive income or in two separate but consecutive statements. The guidance also requires that reclassification adjustments for items that are reclassified from other comprehensive income to net income be presented on the face of the financial statement where the components of net income and other comprehensive income are presented. We will adopt this guidance for reporting periods beginning January 1, 2012 and are currently assessing the impact on financial statement presentation.</w:t>
      </w:r>
    </w:p>
    <w:p>
      <w:pPr>
        <w:spacing w:after="0" w:line="118" w:lineRule="exact"/>
        <w:rPr>
          <w:sz w:val="20"/>
          <w:szCs w:val="20"/>
          <w:color w:val="auto"/>
        </w:rPr>
      </w:pPr>
    </w:p>
    <w:p>
      <w:pPr>
        <w:jc w:val="both"/>
        <w:ind w:right="140"/>
        <w:spacing w:after="0" w:line="302" w:lineRule="auto"/>
        <w:rPr>
          <w:sz w:val="20"/>
          <w:szCs w:val="20"/>
          <w:color w:val="auto"/>
        </w:rPr>
      </w:pPr>
      <w:r>
        <w:rPr>
          <w:rFonts w:ascii="Arial" w:cs="Arial" w:eastAsia="Arial" w:hAnsi="Arial"/>
          <w:sz w:val="15"/>
          <w:szCs w:val="15"/>
          <w:color w:val="auto"/>
        </w:rPr>
        <w:t>In September 2011, the FASB issued a revised accounting standard, which is intended to reduce the cost and complexity of the annual goodwill impairment test by providing entities an 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w:t>
      </w:r>
    </w:p>
    <w:p>
      <w:pPr>
        <w:spacing w:after="0" w:line="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Otherwise, no further testing is required. This standard is effective for annual and interim goodwill impairment tests performed for fiscal years beginning after December 15, 2011 with early adoption permitted. We are studying the feasibility of adopting this standard in the fourth quarter of 2011 concurrent with our annual impairment test. If not adopted in the fourth quarter of 2011, we will adopt this standard in the first quarter of 2012. We do not expect the adoption will have a material impact on our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 and Short-Term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September 30, 2011 and December 31, 2010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6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88"/>
        </w:trPr>
        <w:tc>
          <w:tcPr>
            <w:tcW w:w="86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5"/>
              </w:rPr>
              <w:t>Borrowings under our $100,000 revolving credit facility bearing interest at a floating rate equal to LIBOR (0.26% at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2011) plus an applicable margin of 3.00%, expiring December 21, 2014.</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100" w:type="dxa"/>
            <w:vAlign w:val="bottom"/>
            <w:shd w:val="clear" w:color="auto" w:fill="CCEEFF"/>
          </w:tcPr>
          <w:p>
            <w:pPr>
              <w:spacing w:after="0"/>
              <w:rPr>
                <w:sz w:val="19"/>
                <w:szCs w:val="19"/>
                <w:color w:val="auto"/>
              </w:rPr>
            </w:pPr>
          </w:p>
        </w:tc>
      </w:tr>
      <w:tr>
        <w:trPr>
          <w:trHeight w:val="316"/>
        </w:trPr>
        <w:tc>
          <w:tcPr>
            <w:tcW w:w="8660" w:type="dxa"/>
            <w:vAlign w:val="bottom"/>
          </w:tcPr>
          <w:p>
            <w:pPr>
              <w:spacing w:after="0"/>
              <w:rPr>
                <w:sz w:val="20"/>
                <w:szCs w:val="20"/>
                <w:color w:val="auto"/>
              </w:rPr>
            </w:pPr>
            <w:r>
              <w:rPr>
                <w:rFonts w:ascii="Arial" w:cs="Arial" w:eastAsia="Arial" w:hAnsi="Arial"/>
                <w:sz w:val="18"/>
                <w:szCs w:val="18"/>
                <w:color w:val="auto"/>
                <w:w w:val="95"/>
              </w:rPr>
              <w:t>Borrowings under our $40,000 aggregate principal amount of senior notes bearing interest at a fixed rate of 6.70%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w w:val="93"/>
              </w:rPr>
              <w:t>maturing on April 26, 2014. Annual principal payments of $5,714 began on April 26, 2008 and extend through the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60" w:type="dxa"/>
            <w:vAlign w:val="bottom"/>
          </w:tcPr>
          <w:p>
            <w:pPr>
              <w:ind w:left="220"/>
              <w:spacing w:after="0"/>
              <w:rPr>
                <w:sz w:val="20"/>
                <w:szCs w:val="20"/>
                <w:color w:val="auto"/>
              </w:rPr>
            </w:pPr>
            <w:r>
              <w:rPr>
                <w:rFonts w:ascii="Arial" w:cs="Arial" w:eastAsia="Arial" w:hAnsi="Arial"/>
                <w:sz w:val="18"/>
                <w:szCs w:val="18"/>
                <w:color w:val="auto"/>
              </w:rPr>
              <w:t>date of maturity.</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17,143</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22,857</w:t>
            </w:r>
          </w:p>
        </w:tc>
        <w:tc>
          <w:tcPr>
            <w:tcW w:w="100" w:type="dxa"/>
            <w:vAlign w:val="bottom"/>
          </w:tcPr>
          <w:p>
            <w:pPr>
              <w:spacing w:after="0"/>
              <w:rPr>
                <w:sz w:val="19"/>
                <w:szCs w:val="19"/>
                <w:color w:val="auto"/>
              </w:rPr>
            </w:pPr>
          </w:p>
        </w:tc>
      </w:tr>
      <w:tr>
        <w:trPr>
          <w:trHeight w:val="116"/>
        </w:trPr>
        <w:tc>
          <w:tcPr>
            <w:tcW w:w="8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73,357</w:t>
            </w:r>
          </w:p>
        </w:tc>
        <w:tc>
          <w:tcPr>
            <w:tcW w:w="100" w:type="dxa"/>
            <w:vAlign w:val="bottom"/>
            <w:shd w:val="clear" w:color="auto" w:fill="CCEEFF"/>
          </w:tcPr>
          <w:p>
            <w:pPr>
              <w:spacing w:after="0"/>
              <w:rPr>
                <w:sz w:val="18"/>
                <w:szCs w:val="18"/>
                <w:color w:val="auto"/>
              </w:rPr>
            </w:pPr>
          </w:p>
        </w:tc>
      </w:tr>
      <w:tr>
        <w:trPr>
          <w:trHeight w:val="323"/>
        </w:trPr>
        <w:tc>
          <w:tcPr>
            <w:tcW w:w="8660" w:type="dxa"/>
            <w:vAlign w:val="bottom"/>
          </w:tcPr>
          <w:p>
            <w:pPr>
              <w:ind w:left="440"/>
              <w:spacing w:after="0"/>
              <w:rPr>
                <w:sz w:val="20"/>
                <w:szCs w:val="20"/>
                <w:color w:val="auto"/>
              </w:rPr>
            </w:pPr>
            <w:r>
              <w:rPr>
                <w:rFonts w:ascii="Arial" w:cs="Arial" w:eastAsia="Arial" w:hAnsi="Arial"/>
                <w:sz w:val="18"/>
                <w:szCs w:val="18"/>
                <w:color w:val="auto"/>
              </w:rPr>
              <w:t>Less current maturities of long-term debt</w:t>
            </w: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4"/>
                <w:szCs w:val="24"/>
                <w:color w:val="auto"/>
              </w:rPr>
            </w:pPr>
          </w:p>
        </w:tc>
      </w:tr>
      <w:tr>
        <w:trPr>
          <w:trHeight w:val="116"/>
        </w:trPr>
        <w:tc>
          <w:tcPr>
            <w:tcW w:w="8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 excluding current maturities of long-term debt</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100" w:type="dxa"/>
            <w:vAlign w:val="bottom"/>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On September 30, 2011, NN amended its $100 million revolving credit agreement agented by KeyBank and its long-term loan agreement with Prudential Capital in order to adjust the fixed charge coverage ratio covenant to better correlate current and expected levels of capital spending and other fixed charges with earnings before taxes, interest and depreciation (EBITDA). The fixed charge coverage ratio was reduced from not less than 1.10 to 1.00 and not less than 1.25 to 1.00 (for quarters ending after September 30, 2011) to not less than 1.00 to 1.00 as of the last day of any fiscal quarter for the quarters ending September 30, 2011 through September 30, 2012. The amendments also provide that the company will assure that the total outstanding under the revolving credit agreement shall be at least $10 million less than the total committed amount of $100 million during the period commencing September 30, 2011 and ending on September 30, 2012.</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December 21, 2010, we entered into an amended and restated revolving credit facility expiring December 21, 2014 with Key Bank as administrative agent with an initial size of $75 million. The amended agreement was entered into to adjust our financial and non-financial covenants to more normalized measures and to provide greater ability to fund our capital investment plans. The interest rate was amended to LIBOR plus a margin of 1.5% to 3.5% (depending on the level of the ratio of debt to EBITDA) from LIBOR plus a margin of 4.75%. The facility may be expanded upon our request with approval of the lenders by up to $60 million, under the same terms and conditions. On March 9, 2011, we exercised an option to increase the size of the facility from $75 million to $100 million to allow additional flexibility and to fund potential growth projects.</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loan agreement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September 30, 2011, $1,877 of net capitalized loan origination costs related to the revolving credit facility were recorded on the balance sheet within other non-current assets.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On December 21, 2010, our senior note agreement with Prudential Capital was also amended. The amended agreement was entered into to adjust our financial and non-financial covenants to more normalized measures and to provide greater ability to fund our capital investment plans. There were no changes to the terms or availability of credit but the interest rate was reduced from 8.50% to 6.70%. The agreement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Interest is paid semi-annually and the note matures on April 26, 2014. Annual principal payments of approximately $5,714 began on April 26, 2008 and extend through the date of maturity. We incurred costs as a result of issuing these notes which have been recorded on the balance sheet within other non-current assets and are being amortized over the term of the notes. The unamortized balance at September 30, 2011 was $311.</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specific covenants to which we are subject and the actual results achieved for the nine month period ended September 30, 2011 are stated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Level</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Financial Covenants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120" w:type="dxa"/>
            <w:vAlign w:val="bottom"/>
          </w:tcPr>
          <w:p>
            <w:pPr>
              <w:ind w:left="2120"/>
              <w:spacing w:after="0"/>
              <w:rPr>
                <w:sz w:val="20"/>
                <w:szCs w:val="20"/>
                <w:color w:val="auto"/>
              </w:rPr>
            </w:pPr>
            <w:r>
              <w:rPr>
                <w:rFonts w:ascii="Arial" w:cs="Arial" w:eastAsia="Arial" w:hAnsi="Arial"/>
                <w:sz w:val="14"/>
                <w:szCs w:val="14"/>
                <w:b w:val="1"/>
                <w:bCs w:val="1"/>
                <w:color w:val="auto"/>
              </w:rPr>
              <w:t>Required Covenant Level</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Achieved</w:t>
            </w: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7"/>
              </w:rPr>
              <w:t>Interest coverage ratio</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3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Not to be less than 3.00 to 1.00 as of the last day of any fiscal quarter</w:t>
            </w: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5.80 to 1.00</w:t>
            </w: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Arial" w:cs="Arial" w:eastAsia="Arial" w:hAnsi="Arial"/>
                <w:sz w:val="18"/>
                <w:szCs w:val="18"/>
                <w:color w:val="auto"/>
                <w:w w:val="95"/>
              </w:rPr>
              <w:t>Fixed charge coverage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Not to be less 1.00 to 1.00 as of the last day of any fiscal quarter</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1.21 to 1.00</w:t>
            </w:r>
          </w:p>
        </w:tc>
        <w:tc>
          <w:tcPr>
            <w:tcW w:w="0" w:type="dxa"/>
            <w:vAlign w:val="bottom"/>
          </w:tcPr>
          <w:p>
            <w:pPr>
              <w:spacing w:after="0"/>
              <w:rPr>
                <w:sz w:val="1"/>
                <w:szCs w:val="1"/>
                <w:color w:val="auto"/>
              </w:rPr>
            </w:pPr>
          </w:p>
        </w:tc>
      </w:tr>
      <w:tr>
        <w:trPr>
          <w:trHeight w:val="216"/>
        </w:trPr>
        <w:tc>
          <w:tcPr>
            <w:tcW w:w="1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to exceed 2.75 to 1.00 for the most recently completed four fiscal quarters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 to 1.00</w:t>
            </w:r>
          </w:p>
        </w:tc>
        <w:tc>
          <w:tcPr>
            <w:tcW w:w="0" w:type="dxa"/>
            <w:vAlign w:val="bottom"/>
          </w:tcPr>
          <w:p>
            <w:pPr>
              <w:spacing w:after="0"/>
              <w:rPr>
                <w:sz w:val="1"/>
                <w:szCs w:val="1"/>
                <w:color w:val="auto"/>
              </w:rPr>
            </w:pPr>
          </w:p>
        </w:tc>
      </w:tr>
      <w:tr>
        <w:trPr>
          <w:trHeight w:val="222"/>
        </w:trPr>
        <w:tc>
          <w:tcPr>
            <w:tcW w:w="176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w w:val="89"/>
              </w:rPr>
              <w:t>Not to exceed 150% of Consolidated Depreciation charges for the immediate previous fiscal year</w:t>
            </w:r>
          </w:p>
        </w:tc>
        <w:tc>
          <w:tcPr>
            <w:tcW w:w="2420" w:type="dxa"/>
            <w:vAlign w:val="bottom"/>
            <w:gridSpan w:val="5"/>
          </w:tcPr>
          <w:p>
            <w:pPr>
              <w:jc w:val="center"/>
              <w:ind w:left="1412"/>
              <w:spacing w:after="0"/>
              <w:rPr>
                <w:sz w:val="20"/>
                <w:szCs w:val="20"/>
                <w:color w:val="auto"/>
              </w:rPr>
            </w:pPr>
            <w:r>
              <w:rPr>
                <w:rFonts w:ascii="Arial" w:cs="Arial" w:eastAsia="Arial" w:hAnsi="Arial"/>
                <w:sz w:val="18"/>
                <w:szCs w:val="18"/>
                <w:color w:val="auto"/>
                <w:w w:val="88"/>
              </w:rPr>
              <w:t>53%</w:t>
            </w:r>
          </w:p>
        </w:tc>
        <w:tc>
          <w:tcPr>
            <w:tcW w:w="0" w:type="dxa"/>
            <w:vAlign w:val="bottom"/>
          </w:tcPr>
          <w:p>
            <w:pPr>
              <w:spacing w:after="0"/>
              <w:rPr>
                <w:sz w:val="1"/>
                <w:szCs w:val="1"/>
                <w:color w:val="auto"/>
              </w:rPr>
            </w:pPr>
          </w:p>
        </w:tc>
      </w:tr>
      <w:tr>
        <w:trPr>
          <w:trHeight w:val="451"/>
        </w:trPr>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2"/>
              </w:rPr>
              <w:t>Note 10. Goodwill, net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40" w:type="dxa"/>
            <w:vAlign w:val="bottom"/>
            <w:gridSpan w:val="7"/>
          </w:tcPr>
          <w:p>
            <w:pPr>
              <w:spacing w:after="0"/>
              <w:rPr>
                <w:sz w:val="20"/>
                <w:szCs w:val="20"/>
                <w:color w:val="auto"/>
              </w:rPr>
            </w:pPr>
            <w:r>
              <w:rPr>
                <w:rFonts w:ascii="Arial" w:cs="Arial" w:eastAsia="Arial" w:hAnsi="Arial"/>
                <w:sz w:val="18"/>
                <w:szCs w:val="18"/>
                <w:color w:val="auto"/>
                <w:w w:val="90"/>
              </w:rPr>
              <w:t>The changes in the carrying amount of goodwill for the nine month period ended September 30, 2011 are as follows: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Goodwill, net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0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980" w:type="dxa"/>
            <w:vAlign w:val="bottom"/>
            <w:gridSpan w:val="7"/>
          </w:tcPr>
          <w:p>
            <w:pPr>
              <w:ind w:left="220"/>
              <w:spacing w:after="0"/>
              <w:rPr>
                <w:sz w:val="20"/>
                <w:szCs w:val="20"/>
                <w:color w:val="auto"/>
              </w:rPr>
            </w:pPr>
            <w:r>
              <w:rPr>
                <w:rFonts w:ascii="Arial" w:cs="Arial" w:eastAsia="Arial" w:hAnsi="Arial"/>
                <w:sz w:val="14"/>
                <w:szCs w:val="14"/>
                <w:b w:val="1"/>
                <w:bCs w:val="1"/>
                <w:color w:val="auto"/>
              </w:rPr>
              <w:t>Metal Bearing</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80" w:type="dxa"/>
            <w:vAlign w:val="bottom"/>
            <w:gridSpan w:val="4"/>
            <w:vMerge w:val="restart"/>
          </w:tcPr>
          <w:p>
            <w:pPr>
              <w:ind w:left="80"/>
              <w:spacing w:after="0"/>
              <w:rPr>
                <w:sz w:val="20"/>
                <w:szCs w:val="20"/>
                <w:color w:val="auto"/>
              </w:rPr>
            </w:pPr>
            <w:r>
              <w:rPr>
                <w:rFonts w:ascii="Arial" w:cs="Arial" w:eastAsia="Arial" w:hAnsi="Arial"/>
                <w:sz w:val="14"/>
                <w:szCs w:val="14"/>
                <w:color w:val="auto"/>
              </w:rPr>
              <w:t>(In Thousands of Dollars)</w:t>
            </w:r>
          </w:p>
        </w:tc>
        <w:tc>
          <w:tcPr>
            <w:tcW w:w="220" w:type="dxa"/>
            <w:vAlign w:val="bottom"/>
          </w:tcPr>
          <w:p>
            <w:pPr>
              <w:spacing w:after="0"/>
              <w:rPr>
                <w:sz w:val="12"/>
                <w:szCs w:val="12"/>
                <w:color w:val="auto"/>
              </w:rPr>
            </w:pPr>
          </w:p>
        </w:tc>
        <w:tc>
          <w:tcPr>
            <w:tcW w:w="2760" w:type="dxa"/>
            <w:vAlign w:val="bottom"/>
            <w:gridSpan w:val="6"/>
          </w:tcPr>
          <w:p>
            <w:pPr>
              <w:jc w:val="center"/>
              <w:ind w:right="1842"/>
              <w:spacing w:after="0" w:line="149" w:lineRule="exact"/>
              <w:rPr>
                <w:sz w:val="20"/>
                <w:szCs w:val="20"/>
                <w:color w:val="auto"/>
              </w:rPr>
            </w:pPr>
            <w:r>
              <w:rPr>
                <w:rFonts w:ascii="Arial" w:cs="Arial" w:eastAsia="Arial" w:hAnsi="Arial"/>
                <w:sz w:val="14"/>
                <w:szCs w:val="14"/>
                <w:b w:val="1"/>
                <w:bCs w:val="1"/>
                <w:color w:val="auto"/>
                <w:w w:val="84"/>
              </w:rPr>
              <w:t>Components</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6"/>
          </w:tcPr>
          <w:p>
            <w:pPr>
              <w:jc w:val="center"/>
              <w:ind w:right="1862"/>
              <w:spacing w:after="0" w:line="148" w:lineRule="exact"/>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2011</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8,396</w:t>
            </w:r>
          </w:p>
        </w:tc>
        <w:tc>
          <w:tcPr>
            <w:tcW w:w="10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60" w:type="dxa"/>
            <w:vAlign w:val="bottom"/>
            <w:gridSpan w:val="2"/>
          </w:tcPr>
          <w:p>
            <w:pPr>
              <w:ind w:left="200"/>
              <w:spacing w:after="0"/>
              <w:rPr>
                <w:sz w:val="20"/>
                <w:szCs w:val="20"/>
                <w:color w:val="auto"/>
              </w:rPr>
            </w:pPr>
            <w:r>
              <w:rPr>
                <w:rFonts w:ascii="Arial" w:cs="Arial" w:eastAsia="Arial" w:hAnsi="Arial"/>
                <w:sz w:val="18"/>
                <w:szCs w:val="18"/>
                <w:color w:val="auto"/>
              </w:rPr>
              <w:t>Currency translation impacts</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September 30, 2011</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goodwill balance is tested for impairment on an annual basis during the fourth quarter and between annual tests if a triggering event occurs. During the three and nine month periods ended September 30, 2011, the financial results of the reporting unit with a goodwill balance exceeded the forecasted results used in testing for impairment at December 31, 2010. As of September 30, 2011, there are no further indications of impairment at this reporting unit.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Precision Metal Components Segment has an indefinite lived intangible asset not subject to amortization of $900 related to the value of the trade names of Whirlaway. There are no indicators of impairment for this indefinite lived intangible asset as of September 30,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Shared-Based Compensation</w:t>
      </w:r>
    </w:p>
    <w:p>
      <w:pPr>
        <w:spacing w:after="0" w:line="9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During the three and nine month periods ended September 30, 2011 and 2010, approximately $353 and $469 in 2011 and $27 and $1,227 in 2010, respectively, of compensation expense was recognized in selling, general and administrative expense for all share-based awards. There were 75 share awards and 216 option awards granted to non-executive directors, officers and certain other key employees during the nine month period ended September 30, 2011. During the nine month period ended September 30, 2010, we granted 249 shares and 33 share options to non-executive directors, officers and certain other key employees.</w:t>
      </w:r>
    </w:p>
    <w:p>
      <w:pPr>
        <w:spacing w:after="0" w:line="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nine month period ended September 30, 2011, we granted 75 restricted shares to non-executive directors, officers and certain other key employees. The 75 shares of our common stock were issued on May 26, 2011 and vest pro-rata over three years. During the nine month period ended September 30, 2011, we incurred $199 in expense related to the 2011 restricted stock issuance. On March 17, 2010, 249 shares of our common stock were issued and were fully vested at the date of grant. We incurred $1,101 of non-cash compensation expense, which was the entire fair value of the grant, at that date. The fair values of the shares issued during both 2011 and 2010 were determined by using the grant date closing price of our common stock.</w:t>
      </w:r>
    </w:p>
    <w:p>
      <w:pPr>
        <w:spacing w:after="0" w:line="1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incurred $270 and $126 of stock option expense in the nine month periods ended September 30, 2011 and 2010, respectively. 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nine month period ended September 30, 2011: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Remaining</w:t>
            </w: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6"/>
              </w:rPr>
              <w:t>Options</w:t>
            </w:r>
          </w:p>
        </w:tc>
        <w:tc>
          <w:tcPr>
            <w:tcW w:w="2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Exercise</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820" w:type="dxa"/>
            <w:vAlign w:val="bottom"/>
          </w:tcPr>
          <w:p>
            <w:pPr>
              <w:spacing w:after="0"/>
              <w:rPr>
                <w:sz w:val="14"/>
                <w:szCs w:val="14"/>
                <w:color w:val="auto"/>
              </w:rPr>
            </w:pPr>
          </w:p>
        </w:tc>
        <w:tc>
          <w:tcPr>
            <w:tcW w:w="140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w w:val="84"/>
              </w:rPr>
              <w:t>Shares (000)</w:t>
            </w:r>
          </w:p>
        </w:tc>
        <w:tc>
          <w:tcPr>
            <w:tcW w:w="120" w:type="dxa"/>
            <w:vAlign w:val="bottom"/>
          </w:tcPr>
          <w:p>
            <w:pPr>
              <w:spacing w:after="0"/>
              <w:rPr>
                <w:sz w:val="14"/>
                <w:szCs w:val="14"/>
                <w:color w:val="auto"/>
              </w:rPr>
            </w:pPr>
          </w:p>
        </w:tc>
        <w:tc>
          <w:tcPr>
            <w:tcW w:w="114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7"/>
              </w:rPr>
              <w:t>Price</w:t>
            </w:r>
          </w:p>
        </w:tc>
        <w:tc>
          <w:tcPr>
            <w:tcW w:w="136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93"/>
              </w:rPr>
              <w:t>Term</w:t>
            </w: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2011</w:t>
            </w:r>
          </w:p>
        </w:tc>
        <w:tc>
          <w:tcPr>
            <w:tcW w:w="28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1,205</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9.23</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14.05</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4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9.40</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2820" w:type="dxa"/>
            <w:vAlign w:val="bottom"/>
          </w:tcPr>
          <w:p>
            <w:pPr>
              <w:spacing w:after="0"/>
              <w:rPr>
                <w:sz w:val="19"/>
                <w:szCs w:val="19"/>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8.76</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Outstanding at September 30, 2011</w:t>
            </w:r>
          </w:p>
        </w:tc>
        <w:tc>
          <w:tcPr>
            <w:tcW w:w="28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25"/>
                <w:szCs w:val="25"/>
                <w:color w:val="auto"/>
                <w:vertAlign w:val="subscript"/>
              </w:rPr>
              <w:t>752</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w w:val="97"/>
              </w:rPr>
              <w:t>Exercisable at September 30, 2011</w:t>
            </w:r>
          </w:p>
        </w:tc>
        <w:tc>
          <w:tcPr>
            <w:tcW w:w="2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60" w:type="dxa"/>
            <w:vAlign w:val="bottom"/>
            <w:gridSpan w:val="3"/>
            <w:vMerge w:val="continue"/>
          </w:tcPr>
          <w:p>
            <w:pPr>
              <w:spacing w:after="0"/>
              <w:rPr>
                <w:sz w:val="18"/>
                <w:szCs w:val="18"/>
                <w:color w:val="auto"/>
              </w:rPr>
            </w:pP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9.71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660" w:hanging="446"/>
        <w:spacing w:after="0" w:line="228" w:lineRule="auto"/>
        <w:tabs>
          <w:tab w:leader="none" w:pos="9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intrinsic value is the amount by which the market price of our stock was greater than the exercise price of any individual option grant at September 30, 2011.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Provision for Income Taxes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of September 30, 2011, we continued to place a valuation allowance on all of the net deferred tax assets of our U.S. locations, based on the negative financial performance of our U.S. operations during the global economic recession of 2008 and 2009. If U.S. operations return to a level of profitability sufficient to utilize a portion of these deferred tax assets, these assets will be used to offset future U.S. based taxable income. If we determine the probability of realizing all the tax benefits is more likely than not, the entire valuation allowance will be released and deferred tax benefits will be recognized.</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nine month period ended September 30, 2011, the difference between the U.S. federal statutory tax rate of 34% and our effective tax rate of 23% was primarily due to non-U.S. based earnings being taxed at lower rates. The statutory and effective income tax rates in many of the foreign countries in which we operate are lower than the U.S. federal statutory rate. Additionally, during the first quarter of 2011, the effective tax rate was reduced by recognizing deferred tax benefits totaling $631 related to the Eltmann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deconsolidation. These benefits related to losses for write-offs of receivables owed by Eltmann to certain NN subsidiaries that will be deductible once Eltmann is finally liquidated in 2012 or 2013. The table below summarizes the impacts on the effective tax rate for the nine month periods ended September 30, 2011 and 2010.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8"/>
              </w:rPr>
              <w:t>Nine Months</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2"/>
              </w:rPr>
              <w:t>ended</w:t>
            </w:r>
          </w:p>
        </w:tc>
        <w:tc>
          <w:tcPr>
            <w:tcW w:w="18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64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vMerge w:val="continue"/>
          </w:tcPr>
          <w:p>
            <w:pPr>
              <w:spacing w:after="0"/>
              <w:rPr>
                <w:sz w:val="14"/>
                <w:szCs w:val="14"/>
                <w:color w:val="auto"/>
              </w:rPr>
            </w:pPr>
          </w:p>
        </w:tc>
        <w:tc>
          <w:tcPr>
            <w:tcW w:w="6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77"/>
              <w:spacing w:after="0" w:line="148" w:lineRule="exact"/>
              <w:rPr>
                <w:sz w:val="20"/>
                <w:szCs w:val="20"/>
                <w:color w:val="auto"/>
              </w:rPr>
            </w:pPr>
            <w:r>
              <w:rPr>
                <w:rFonts w:ascii="Arial" w:cs="Arial" w:eastAsia="Arial" w:hAnsi="Arial"/>
                <w:sz w:val="14"/>
                <w:szCs w:val="14"/>
                <w:b w:val="1"/>
                <w:bCs w:val="1"/>
                <w:color w:val="auto"/>
                <w:w w:val="83"/>
              </w:rPr>
              <w:t>2011</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7"/>
              <w:spacing w:after="0" w:line="148"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 at the federal statutory rate of 34%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7,112</w:t>
            </w: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(Decrease) increase in U.S. 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earnings taxed at lower rates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U.S. State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differences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4,886</w:t>
            </w:r>
          </w:p>
        </w:tc>
        <w:tc>
          <w:tcPr>
            <w:tcW w:w="84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nine month period ended September 30, 2011, we have begun to recognize tax expense at our Kunshan (China) Plant and our Kysucke (Slovakia) Plant as we have fully utilized the previous net operating losses at these foreign jurisdictions.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do not foresee any significant changes to our unrecognized tax benefits within the next twelve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described more fully in our Form 10-K for 2010, we continue to monitor the remediation efforts at a former waste recycling vendor used by our former Walterboro, South Carolina facility. The costs associated with the remediation, which has been tentatively approved by the EPA, are estimated to be approximately $10,000. Our allocated share is approximately $143 which has been fully accrued as of September 30, 2011. While there can be no assurances, we believe that $143 is the maximum amount for which we will be liable under the tentatively accepted remediation plan.</w:t>
      </w:r>
    </w:p>
    <w:p>
      <w:pPr>
        <w:spacing w:after="0" w:line="113"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of Financial Instruments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fair values of the Company’s fixed rate long-term borrowings are calculated by using a discounted cash flow analysis factoring in current market borrowing rates for similar types of borrowing arrangements under our credit profile. The current market borrowing rates are Level 2 inputs under the U.S. GAAP fair value hierarchy. The carrying amounts and fair values of the Company’s long-term debt are in the table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6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 2011</w:t>
            </w: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210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Carrying</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Variable rate long-term debt</w:t>
            </w:r>
          </w:p>
        </w:tc>
        <w:tc>
          <w:tcPr>
            <w:tcW w:w="3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$73,229</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$73,229</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$50,500</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$50,500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Fixed rate long-term debt</w:t>
            </w:r>
          </w:p>
        </w:tc>
        <w:tc>
          <w:tcPr>
            <w:tcW w:w="4300" w:type="dxa"/>
            <w:vAlign w:val="bottom"/>
            <w:gridSpan w:val="3"/>
          </w:tcPr>
          <w:p>
            <w:pPr>
              <w:ind w:left="3320"/>
              <w:spacing w:after="0"/>
              <w:rPr>
                <w:sz w:val="20"/>
                <w:szCs w:val="20"/>
                <w:color w:val="auto"/>
              </w:rPr>
            </w:pPr>
            <w:r>
              <w:rPr>
                <w:rFonts w:ascii="Arial" w:cs="Arial" w:eastAsia="Arial" w:hAnsi="Arial"/>
                <w:sz w:val="18"/>
                <w:szCs w:val="18"/>
                <w:color w:val="auto"/>
              </w:rPr>
              <w:t>$17,143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$17,700</w:t>
            </w:r>
          </w:p>
        </w:tc>
        <w:tc>
          <w:tcPr>
            <w:tcW w:w="4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$22,857</w:t>
            </w:r>
          </w:p>
        </w:tc>
        <w:tc>
          <w:tcPr>
            <w:tcW w:w="3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$22,195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20" w:type="dxa"/>
            <w:vAlign w:val="bottom"/>
          </w:tcPr>
          <w:p>
            <w:pPr>
              <w:jc w:val="right"/>
              <w:ind w:right="1472"/>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2010 under Item 1.A. “Risk Factors.” There have been no material changes to these risk factors since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2011 Compared to the Three Months Ended September 30,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w w:val="88"/>
              </w:rPr>
              <w:t>Consolidated NN, Inc.</w:t>
            </w:r>
          </w:p>
        </w:tc>
        <w:tc>
          <w:tcPr>
            <w:tcW w:w="0" w:type="dxa"/>
            <w:vAlign w:val="bottom"/>
          </w:tcPr>
          <w:p>
            <w:pPr>
              <w:spacing w:after="0"/>
              <w:rPr>
                <w:sz w:val="1"/>
                <w:szCs w:val="1"/>
                <w:color w:val="auto"/>
              </w:rPr>
            </w:pPr>
          </w:p>
        </w:tc>
      </w:tr>
      <w:tr>
        <w:trPr>
          <w:trHeight w:val="142"/>
        </w:trPr>
        <w:tc>
          <w:tcPr>
            <w:tcW w:w="7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101,143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$90,996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w w:val="87"/>
              </w:rPr>
              <w:t>10,147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i w:val="1"/>
                <w:iCs w:val="1"/>
                <w:color w:val="auto"/>
              </w:rPr>
              <w:t>Price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2,554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83,575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75,066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8,509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i w:val="1"/>
                <w:iCs w:val="1"/>
                <w:color w:val="auto"/>
              </w:rPr>
              <w:t>Cost reduction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i w:val="1"/>
                <w:iCs w:val="1"/>
                <w:color w:val="auto"/>
              </w:rPr>
              <w:t>Inflation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Other specific costs increases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2,234</w:t>
            </w:r>
          </w:p>
        </w:tc>
        <w:tc>
          <w:tcPr>
            <w:tcW w:w="0" w:type="dxa"/>
            <w:vAlign w:val="bottom"/>
          </w:tcPr>
          <w:p>
            <w:pPr>
              <w:spacing w:after="0"/>
              <w:rPr>
                <w:sz w:val="1"/>
                <w:szCs w:val="1"/>
                <w:color w:val="auto"/>
              </w:rPr>
            </w:pPr>
          </w:p>
        </w:tc>
      </w:tr>
      <w:tr>
        <w:trPr>
          <w:trHeight w:val="323"/>
        </w:trPr>
        <w:tc>
          <w:tcPr>
            <w:tcW w:w="79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7,498</w:t>
            </w:r>
          </w:p>
        </w:tc>
        <w:tc>
          <w:tcPr>
            <w:tcW w:w="200" w:type="dxa"/>
            <w:vAlign w:val="bottom"/>
          </w:tcPr>
          <w:p>
            <w:pPr>
              <w:spacing w:after="0"/>
              <w:rPr>
                <w:sz w:val="24"/>
                <w:szCs w:val="24"/>
                <w:color w:val="auto"/>
              </w:rPr>
            </w:pPr>
          </w:p>
        </w:tc>
        <w:tc>
          <w:tcPr>
            <w:tcW w:w="900" w:type="dxa"/>
            <w:vAlign w:val="bottom"/>
            <w:gridSpan w:val="3"/>
          </w:tcPr>
          <w:p>
            <w:pPr>
              <w:jc w:val="right"/>
              <w:ind w:right="118"/>
              <w:spacing w:after="0"/>
              <w:rPr>
                <w:sz w:val="20"/>
                <w:szCs w:val="20"/>
                <w:color w:val="auto"/>
              </w:rPr>
            </w:pPr>
            <w:r>
              <w:rPr>
                <w:rFonts w:ascii="Arial" w:cs="Arial" w:eastAsia="Arial" w:hAnsi="Arial"/>
                <w:sz w:val="18"/>
                <w:szCs w:val="18"/>
                <w:b w:val="1"/>
                <w:bCs w:val="1"/>
                <w:color w:val="auto"/>
              </w:rPr>
              <w:t>7,316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i w:val="1"/>
                <w:iCs w:val="1"/>
                <w:color w:val="auto"/>
              </w:rPr>
              <w:t>Decrease in spending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4,298</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4,189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Net decrease in depreciation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118"/>
              <w:spacing w:after="0"/>
              <w:rPr>
                <w:sz w:val="20"/>
                <w:szCs w:val="20"/>
                <w:color w:val="auto"/>
              </w:rPr>
            </w:pPr>
            <w:r>
              <w:rPr>
                <w:rFonts w:ascii="Arial" w:cs="Arial" w:eastAsia="Arial" w:hAnsi="Arial"/>
                <w:sz w:val="18"/>
                <w:szCs w:val="18"/>
                <w:b w:val="1"/>
                <w:bCs w:val="1"/>
                <w:color w:val="auto"/>
              </w:rPr>
              <w:t>823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(823)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1,169</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1,775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w:t>
            </w:r>
          </w:p>
        </w:tc>
        <w:tc>
          <w:tcPr>
            <w:tcW w:w="900" w:type="dxa"/>
            <w:vAlign w:val="bottom"/>
            <w:gridSpan w:val="3"/>
          </w:tcPr>
          <w:p>
            <w:pPr>
              <w:jc w:val="right"/>
              <w:ind w:right="118"/>
              <w:spacing w:after="0"/>
              <w:rPr>
                <w:sz w:val="20"/>
                <w:szCs w:val="20"/>
                <w:color w:val="auto"/>
              </w:rPr>
            </w:pPr>
            <w:r>
              <w:rPr>
                <w:rFonts w:ascii="Arial" w:cs="Arial" w:eastAsia="Arial" w:hAnsi="Arial"/>
                <w:sz w:val="18"/>
                <w:szCs w:val="18"/>
                <w:b w:val="1"/>
                <w:bCs w:val="1"/>
                <w:color w:val="auto"/>
              </w:rPr>
              <w:t>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(1,462)</w:t>
            </w:r>
          </w:p>
        </w:tc>
        <w:tc>
          <w:tcPr>
            <w:tcW w:w="90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1,407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w w:val="94"/>
              </w:rPr>
              <w:t>(2,869)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Income (loss)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6,344</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1,386</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752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(1,008</w:t>
            </w:r>
          </w:p>
        </w:tc>
        <w:tc>
          <w:tcPr>
            <w:tcW w:w="200" w:type="dxa"/>
            <w:vAlign w:val="bottom"/>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during the third quarter of 2011 from the third quarter of 2010 primarily due to the appreciation in value of Euro denominated sales,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third quarter of 2010, and due to the increase in sales from the pass-through of material inflation during the third quarter of 2011. Growth in the customer end markets we serve was less of a factor than in prior quarters and the degree of growth varied by geographic location and end segment. We experienced growth in our Asian and U.S. markets and from the new business added at our Precision Metal Components Segment. Partially offsetting the growth in these markets was a decrease in sales volume in Europe due mainly to more normalized third quarter seasonality during 2011 than that experienced in 2010. The increase in sales due to price was the result of targeted price increases to our customers across all businesses and product lines.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Cost of Products Sold (exclusive of depreciation). </w:t>
      </w:r>
      <w:r>
        <w:rPr>
          <w:rFonts w:ascii="Arial" w:cs="Arial" w:eastAsia="Arial" w:hAnsi="Arial"/>
          <w:sz w:val="16"/>
          <w:szCs w:val="16"/>
          <w:color w:val="auto"/>
        </w:rPr>
        <w:t>The majority of the increase was from the appreciation of Euro denominated costs and raw material inflation as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above. Volume increases were less of an impact on cost of products sold in the third quarter as discussed above. Additionally, cost of products sold increased due to costs added during the third quarter of 2011 for compensation related costs and from higher levels of spending on scheduled repairs and maintenance and for manufacturing supplies. During 2010, spending was greatly depressed in these areas due to the global recession. Additionally, we continue to incur start-up costs on new sales programs at two of our business units.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2011, our cost of products sold as a percentage of sales was approximately 82.6%, which is slightly higher than our historical range.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higher cost of products sold was due to operational inefficiencies related to the new sales program start-ups and additional specific costs mentioned above.</w:t>
      </w:r>
    </w:p>
    <w:p>
      <w:pPr>
        <w:spacing w:after="0" w:line="18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increase in spending in selling, general and administrative expenses was due to the appreciation in value of Euro</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costs as compared to the third quarter of 2010.</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reduction was due to the elimination of the Tempe Plant depreciation as a result of ceasing operations in August 2010 and</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elimination of the Eltmann Plant depreciation as a result of deconsolidating that unit. These reductions were partially offset by increased depreciation expense from depreciation on our 2011 year to date capital expenditures that we placed in service.</w:t>
      </w:r>
    </w:p>
    <w:p>
      <w:pPr>
        <w:spacing w:after="0" w:line="140"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was lower primarily due to decreases in the interest rate spread charged on our LIBOR credit facility and our senior notes,</w:t>
      </w:r>
      <w:r>
        <w:rPr>
          <w:rFonts w:ascii="Arial" w:cs="Arial" w:eastAsia="Arial" w:hAnsi="Arial"/>
          <w:sz w:val="15"/>
          <w:szCs w:val="15"/>
          <w:i w:val="1"/>
          <w:iCs w:val="1"/>
          <w:color w:val="auto"/>
        </w:rPr>
        <w:t xml:space="preserve"> </w:t>
      </w:r>
      <w:r>
        <w:rPr>
          <w:rFonts w:ascii="Arial" w:cs="Arial" w:eastAsia="Arial" w:hAnsi="Arial"/>
          <w:sz w:val="15"/>
          <w:szCs w:val="15"/>
          <w:color w:val="auto"/>
        </w:rPr>
        <w:t>partially offset by higher overall debt levels during 2011. These savings were achieved under the new credit agreement entered into in December 2010.</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 period ended September 30, 2010, we incurred $0.8 million in restructuring charges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of our Tempe Plant. (See Note 2 of the Notes to Condensed Consolidated Financial Statements).</w:t>
      </w:r>
    </w:p>
    <w:p>
      <w:pPr>
        <w:spacing w:after="0" w:line="132"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i w:val="1"/>
          <w:iCs w:val="1"/>
          <w:color w:val="auto"/>
        </w:rPr>
        <w:t xml:space="preserve">Other expense (income), net. </w:t>
      </w:r>
      <w:r>
        <w:rPr>
          <w:rFonts w:ascii="Arial" w:cs="Arial" w:eastAsia="Arial" w:hAnsi="Arial"/>
          <w:sz w:val="16"/>
          <w:szCs w:val="16"/>
          <w:color w:val="auto"/>
        </w:rPr>
        <w:t>Included in other expense (income), net, during the three months ended September 30, 2011, was $1.4 million related to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gains on inter-company loans. During the three months ended September 30, 2010, inter-company loans generated foreign exchange losses of $1.6 million. The gains and losses are a function of the appreciation or depreciation of the Euro versus the U.S. Dollar.</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three months ended September 30, 2011 and 2010, the difference between the effective tax rates of 23% and negative 293%,</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resulted from not recognizing tax benefits on the Tempe Plant closure costs in 2010 due to the existing valuation allowances placed on U.S. deferred tax assets. (See Note 13 of the Notes to Condensed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336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4"/>
          </w:tcPr>
          <w:p>
            <w:pPr>
              <w:jc w:val="right"/>
              <w:ind w:right="1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395"/>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72,476</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67,584</w:t>
            </w:r>
          </w:p>
        </w:tc>
        <w:tc>
          <w:tcPr>
            <w:tcW w:w="3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835"/>
              <w:spacing w:after="0" w:line="203" w:lineRule="exact"/>
              <w:rPr>
                <w:sz w:val="20"/>
                <w:szCs w:val="20"/>
                <w:color w:val="auto"/>
              </w:rPr>
            </w:pPr>
            <w:r>
              <w:rPr>
                <w:rFonts w:ascii="Arial" w:cs="Arial" w:eastAsia="Arial" w:hAnsi="Arial"/>
                <w:sz w:val="18"/>
                <w:szCs w:val="18"/>
                <w:b w:val="1"/>
                <w:bCs w:val="1"/>
                <w:color w:val="auto"/>
                <w:w w:val="87"/>
              </w:rPr>
              <w:t>$4,892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3,885</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(2,296)</w:t>
            </w:r>
          </w:p>
        </w:tc>
        <w:tc>
          <w:tcPr>
            <w:tcW w:w="0" w:type="dxa"/>
            <w:vAlign w:val="bottom"/>
          </w:tcPr>
          <w:p>
            <w:pPr>
              <w:spacing w:after="0"/>
              <w:rPr>
                <w:sz w:val="1"/>
                <w:szCs w:val="1"/>
                <w:color w:val="auto"/>
              </w:rPr>
            </w:pPr>
          </w:p>
        </w:tc>
      </w:t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i w:val="1"/>
                <w:iCs w:val="1"/>
                <w:color w:val="auto"/>
              </w:rPr>
              <w:t>Price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609</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Mix</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511</w:t>
            </w:r>
          </w:p>
        </w:tc>
        <w:tc>
          <w:tcPr>
            <w:tcW w:w="0" w:type="dxa"/>
            <w:vAlign w:val="bottom"/>
          </w:tcPr>
          <w:p>
            <w:pPr>
              <w:spacing w:after="0"/>
              <w:rPr>
                <w:sz w:val="1"/>
                <w:szCs w:val="1"/>
                <w:color w:val="auto"/>
              </w:rPr>
            </w:pPr>
          </w:p>
        </w:tc>
      </w:t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pass-through</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2,183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4,900</w:t>
            </w:r>
          </w:p>
        </w:tc>
        <w:tc>
          <w:tcPr>
            <w:tcW w:w="1420" w:type="dxa"/>
            <w:vAlign w:val="bottom"/>
            <w:shd w:val="clear" w:color="auto" w:fill="CCEEFF"/>
          </w:tcPr>
          <w:p>
            <w:pPr>
              <w:jc w:val="right"/>
              <w:ind w:right="835"/>
              <w:spacing w:after="0"/>
              <w:rPr>
                <w:sz w:val="20"/>
                <w:szCs w:val="20"/>
                <w:color w:val="auto"/>
              </w:rPr>
            </w:pPr>
            <w:r>
              <w:rPr>
                <w:rFonts w:ascii="Arial" w:cs="Arial" w:eastAsia="Arial" w:hAnsi="Arial"/>
                <w:sz w:val="18"/>
                <w:szCs w:val="18"/>
                <w:b w:val="1"/>
                <w:bCs w:val="1"/>
                <w:color w:val="auto"/>
                <w:w w:val="87"/>
              </w:rPr>
              <w:t>$1,164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increase in sales during the third quarter of 2011 was driven mainly by the appreciation of Euro dominated sales and from passing through raw material inflation to our customers in the form of price increases. Compared to the third quarter of 2010, sales volume was down in this segment due to experiencing more normalized European seasonality from the extended holiday periods taken during July and August of each year. In 2010, the seasonal reduction in sales volume experienced in Europe during the third quarter was not as pronounced due to recovery from the 2008/2009 global recession.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segment net income in the third quarter of 2011 was impacted primarily by sales price increases and the implementation of planned cost reduction projects. Additionally, the segment benefited from the appreciation in value of Euro based earnings during the third quarter of 2011. These favorable effects were partially offset by increased spending in labor related costs and for repairs and maintenance and manufacturing supplies during the third quarter of 2011 as compared to the third quarter of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86"/>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56"/>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17,910</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9"/>
              </w:rPr>
              <w:t>$13,410</w:t>
            </w:r>
          </w:p>
        </w:tc>
        <w:tc>
          <w:tcPr>
            <w:tcW w:w="4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756"/>
              <w:spacing w:after="0" w:line="203" w:lineRule="exact"/>
              <w:rPr>
                <w:sz w:val="20"/>
                <w:szCs w:val="20"/>
                <w:color w:val="auto"/>
              </w:rPr>
            </w:pPr>
            <w:r>
              <w:rPr>
                <w:rFonts w:ascii="Arial" w:cs="Arial" w:eastAsia="Arial" w:hAnsi="Arial"/>
                <w:sz w:val="18"/>
                <w:szCs w:val="18"/>
                <w:b w:val="1"/>
                <w:bCs w:val="1"/>
                <w:color w:val="auto"/>
                <w:w w:val="87"/>
              </w:rPr>
              <w:t>$4,500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i w:val="1"/>
                <w:iCs w:val="1"/>
                <w:color w:val="auto"/>
              </w:rPr>
              <w:t>Volume</w:t>
            </w: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3,980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20"/>
                <w:szCs w:val="20"/>
                <w:color w:val="auto"/>
              </w:rPr>
            </w:pPr>
            <w:r>
              <w:rPr>
                <w:rFonts w:ascii="Arial" w:cs="Arial" w:eastAsia="Arial" w:hAnsi="Arial"/>
                <w:sz w:val="18"/>
                <w:szCs w:val="18"/>
                <w:color w:val="auto"/>
              </w:rPr>
              <w:t>Segment net loss</w:t>
            </w:r>
          </w:p>
        </w:tc>
        <w:tc>
          <w:tcPr>
            <w:tcW w:w="5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(468)</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rPr>
              <w:t>$ (3,502)</w:t>
            </w:r>
          </w:p>
        </w:tc>
        <w:tc>
          <w:tcPr>
            <w:tcW w:w="1340" w:type="dxa"/>
            <w:vAlign w:val="bottom"/>
          </w:tcPr>
          <w:p>
            <w:pPr>
              <w:jc w:val="right"/>
              <w:ind w:right="756"/>
              <w:spacing w:after="0"/>
              <w:rPr>
                <w:sz w:val="20"/>
                <w:szCs w:val="20"/>
                <w:color w:val="auto"/>
              </w:rPr>
            </w:pPr>
            <w:r>
              <w:rPr>
                <w:rFonts w:ascii="Arial" w:cs="Arial" w:eastAsia="Arial" w:hAnsi="Arial"/>
                <w:sz w:val="18"/>
                <w:szCs w:val="18"/>
                <w:b w:val="1"/>
                <w:bCs w:val="1"/>
                <w:color w:val="auto"/>
                <w:w w:val="87"/>
              </w:rPr>
              <w:t>$3,034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majority of the increase in sales at this segment was due to the addition of four new multi-year sales programs. Partially offsetting the volume increases from the new sales programs was volume lost due to ceasing operations at the Tempe Plant during the third quarter of 2010. Additionally, sales were higher due to targeted price increases rolled out during early 2011.</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segment net loss was lower in the third quarter of 2011 due to benefits from increased sales volumes, sale price increases. Additionally, $2.1 million in Tempe plant closure related costs incurred in the third quarter 2010 not repeating during 2011. We did incur $1.0 million in operational inefficiencies and additional costs related to ramping up production for the four new large multi-year sales programs in the third quarter of 2011 which was consistent with levels experienced in the third quarter of 2010. However, we have achieved large reductions in start-up costs on the major sales program from the levels experienced during the fourth quarter of 2010 and the first half of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8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10,757</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10,002</w:t>
            </w:r>
          </w:p>
        </w:tc>
        <w:tc>
          <w:tcPr>
            <w:tcW w:w="4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$ 755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i w:val="1"/>
                <w:iCs w:val="1"/>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Price/material pass-through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20" w:type="dxa"/>
            <w:vAlign w:val="bottom"/>
            <w:gridSpan w:val="2"/>
          </w:tcPr>
          <w:p>
            <w:pPr>
              <w:spacing w:after="0"/>
              <w:rPr>
                <w:sz w:val="20"/>
                <w:szCs w:val="20"/>
                <w:color w:val="auto"/>
              </w:rPr>
            </w:pPr>
            <w:r>
              <w:rPr>
                <w:rFonts w:ascii="Arial" w:cs="Arial" w:eastAsia="Arial" w:hAnsi="Arial"/>
                <w:sz w:val="18"/>
                <w:szCs w:val="18"/>
                <w:color w:val="auto"/>
              </w:rPr>
              <w:t>Segment 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480" w:type="dxa"/>
            <w:vAlign w:val="bottom"/>
            <w:gridSpan w:val="2"/>
          </w:tcPr>
          <w:p>
            <w:pPr>
              <w:ind w:left="38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1540" w:type="dxa"/>
            <w:vAlign w:val="bottom"/>
            <w:gridSpan w:val="2"/>
          </w:tcPr>
          <w:p>
            <w:pPr>
              <w:ind w:left="400"/>
              <w:spacing w:after="0"/>
              <w:rPr>
                <w:sz w:val="20"/>
                <w:szCs w:val="20"/>
                <w:color w:val="auto"/>
              </w:rPr>
            </w:pPr>
            <w:r>
              <w:rPr>
                <w:rFonts w:ascii="Arial" w:cs="Arial" w:eastAsia="Arial" w:hAnsi="Arial"/>
                <w:sz w:val="18"/>
                <w:szCs w:val="18"/>
                <w:b w:val="1"/>
                <w:bCs w:val="1"/>
                <w:color w:val="auto"/>
              </w:rPr>
              <w:t>$(370)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volume increase for this segment was related to increased U.S. automotive end market demand. The majority of the increases in price are from passing through material inflation to customers which provided minimal impact to net income.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lower segment net income was due to operational inefficiencies from starting-up a new sales program which more than offset the benefits from higher sales volumes.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2011 Compared to the Nine Months Ended September 30,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w w:val="88"/>
              </w:rPr>
              <w:t>Consolidated NN, Inc.</w:t>
            </w:r>
          </w:p>
        </w:tc>
        <w:tc>
          <w:tcPr>
            <w:tcW w:w="0" w:type="dxa"/>
            <w:vAlign w:val="bottom"/>
          </w:tcPr>
          <w:p>
            <w:pPr>
              <w:spacing w:after="0"/>
              <w:rPr>
                <w:sz w:val="1"/>
                <w:szCs w:val="1"/>
                <w:color w:val="auto"/>
              </w:rPr>
            </w:pPr>
          </w:p>
        </w:tc>
      </w:tr>
      <w:tr>
        <w:trPr>
          <w:trHeight w:val="142"/>
        </w:trPr>
        <w:tc>
          <w:tcPr>
            <w:tcW w:w="73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328,371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269,029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$59,342</w:t>
            </w: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10,422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i w:val="1"/>
                <w:iCs w:val="1"/>
                <w:color w:val="auto"/>
              </w:rPr>
              <w:t>Price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4,798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1,186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9,082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268,530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217,403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51,127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8,838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23,992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i w:val="1"/>
                <w:iCs w:val="1"/>
                <w:color w:val="auto"/>
              </w:rPr>
              <w:t>Cost reduction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(5,441)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i w:val="1"/>
                <w:iCs w:val="1"/>
                <w:color w:val="auto"/>
              </w:rPr>
              <w:t>Inflation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11,536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New sales program start-up costs and other</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specific costs increases</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10,941</w:t>
            </w:r>
          </w:p>
        </w:tc>
        <w:tc>
          <w:tcPr>
            <w:tcW w:w="0" w:type="dxa"/>
            <w:vAlign w:val="bottom"/>
          </w:tcPr>
          <w:p>
            <w:pPr>
              <w:spacing w:after="0"/>
              <w:rPr>
                <w:sz w:val="1"/>
                <w:szCs w:val="1"/>
                <w:color w:val="auto"/>
              </w:rPr>
            </w:pPr>
          </w:p>
        </w:tc>
      </w:tr>
      <w:tr>
        <w:trPr>
          <w:trHeight w:val="323"/>
        </w:trPr>
        <w:tc>
          <w:tcPr>
            <w:tcW w:w="73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23,184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22,357</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827</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i w:val="1"/>
                <w:iCs w:val="1"/>
                <w:color w:val="auto"/>
              </w:rPr>
              <w:t>Increase in spending</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15,152</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Accelerated depreciation due to plant closure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during 2010 that did not repeat in 2011</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i w:val="1"/>
                <w:iCs w:val="1"/>
                <w:color w:val="auto"/>
              </w:rPr>
              <w:t>Net decrease in depreciation expense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(1,935)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2,060</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Gain from deconsolidation of bankrupt subsidiary</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5,258</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679</w:t>
            </w:r>
          </w:p>
        </w:tc>
        <w:tc>
          <w:tcPr>
            <w:tcW w:w="14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(1,569)</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9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20,920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13,361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 xml:space="preserve"> 11,696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during the first nine months of 2011 from the first nine months of 2010 due primarily to sales growth in the customer end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we serve. Both automotive and industrial end markets have experienced strong year over year sales growth due to the overall macro-economic growth and higher consumer demand. Additionally, sales increased due to the appreciation in value of Euro denominated sales. The increase in sales due to price was the result of targeted price increases to our customers across all businesses and product lines. The increase in sales from material inflation pass-through was due to increasing sales prices to our customers to recover actual material inflation incurred during the first nine months of 2011.</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Cost of Products Sold (exclusive of depreciation). </w:t>
      </w:r>
      <w:r>
        <w:rPr>
          <w:rFonts w:ascii="Arial" w:cs="Arial" w:eastAsia="Arial" w:hAnsi="Arial"/>
          <w:sz w:val="18"/>
          <w:szCs w:val="18"/>
          <w:color w:val="auto"/>
        </w:rPr>
        <w:t>The majority of the increase was due to the same sales volume increases discussed above. Additionally,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sold increased from the appreciation in value of Euro denominated costs. Cost of products sold increased $4.5 million due to production inefficiencies and additional incurred costs from starting up production on four new multi-year sales programs at our Wellington Plants of the Precision Metal Components Segment (discussed below). Additionally, cost of products sold increased due to specific costs added during the first nine months of 2011 for incentive compensation and compensation related costs,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and from higher levels of spending on scheduled repairs and maintenance and for manufacturing supplies. During the first nine months of 2010, spending was depressed in these areas due to the global recession. Finally, there were various one time benefits during the first nine months of 2010 related to labor concessions and credits from a material supplier (totaling $1.0 million) in Europe that did not repeat in the first nine months of 2011.</w:t>
      </w:r>
    </w:p>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first nine months of 2011, our cost of products sold as a percentage of sales was approximately 81.8%, which is slightly higher than our historical range. The higher cost of products sold was due to operational inefficiencies related to the new sales program start-ups and additional specific costs mentioned above.</w:t>
      </w:r>
    </w:p>
    <w:p>
      <w:pPr>
        <w:spacing w:after="0" w:line="140"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i w:val="1"/>
          <w:iCs w:val="1"/>
          <w:color w:val="auto"/>
        </w:rPr>
        <w:t xml:space="preserve">Selling, General and Administrative. </w:t>
      </w:r>
      <w:r>
        <w:rPr>
          <w:rFonts w:ascii="Arial" w:cs="Arial" w:eastAsia="Arial" w:hAnsi="Arial"/>
          <w:sz w:val="15"/>
          <w:szCs w:val="15"/>
          <w:color w:val="auto"/>
        </w:rPr>
        <w:t>The increase in spending in selling, general and administrative expenses was due to the addition of incentive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that was not in place during 2010 and from the addition of certain key positions at our Precision Metal Components Segment to support growth in this business.</w:t>
      </w:r>
    </w:p>
    <w:p>
      <w:pPr>
        <w:spacing w:after="0" w:line="62" w:lineRule="exact"/>
        <w:rPr>
          <w:sz w:val="20"/>
          <w:szCs w:val="20"/>
          <w:color w:val="auto"/>
        </w:rPr>
      </w:pPr>
    </w:p>
    <w:p>
      <w:pPr>
        <w:jc w:val="both"/>
        <w:ind w:right="100"/>
        <w:spacing w:after="0" w:line="318"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A large portion of the decrease in depreciation and amortization expense was due to the accelerated depreciation of $1.0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on certain fixed assets at our Tempe Plant during the first quarter of 2010, which did not repeat during 2011, and the elimination of the Tempe Plant depreciation from the 2011 expense due to ceasing operations in August 2010. The remainder of the reduction was due to certain assets, which are still in use, at our Pinerolo Plant becoming fully depreciated from the second quarter of 2010 onward and from the elimination of the Eltmann Plant depreciation due to deconsolidation of that unit. Partially offsetting these favorable effects was the impact on depreciation of our 2011 year to date capital expenditures that we placed in service.</w:t>
      </w:r>
    </w:p>
    <w:p>
      <w:pPr>
        <w:spacing w:after="0" w:line="100"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was lower primarily due to decreases in the interest rate spread charged on our LIBOR credit facility and our senior notes</w:t>
      </w:r>
      <w:r>
        <w:rPr>
          <w:rFonts w:ascii="Arial" w:cs="Arial" w:eastAsia="Arial" w:hAnsi="Arial"/>
          <w:sz w:val="15"/>
          <w:szCs w:val="15"/>
          <w:i w:val="1"/>
          <w:iCs w:val="1"/>
          <w:color w:val="auto"/>
        </w:rPr>
        <w:t xml:space="preserve"> </w:t>
      </w:r>
      <w:r>
        <w:rPr>
          <w:rFonts w:ascii="Arial" w:cs="Arial" w:eastAsia="Arial" w:hAnsi="Arial"/>
          <w:sz w:val="15"/>
          <w:szCs w:val="15"/>
          <w:color w:val="auto"/>
        </w:rPr>
        <w:t>partially offset by higher overall debt levels during 2011. These savings were achieved under the new credit agreement entered into in December 2010.</w:t>
      </w:r>
    </w:p>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nine month period ended September 30, 2010, we incurred $2.0 million in restructuring charges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of our Tempe Plant. (See Note 2 of the Notes to Condensed Consolidated Financial Statements).</w:t>
      </w:r>
    </w:p>
    <w:p>
      <w:pPr>
        <w:spacing w:after="0" w:line="132"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i w:val="1"/>
          <w:iCs w:val="1"/>
          <w:color w:val="auto"/>
        </w:rPr>
        <w:t xml:space="preserve">Other expense (income), net. </w:t>
      </w:r>
      <w:r>
        <w:rPr>
          <w:rFonts w:ascii="Arial" w:cs="Arial" w:eastAsia="Arial" w:hAnsi="Arial"/>
          <w:sz w:val="16"/>
          <w:szCs w:val="16"/>
          <w:color w:val="auto"/>
        </w:rPr>
        <w:t>Included in other expense (income), net, during the nine months ended September 30, 2011, was $0.3 million related to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losses on inter-company loans. During the nine months ended September 30, 2010, inter-company loans generated foreign exchange gains of $1.2 million. The gains and losses are a function of the appreciation or depreciation of the Euro versus the U.S. Dollar.</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nine months ended September 30, 2011 and 2010, the difference between the effective tax rates of 23% and 43%,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was mainly due to not recognizing tax benefits on the Tempe Plant closure costs and other incurred losses in the U.S. due to existing deferred tax valuation allowances in 2010 and from recognizing tax benefits related to the Eltmann deconsolidation in 2011. (See Note 13 of the Notes to Condensed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7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83"/>
              </w:rPr>
              <w:t>September 30,</w:t>
            </w: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435"/>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2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241,084</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196,473</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tcBorders>
            <w:shd w:val="clear" w:color="auto" w:fill="CCEEFF"/>
          </w:tcPr>
          <w:p>
            <w:pPr>
              <w:jc w:val="right"/>
              <w:ind w:right="835"/>
              <w:spacing w:after="0" w:line="203" w:lineRule="exact"/>
              <w:rPr>
                <w:sz w:val="20"/>
                <w:szCs w:val="20"/>
                <w:color w:val="auto"/>
              </w:rPr>
            </w:pPr>
            <w:r>
              <w:rPr>
                <w:rFonts w:ascii="Arial" w:cs="Arial" w:eastAsia="Arial" w:hAnsi="Arial"/>
                <w:sz w:val="18"/>
                <w:szCs w:val="18"/>
                <w:b w:val="1"/>
                <w:bCs w:val="1"/>
                <w:color w:val="auto"/>
                <w:w w:val="83"/>
              </w:rPr>
              <w:t>44,611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10,422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i w:val="1"/>
                <w:iCs w:val="1"/>
                <w:color w:val="auto"/>
              </w:rPr>
              <w:t>Price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2,893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7,742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17,485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835"/>
              <w:spacing w:after="0"/>
              <w:rPr>
                <w:sz w:val="20"/>
                <w:szCs w:val="20"/>
                <w:color w:val="auto"/>
              </w:rPr>
            </w:pPr>
            <w:r>
              <w:rPr>
                <w:rFonts w:ascii="Arial" w:cs="Arial" w:eastAsia="Arial" w:hAnsi="Arial"/>
                <w:sz w:val="18"/>
                <w:szCs w:val="18"/>
                <w:b w:val="1"/>
                <w:bCs w:val="1"/>
                <w:color w:val="auto"/>
              </w:rPr>
              <w:t>7,309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sales volume increase has been in our core Metal Bearings Components Segment. This growth has been across all geographic regions and all end markets served, principally automotive and industrial. However, during the third quarter of 2011, sales volumes decreased from levels in the first half of 2011 due to lower sales in Western Europe as a result of normal third quarter seasonality.</w:t>
      </w:r>
    </w:p>
    <w:p>
      <w:pPr>
        <w:spacing w:after="0" w:line="140"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segment net income was impacted primarily by the large increase in sales volume and the related production efficiencies and leveraging of fixed production costs. The impact of fixed costs and related leveraging of production capacity is significant in this segment because a large portion of our installed capacity is in Western Europe, where labor cost is more semi-variable. Additionally, the segment results were favorably impacted by the implementation of planned cost reduction projects. The 2010 segment net income included $1.0 million in after-tax foreign exchange gains on certain inter-company loans as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550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320"/>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96"/>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6"/>
              </w:rPr>
              <w:t>$53,846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6"/>
              </w:rPr>
              <w:t>$43,021</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ind w:right="756"/>
              <w:spacing w:after="0" w:line="203" w:lineRule="exact"/>
              <w:rPr>
                <w:sz w:val="20"/>
                <w:szCs w:val="20"/>
                <w:color w:val="auto"/>
              </w:rPr>
            </w:pPr>
            <w:r>
              <w:rPr>
                <w:rFonts w:ascii="Arial" w:cs="Arial" w:eastAsia="Arial" w:hAnsi="Arial"/>
                <w:sz w:val="18"/>
                <w:szCs w:val="18"/>
                <w:b w:val="1"/>
                <w:bCs w:val="1"/>
                <w:color w:val="auto"/>
                <w:w w:val="87"/>
              </w:rPr>
              <w:t>10,825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i w:val="1"/>
                <w:iCs w:val="1"/>
                <w:color w:val="auto"/>
              </w:rPr>
              <w:t>Volume</w:t>
            </w:r>
          </w:p>
        </w:tc>
        <w:tc>
          <w:tcPr>
            <w:tcW w:w="5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9,054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5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500" w:type="dxa"/>
            <w:vAlign w:val="bottom"/>
          </w:tcPr>
          <w:p>
            <w:pPr>
              <w:spacing w:after="0"/>
              <w:rPr>
                <w:sz w:val="20"/>
                <w:szCs w:val="20"/>
                <w:color w:val="auto"/>
              </w:rPr>
            </w:pPr>
            <w:r>
              <w:rPr>
                <w:rFonts w:ascii="Arial" w:cs="Arial" w:eastAsia="Arial" w:hAnsi="Arial"/>
                <w:sz w:val="18"/>
                <w:szCs w:val="18"/>
                <w:color w:val="auto"/>
              </w:rPr>
              <w:t>Segment net loss</w:t>
            </w:r>
          </w:p>
        </w:tc>
        <w:tc>
          <w:tcPr>
            <w:tcW w:w="6320" w:type="dxa"/>
            <w:vAlign w:val="bottom"/>
            <w:gridSpan w:val="3"/>
          </w:tcPr>
          <w:p>
            <w:pPr>
              <w:ind w:left="5500"/>
              <w:spacing w:after="0"/>
              <w:rPr>
                <w:sz w:val="20"/>
                <w:szCs w:val="20"/>
                <w:color w:val="auto"/>
              </w:rPr>
            </w:pPr>
            <w:r>
              <w:rPr>
                <w:rFonts w:ascii="Arial" w:cs="Arial" w:eastAsia="Arial" w:hAnsi="Arial"/>
                <w:sz w:val="18"/>
                <w:szCs w:val="18"/>
                <w:b w:val="1"/>
                <w:bCs w:val="1"/>
                <w:color w:val="auto"/>
              </w:rPr>
              <w:t>$ (3,806)</w:t>
            </w:r>
          </w:p>
        </w:tc>
        <w:tc>
          <w:tcPr>
            <w:tcW w:w="980" w:type="dxa"/>
            <w:vAlign w:val="bottom"/>
            <w:gridSpan w:val="3"/>
          </w:tcPr>
          <w:p>
            <w:pPr>
              <w:ind w:left="160"/>
              <w:spacing w:after="0"/>
              <w:rPr>
                <w:sz w:val="20"/>
                <w:szCs w:val="20"/>
                <w:color w:val="auto"/>
              </w:rPr>
            </w:pPr>
            <w:r>
              <w:rPr>
                <w:rFonts w:ascii="Arial" w:cs="Arial" w:eastAsia="Arial" w:hAnsi="Arial"/>
                <w:sz w:val="18"/>
                <w:szCs w:val="18"/>
                <w:b w:val="1"/>
                <w:bCs w:val="1"/>
                <w:color w:val="auto"/>
              </w:rPr>
              <w:t>$ (6,003)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756"/>
              <w:spacing w:after="0"/>
              <w:rPr>
                <w:sz w:val="20"/>
                <w:szCs w:val="20"/>
                <w:color w:val="auto"/>
              </w:rPr>
            </w:pPr>
            <w:r>
              <w:rPr>
                <w:rFonts w:ascii="Arial" w:cs="Arial" w:eastAsia="Arial" w:hAnsi="Arial"/>
                <w:sz w:val="18"/>
                <w:szCs w:val="18"/>
                <w:b w:val="1"/>
                <w:bCs w:val="1"/>
                <w:color w:val="auto"/>
              </w:rPr>
              <w:t>2,197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majority of the increase in sales at this segment was due to the addition of four new multi-year sales programs. Partially offsetting the volume increases from the new sales programs was volume lost due to ceasing operations at the Tempe Plant during the third quarter of 2010.</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segment net loss was lower in 2011 due to benefits from increased sales volumes and price increases during 2011. Additionally, $4.3 million in Tempe plant closure related costs that incurred in 2010 did not repeat during 2011. Partially offsetting these favorable effects was $4.5 million in operational inefficiencies and additional incurred costs related to ramping up production for four new large multi-year sales programs. We have begun to achieve reductions in start-up costs on the major sales programs from the levels experienced during the fourth quarter of 2010 and first half of 2011.</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right="116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326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right="1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76"/>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33,441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29,535</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ind w:right="776"/>
              <w:spacing w:after="0" w:line="203" w:lineRule="exact"/>
              <w:rPr>
                <w:sz w:val="20"/>
                <w:szCs w:val="20"/>
                <w:color w:val="auto"/>
              </w:rPr>
            </w:pPr>
            <w:r>
              <w:rPr>
                <w:rFonts w:ascii="Arial" w:cs="Arial" w:eastAsia="Arial" w:hAnsi="Arial"/>
                <w:sz w:val="18"/>
                <w:szCs w:val="18"/>
                <w:b w:val="1"/>
                <w:bCs w:val="1"/>
                <w:color w:val="auto"/>
                <w:w w:val="84"/>
              </w:rPr>
              <w:t>3,906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Price/material pass-through</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Arial" w:cs="Arial" w:eastAsia="Arial" w:hAnsi="Arial"/>
                <w:sz w:val="18"/>
                <w:szCs w:val="18"/>
                <w:color w:val="auto"/>
              </w:rPr>
              <w:t>Segment net income</w:t>
            </w: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1,853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1,937</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716"/>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color w:val="auto"/>
        </w:rPr>
        <w:t>The volume increase for this segment was related to increased U.S. automotive end market demand as the economy and consumer demand has returned to more normalized levels. The majority of the increases in price are from passing through material inflation to customers which provided minimal impact to net income.</w:t>
      </w:r>
    </w:p>
    <w:p>
      <w:pPr>
        <w:spacing w:after="0" w:line="14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decrease in segment net income was from operational inefficiencies due to starting-up a new sales program. These additional costs more than offset the favorable benefit that resulted from the 8% increase in sales volume and the related operational efficiencies from higher levels of production.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December 31, 2010 to September 30, 2011, our total assets increased $20.4 million and our current assets increased $18.9 million. The appreciation in the value of Euro and Chinese Yuan denominated account balances relative to the U.S. Dollar caused total assets and current assets to increase approximately $1.7 million and $0.8 million, respectively, from December 31, 2010. Excluding the foreign exchange effects, accounts receivable was higher by $9.1 million due to the 14% increase in sales volume experienced in September and August of 2011 from sales levels in December and November of 2010. Additionally, the days sales outstanding have increased 5 days as of September 30, 2011 due to timing of certain customer receipts and a higher mix of export customers with payment terms greater than 30 days at September 30, 2011. Partially offsetting these increases was a $3.4 million reduction from the deconsolidation of Eltmann’s accounts receivable balances effective January 20, 2011. Net overdue receivables were approximately 14% and 12% of total accounts receivable at September 30, 2011 and December 31, 2010, respectively. Excluding the foreign exchange effects, inventories increased by $1.5 million from December 31, 2010 due to planned inventory builds for customer service and increases in raw material. Excluding the foreign exchange effects, property, plant and equipment increased $0.5 million as year to date capital spending was $2.2 million higher than depreciation. This was mostly offset by the deconsolidation of machinery at Eltmann with a net book value of $1.3 million effective January 20, 2011.</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From December 31, 2010 to September 30, 2011, our total liabilities decreased $0.1 million. The appreciation in the value of Euro and Chinese Yuan denominated account balances relative to the U.S. Dollar caused total liabilities to increase approximately $1.5 million from December 31, 2010. Debt increased by $17.0 million in part to fund working capital due to the large growth in sales and production volumes experienced during the first nine months of 2011 and to fund capital expenditures. Partially offsetting this increase in debt was the elimination of the Eltmann accrued pension liability totaling $5.6 million due to deconsolidation of Eltmann. Finally, excluding foreign exchange effects, accounts payable decreased $10.3 million due to deconsolidating Eltmann accounts payable of $1.9 million, and due to timing of payments to certain vendors.</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Working capital, which consists principally of accounts receivable and inventories offset by accounts payable and current maturities of long-term debt, was $59.3 million at September 30, 2011 as compared to $32.1 million at December 31, 2010. The ratio of current assets to current liabilities increased from 1.38:1 at December 31, 2010 to 1.79:1 at September 30, 2011. The increase in working capital was due primarily to the growth in accounts receivable from a 14% increase in sales volume experienced during the third quarter of 2011 and from the reduction in accounts payable.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Cash flow provided by operations was $3.3 million for the first nine months of 2011 compared with cash flow provided by operations of $13.1 million for the same period in 2010. The unfavorable variance in cash flow provided by operations was principally due to the current year decrease in accounts payable compared to an increase in accounts payable in 2010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Amounts outstanding under our $100.0 million credit facility and our $40.0 million senior notes as of September 30, 2011 were $73.2 million (including $3.5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under our swing line of credit) and $17.1 million, respectively. As of September 30, 2011, we can borrow up to an additional $16.1 million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credit facility, including $6.5 million under our swing line of credit, subject to limitations based on existing financial covenants. The $16.1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availability is net of $0.7 million of outstanding letters of credit at September 30, 2011 which are considered as usage of the facility. The $16.1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considers our new liquidity requirement from the September 30, 2011 amendment that the total outstanding under the revolving credit agreement shall be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less than the total committed amount of $100 million during the period commencing September 30, 2011 and ending on September 30, 2012.</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were in compliance with all covenants related to the amended and restated $100.0 million credit facility and the amended and restated $40.0 million senior notes as of September 30, 2011. The specific covenants to which we are subject and our actual results compared to those covenants are disclosed in Note 9 of the Notes to Condensed Consolidated Financial Statements.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Many of our locations use the Euro as their functional currency. In 2011, the fluctuation of the Euro against the U.S. Dollar favorably impacted revenue, increased the value of assets and liabilities of certain foreign subsidiaries and had a favorable impact on net income from the translation of net income of certain foreign subsidiaries. As of September 30, 2011, no currency hedges were in place. Changes in value of the U.S. Dollar and/or Euro against foreign currencies could impair our ability to compete with international competitors for foreign as well as domestic sales.</w:t>
      </w:r>
    </w:p>
    <w:p>
      <w:pPr>
        <w:spacing w:after="0" w:line="11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have made planned capital expenditures totaling $14.8 million as of September 30, 2011. During 2011, we expect to spend approximately $24.0 million on capital expenditures, the majority of which relate to new or expanded business. We are considering growth initiatives which could increase our spending on capital expenditures by up to $3 million during the remainder of 2011. We believe that funds generated from operations and borrowings from the credit facilities will be sufficient to finance our capital expenditures and working capital needs through September 2012. We base this assertion on our current availability for borrowing of up to $16.1 million and our forecasted positive cash flow from operations for the remaining quarter of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2010, including those policies as discussed in Note 1 to the annual report. There have been no changes to these policies during the nine month period ended September 30,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September 30, 2011, we had $73.2 million outstanding under our variable rate revolving credit facilities and $17.1 million fixed rate senior notes outstanding. See Note 9 of the Notes to Condensed Consolidated Financial Statements. At September 30, 2011, a one-percent increase in the interest rate charged on our outstanding variable rate borrowings would result in interest expense increasing annually by approximately $0.7 million.</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September 30,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September 30, 2011, the end of the period covered by this quarterly report.</w:t>
      </w:r>
    </w:p>
    <w:p>
      <w:pPr>
        <w:spacing w:after="0" w:line="1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There have been no changes in the fiscal quarter ended September 30, 2011 in our internal control over financial reporting that have materially affected, or are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6"/>
          <w:szCs w:val="16"/>
          <w:b w:val="1"/>
          <w:bCs w:val="1"/>
          <w:color w:val="auto"/>
        </w:rPr>
        <w:t>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described more fully in our Form 10-K for 2010, we continue to monitor the remediation efforts at a former waste recycling vendor used by our former Walterboro, South Carolina facility. The costs associated with the remediation, which has been tentatively approved by the EPA, are estimated to be approximately $10 million of which our allocated share is approximately $0.1 million which has been fully accrued for as of September 30, 2011. While there can be no assurances, we believe that the $0.1 million is the maximum amount for which we will be liable under the tentatively accepted remediation plan.</w:t>
      </w:r>
    </w:p>
    <w:p>
      <w:pPr>
        <w:spacing w:after="0" w:line="11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2010 under Item 1.A. “Risk Factors.” There have been no material changes to these risk factors since December 31,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Certification Pursuant to Rules 13a-14(a) and 15d-14(a) under the Securities Exchange Act of 1934, as amended.</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Pursuant to Rules 13a-14(a) and 15d-14(a) under the Securities Exchange Act of 1934, as amended.</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NN, Inc.</w:t>
            </w:r>
          </w:p>
        </w:tc>
        <w:tc>
          <w:tcPr>
            <w:tcW w:w="4980" w:type="dxa"/>
            <w:vAlign w:val="bottom"/>
            <w:tcBorders>
              <w:bottom w:val="single" w:sz="8" w:color="auto"/>
            </w:tcBorders>
          </w:tcPr>
          <w:p>
            <w:pPr>
              <w:spacing w:after="0"/>
              <w:rPr>
                <w:sz w:val="19"/>
                <w:szCs w:val="19"/>
                <w:color w:val="auto"/>
              </w:rPr>
            </w:pPr>
          </w:p>
        </w:tc>
      </w:tr>
      <w:tr>
        <w:trPr>
          <w:trHeight w:val="217"/>
        </w:trPr>
        <w:tc>
          <w:tcPr>
            <w:tcW w:w="536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w w:val="99"/>
              </w:rPr>
              <w:t>(Registrant)</w:t>
            </w:r>
          </w:p>
        </w:tc>
        <w:tc>
          <w:tcPr>
            <w:tcW w:w="4980" w:type="dxa"/>
            <w:vAlign w:val="bottom"/>
          </w:tcPr>
          <w:p>
            <w:pPr>
              <w:spacing w:after="0"/>
              <w:rPr>
                <w:sz w:val="18"/>
                <w:szCs w:val="18"/>
                <w:color w:val="auto"/>
              </w:rPr>
            </w:pPr>
          </w:p>
        </w:tc>
      </w:tr>
      <w:tr>
        <w:trPr>
          <w:trHeight w:val="425"/>
        </w:trPr>
        <w:tc>
          <w:tcPr>
            <w:tcW w:w="5360" w:type="dxa"/>
            <w:vAlign w:val="bottom"/>
          </w:tcPr>
          <w:p>
            <w:pPr>
              <w:spacing w:after="0"/>
              <w:rPr>
                <w:sz w:val="20"/>
                <w:szCs w:val="20"/>
                <w:color w:val="auto"/>
              </w:rPr>
            </w:pPr>
            <w:r>
              <w:rPr>
                <w:rFonts w:ascii="Arial" w:cs="Arial" w:eastAsia="Arial" w:hAnsi="Arial"/>
                <w:sz w:val="18"/>
                <w:szCs w:val="18"/>
                <w:color w:val="auto"/>
              </w:rPr>
              <w:t>Date: November 8, 2011</w:t>
            </w:r>
          </w:p>
        </w:tc>
        <w:tc>
          <w:tcPr>
            <w:tcW w:w="720" w:type="dxa"/>
            <w:vAlign w:val="bottom"/>
          </w:tcPr>
          <w:p>
            <w:pPr>
              <w:spacing w:after="0"/>
              <w:rPr>
                <w:sz w:val="24"/>
                <w:szCs w:val="24"/>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Roderick R. Baty</w:t>
            </w:r>
          </w:p>
        </w:tc>
      </w:tr>
      <w:tr>
        <w:trPr>
          <w:trHeight w:val="202"/>
        </w:trPr>
        <w:tc>
          <w:tcPr>
            <w:tcW w:w="5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Roderick R. Baty,</w:t>
            </w:r>
          </w:p>
        </w:tc>
      </w:tr>
      <w:tr>
        <w:trPr>
          <w:trHeight w:val="216"/>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Chairman, President and Chief Executive Officer</w:t>
            </w:r>
          </w:p>
        </w:tc>
      </w:tr>
      <w:tr>
        <w:trPr>
          <w:trHeight w:val="222"/>
        </w:trPr>
        <w:tc>
          <w:tcPr>
            <w:tcW w:w="5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(Duly Authorized Officer)</w:t>
            </w:r>
          </w:p>
        </w:tc>
      </w:tr>
      <w:tr>
        <w:trPr>
          <w:trHeight w:val="447"/>
        </w:trPr>
        <w:tc>
          <w:tcPr>
            <w:tcW w:w="5360" w:type="dxa"/>
            <w:vAlign w:val="bottom"/>
          </w:tcPr>
          <w:p>
            <w:pPr>
              <w:spacing w:after="0"/>
              <w:rPr>
                <w:sz w:val="20"/>
                <w:szCs w:val="20"/>
                <w:color w:val="auto"/>
              </w:rPr>
            </w:pPr>
            <w:r>
              <w:rPr>
                <w:rFonts w:ascii="Arial" w:cs="Arial" w:eastAsia="Arial" w:hAnsi="Arial"/>
                <w:sz w:val="18"/>
                <w:szCs w:val="18"/>
                <w:color w:val="auto"/>
              </w:rPr>
              <w:t>Date: November 8, 2011</w:t>
            </w:r>
          </w:p>
        </w:tc>
        <w:tc>
          <w:tcPr>
            <w:tcW w:w="720" w:type="dxa"/>
            <w:vAlign w:val="bottom"/>
          </w:tcPr>
          <w:p>
            <w:pPr>
              <w:spacing w:after="0"/>
              <w:rPr>
                <w:sz w:val="24"/>
                <w:szCs w:val="24"/>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James H. Dorton</w:t>
            </w:r>
          </w:p>
        </w:tc>
      </w:tr>
      <w:tr>
        <w:trPr>
          <w:trHeight w:val="202"/>
        </w:trPr>
        <w:tc>
          <w:tcPr>
            <w:tcW w:w="5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James H. Dorton</w:t>
            </w:r>
          </w:p>
        </w:tc>
      </w:tr>
      <w:tr>
        <w:trPr>
          <w:trHeight w:val="216"/>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Senior Vice President – Corporate Development and</w:t>
            </w:r>
          </w:p>
        </w:tc>
      </w:tr>
      <w:tr>
        <w:trPr>
          <w:trHeight w:val="216"/>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5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(Duly Authorized Officer)</w:t>
            </w:r>
          </w:p>
        </w:tc>
      </w:tr>
      <w:tr>
        <w:trPr>
          <w:trHeight w:val="447"/>
        </w:trPr>
        <w:tc>
          <w:tcPr>
            <w:tcW w:w="5360" w:type="dxa"/>
            <w:vAlign w:val="bottom"/>
          </w:tcPr>
          <w:p>
            <w:pPr>
              <w:spacing w:after="0"/>
              <w:rPr>
                <w:sz w:val="20"/>
                <w:szCs w:val="20"/>
                <w:color w:val="auto"/>
              </w:rPr>
            </w:pPr>
            <w:r>
              <w:rPr>
                <w:rFonts w:ascii="Arial" w:cs="Arial" w:eastAsia="Arial" w:hAnsi="Arial"/>
                <w:sz w:val="18"/>
                <w:szCs w:val="18"/>
                <w:color w:val="auto"/>
              </w:rPr>
              <w:t>Date: November 8, 2011</w:t>
            </w:r>
          </w:p>
        </w:tc>
        <w:tc>
          <w:tcPr>
            <w:tcW w:w="720" w:type="dxa"/>
            <w:vAlign w:val="bottom"/>
          </w:tcPr>
          <w:p>
            <w:pPr>
              <w:spacing w:after="0"/>
              <w:rPr>
                <w:sz w:val="24"/>
                <w:szCs w:val="24"/>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William C. Kelly, Jr.</w:t>
            </w:r>
          </w:p>
        </w:tc>
      </w:tr>
      <w:tr>
        <w:trPr>
          <w:trHeight w:val="202"/>
        </w:trPr>
        <w:tc>
          <w:tcPr>
            <w:tcW w:w="5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William C. Kelly, Jr.,</w:t>
            </w:r>
          </w:p>
        </w:tc>
      </w:tr>
      <w:tr>
        <w:trPr>
          <w:trHeight w:val="216"/>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Vice President and</w:t>
            </w:r>
          </w:p>
        </w:tc>
      </w:tr>
      <w:tr>
        <w:trPr>
          <w:trHeight w:val="216"/>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Chief Administrative Officer</w:t>
            </w:r>
          </w:p>
        </w:tc>
      </w:tr>
      <w:tr>
        <w:trPr>
          <w:trHeight w:val="222"/>
        </w:trPr>
        <w:tc>
          <w:tcPr>
            <w:tcW w:w="5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(Duly Authorized Officer)</w:t>
            </w:r>
          </w:p>
        </w:tc>
      </w:tr>
      <w:tr>
        <w:trPr>
          <w:trHeight w:val="447"/>
        </w:trPr>
        <w:tc>
          <w:tcPr>
            <w:tcW w:w="5360" w:type="dxa"/>
            <w:vAlign w:val="bottom"/>
          </w:tcPr>
          <w:p>
            <w:pPr>
              <w:spacing w:after="0"/>
              <w:rPr>
                <w:sz w:val="20"/>
                <w:szCs w:val="20"/>
                <w:color w:val="auto"/>
              </w:rPr>
            </w:pPr>
            <w:r>
              <w:rPr>
                <w:rFonts w:ascii="Arial" w:cs="Arial" w:eastAsia="Arial" w:hAnsi="Arial"/>
                <w:sz w:val="18"/>
                <w:szCs w:val="18"/>
                <w:color w:val="auto"/>
              </w:rPr>
              <w:t>Date: November 8, 2011</w:t>
            </w:r>
          </w:p>
        </w:tc>
        <w:tc>
          <w:tcPr>
            <w:tcW w:w="720" w:type="dxa"/>
            <w:vAlign w:val="bottom"/>
          </w:tcPr>
          <w:p>
            <w:pPr>
              <w:spacing w:after="0"/>
              <w:rPr>
                <w:sz w:val="24"/>
                <w:szCs w:val="24"/>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Thomas C. Burwell, Jr.</w:t>
            </w:r>
          </w:p>
        </w:tc>
      </w:tr>
      <w:tr>
        <w:trPr>
          <w:trHeight w:val="202"/>
        </w:trPr>
        <w:tc>
          <w:tcPr>
            <w:tcW w:w="5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Thomas C. Burwell, Jr.</w:t>
            </w:r>
          </w:p>
        </w:tc>
      </w:tr>
      <w:tr>
        <w:trPr>
          <w:trHeight w:val="216"/>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Vice President, Chief Accounting Officer and</w:t>
            </w:r>
          </w:p>
        </w:tc>
      </w:tr>
      <w:tr>
        <w:trPr>
          <w:trHeight w:val="216"/>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Corporate Controller</w:t>
            </w:r>
          </w:p>
        </w:tc>
      </w:tr>
      <w:tr>
        <w:trPr>
          <w:trHeight w:val="222"/>
        </w:trPr>
        <w:tc>
          <w:tcPr>
            <w:tcW w:w="5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536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4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OF 1934, AS AMENDED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Date: November 8, 2011</w:t>
            </w:r>
          </w:p>
        </w:tc>
        <w:tc>
          <w:tcPr>
            <w:tcW w:w="2400" w:type="dxa"/>
            <w:vAlign w:val="bottom"/>
          </w:tcPr>
          <w:p>
            <w:pPr>
              <w:spacing w:after="0"/>
              <w:rPr>
                <w:sz w:val="19"/>
                <w:szCs w:val="19"/>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Roderick R. Baty</w:t>
            </w:r>
          </w:p>
        </w:tc>
      </w:tr>
      <w:tr>
        <w:trPr>
          <w:trHeight w:val="202"/>
        </w:trPr>
        <w:tc>
          <w:tcPr>
            <w:tcW w:w="3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Roderick R. Baty</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Chairman, President and Chief</w:t>
            </w:r>
          </w:p>
        </w:tc>
      </w:tr>
      <w:tr>
        <w:trPr>
          <w:trHeight w:val="222"/>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Executive Officer</w:t>
            </w:r>
          </w:p>
        </w:tc>
      </w:tr>
      <w:tr>
        <w:trPr>
          <w:trHeight w:val="365"/>
        </w:trPr>
        <w:tc>
          <w:tcPr>
            <w:tcW w:w="3680" w:type="dxa"/>
            <w:vAlign w:val="bottom"/>
          </w:tcPr>
          <w:p>
            <w:pPr>
              <w:spacing w:after="0"/>
              <w:rPr>
                <w:sz w:val="24"/>
                <w:szCs w:val="24"/>
                <w:color w:val="auto"/>
              </w:rPr>
            </w:pPr>
          </w:p>
        </w:tc>
        <w:tc>
          <w:tcPr>
            <w:tcW w:w="2400" w:type="dxa"/>
            <w:vAlign w:val="bottom"/>
          </w:tcPr>
          <w:p>
            <w:pPr>
              <w:jc w:val="right"/>
              <w:ind w:right="192"/>
              <w:spacing w:after="0"/>
              <w:rPr>
                <w:sz w:val="20"/>
                <w:szCs w:val="20"/>
                <w:color w:val="auto"/>
              </w:rPr>
            </w:pPr>
            <w:r>
              <w:rPr>
                <w:rFonts w:ascii="Arial" w:cs="Arial" w:eastAsia="Arial" w:hAnsi="Arial"/>
                <w:sz w:val="18"/>
                <w:szCs w:val="18"/>
                <w:color w:val="auto"/>
              </w:rPr>
              <w:t>27</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1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 OF 1934, AS AMENDED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Date: November 8, 2011</w:t>
            </w:r>
          </w:p>
        </w:tc>
        <w:tc>
          <w:tcPr>
            <w:tcW w:w="2400" w:type="dxa"/>
            <w:vAlign w:val="bottom"/>
          </w:tcPr>
          <w:p>
            <w:pPr>
              <w:spacing w:after="0"/>
              <w:rPr>
                <w:sz w:val="19"/>
                <w:szCs w:val="19"/>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H. Dorton</w:t>
            </w:r>
          </w:p>
        </w:tc>
      </w:tr>
      <w:tr>
        <w:trPr>
          <w:trHeight w:val="202"/>
        </w:trPr>
        <w:tc>
          <w:tcPr>
            <w:tcW w:w="3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James H. Dorton</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Corporate Development</w:t>
            </w:r>
          </w:p>
        </w:tc>
      </w:tr>
      <w:tr>
        <w:trPr>
          <w:trHeight w:val="222"/>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r>
        <w:trPr>
          <w:trHeight w:val="365"/>
        </w:trPr>
        <w:tc>
          <w:tcPr>
            <w:tcW w:w="3680" w:type="dxa"/>
            <w:vAlign w:val="bottom"/>
          </w:tcPr>
          <w:p>
            <w:pPr>
              <w:spacing w:after="0"/>
              <w:rPr>
                <w:sz w:val="24"/>
                <w:szCs w:val="24"/>
                <w:color w:val="auto"/>
              </w:rPr>
            </w:pPr>
          </w:p>
        </w:tc>
        <w:tc>
          <w:tcPr>
            <w:tcW w:w="240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1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connection with the Quarterly Report of NN, Inc. (the “Company”) on Form 10-Q for the interim period ended September 30, 2011,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Section 13(a) or 15(d) of the Securities Exchange Act of 1934, and (2) The information contained in the Report fairly presents, in all material respects, the financial condition and results of operations of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8, 2011</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Roderick R. Baty</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Roderick R. Baty</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Chairman, President and Chief</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Executive Officer</w:t>
            </w:r>
          </w:p>
        </w:tc>
      </w:tr>
    </w:tbl>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connection with the Quarterly Report of NN, Inc. (the “Company”) on Form 10-Q for the interim period ended September 30, 2011,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Section 13(a) or 15(d) of the Securities Exchange Act of 1934, and (2) The information contained in the Report fairly presents, in all material respects, the financial condition and results of operations of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8, 2011</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H. Dorton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James H. Dorton</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Corporate Development</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bl>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2019-12-10T12:37:34Z</dcterms:created>
  <dcterms:modified xsi:type="dcterms:W3CDTF">2019-12-10T12:37:34Z</dcterms:modified>
</cp:coreProperties>
</file>