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29, 2009</w:t>
      </w:r>
    </w:p>
    <w:p>
      <w:pPr>
        <w:spacing w:after="0" w:line="238" w:lineRule="auto"/>
        <w:rPr>
          <w:sz w:val="20"/>
          <w:szCs w:val="20"/>
          <w:color w:val="auto"/>
        </w:rPr>
      </w:pPr>
      <w:r>
        <w:rPr>
          <w:rFonts w:ascii="Courier New" w:cs="Courier New" w:eastAsia="Courier New" w:hAnsi="Courier New"/>
          <w:sz w:val="18"/>
          <w:szCs w:val="18"/>
          <w:color w:val="auto"/>
        </w:rPr>
        <w:t>(Date of Event which Requires</w:t>
      </w:r>
    </w:p>
    <w:p>
      <w:pPr>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4" w:lineRule="exact"/>
        <w:rPr>
          <w:sz w:val="24"/>
          <w:szCs w:val="24"/>
          <w:color w:val="auto"/>
        </w:rPr>
      </w:pPr>
    </w:p>
    <w:p>
      <w:pPr>
        <w:jc w:val="both"/>
        <w:ind w:left="420" w:right="7899" w:firstLine="9"/>
        <w:spacing w:after="0" w:line="290" w:lineRule="auto"/>
        <w:tabs>
          <w:tab w:leader="none" w:pos="94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4"/>
          <w:szCs w:val="24"/>
          <w:color w:val="auto"/>
        </w:rPr>
      </w:pPr>
    </w:p>
    <w:p>
      <w:pPr>
        <w:spacing w:after="0" w:line="209" w:lineRule="exact"/>
        <w:rPr>
          <w:sz w:val="24"/>
          <w:szCs w:val="24"/>
          <w:color w:val="auto"/>
        </w:rPr>
      </w:pPr>
    </w:p>
    <w:p>
      <w:pPr>
        <w:ind w:left="860" w:right="6639" w:hanging="852"/>
        <w:spacing w:after="0" w:line="470"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RBF Capital, LLC</w:t>
      </w:r>
    </w:p>
    <w:p>
      <w:pPr>
        <w:spacing w:after="0" w:line="11" w:lineRule="exact"/>
        <w:rPr>
          <w:rFonts w:ascii="Courier New" w:cs="Courier New" w:eastAsia="Courier New" w:hAnsi="Courier New"/>
          <w:sz w:val="18"/>
          <w:szCs w:val="18"/>
          <w:color w:val="auto"/>
        </w:rPr>
      </w:pPr>
    </w:p>
    <w:p>
      <w:pPr>
        <w:ind w:left="86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68-0383896</w:t>
      </w:r>
    </w:p>
    <w:p>
      <w:pPr>
        <w:spacing w:after="0" w:line="6"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380" w:hanging="843"/>
        <w:spacing w:after="0" w:line="238" w:lineRule="auto"/>
        <w:tabs>
          <w:tab w:leader="none" w:pos="3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380" w:hanging="843"/>
        <w:spacing w:after="0" w:line="238" w:lineRule="auto"/>
        <w:tabs>
          <w:tab w:leader="none" w:pos="3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700" w:right="5579" w:hanging="1692"/>
        <w:spacing w:after="0" w:line="470" w:lineRule="auto"/>
        <w:tabs>
          <w:tab w:leader="none" w:pos="8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842,516</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26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842,516</w:t>
            </w:r>
          </w:p>
        </w:tc>
      </w:tr>
      <w:tr>
        <w:trPr>
          <w:trHeight w:val="405"/>
        </w:trPr>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8</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Shared Dispositive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842,516</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8" w:lineRule="exact"/>
        <w:rPr>
          <w:sz w:val="20"/>
          <w:szCs w:val="20"/>
          <w:color w:val="auto"/>
        </w:rPr>
      </w:pPr>
    </w:p>
    <w:p>
      <w:pPr>
        <w:ind w:left="860" w:right="441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5.18%</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9" w:lineRule="exact"/>
        <w:rPr>
          <w:sz w:val="20"/>
          <w:szCs w:val="20"/>
          <w:color w:val="auto"/>
        </w:rPr>
      </w:pPr>
    </w:p>
    <w:p>
      <w:pPr>
        <w:ind w:left="860" w:right="6639" w:hanging="852"/>
        <w:spacing w:after="0" w:line="536"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Richard B. Fullerton</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 (entities only)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380" w:hanging="843"/>
        <w:spacing w:after="0" w:line="238" w:lineRule="auto"/>
        <w:tabs>
          <w:tab w:leader="none" w:pos="3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380" w:hanging="843"/>
        <w:spacing w:after="0" w:line="238" w:lineRule="auto"/>
        <w:tabs>
          <w:tab w:leader="none" w:pos="3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700" w:right="5579" w:hanging="1692"/>
        <w:spacing w:after="0" w:line="470"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842,516</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26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842,516</w:t>
            </w:r>
          </w:p>
        </w:tc>
      </w:tr>
      <w:tr>
        <w:trPr>
          <w:trHeight w:val="405"/>
        </w:trPr>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8</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842,516</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8" w:lineRule="exact"/>
        <w:rPr>
          <w:sz w:val="20"/>
          <w:szCs w:val="20"/>
          <w:color w:val="auto"/>
        </w:rPr>
      </w:pPr>
    </w:p>
    <w:p>
      <w:pPr>
        <w:ind w:left="860" w:right="441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5.18%</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CUSIP No. 629337106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w:t>
      </w:r>
    </w:p>
    <w:p>
      <w:pPr>
        <w:spacing w:after="0" w:line="200" w:lineRule="exact"/>
        <w:rPr>
          <w:sz w:val="20"/>
          <w:szCs w:val="20"/>
          <w:color w:val="auto"/>
        </w:rPr>
      </w:pPr>
    </w:p>
    <w:p>
      <w:pPr>
        <w:sectPr>
          <w:pgSz w:w="11900" w:h="16838" w:orient="portrait"/>
          <w:cols w:equalWidth="0" w:num="3">
            <w:col w:w="2120" w:space="420"/>
            <w:col w:w="1260" w:space="420"/>
            <w:col w:w="5999"/>
          </w:cols>
          <w:pgMar w:left="240" w:top="339"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640"/>
            <w:col w:w="8519"/>
          </w:cols>
          <w:pgMar w:left="240" w:top="339" w:right="1440" w:bottom="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2000 Waters Edge Drive, Building C, Suite 12, Johnson City, TN 37604</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RBF Capital, LLC and Richard B. Fullerton</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8"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The business address of RBF Capital, LLC and Richard B. Fullerton is 100 Drakes Landing Rd. Suite 300, Greenbrae CA 94904</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3459" w:firstLine="843"/>
        <w:spacing w:after="0" w:line="235" w:lineRule="auto"/>
        <w:rPr>
          <w:sz w:val="20"/>
          <w:szCs w:val="20"/>
          <w:color w:val="auto"/>
        </w:rPr>
      </w:pPr>
      <w:r>
        <w:rPr>
          <w:rFonts w:ascii="Courier New" w:cs="Courier New" w:eastAsia="Courier New" w:hAnsi="Courier New"/>
          <w:sz w:val="18"/>
          <w:szCs w:val="18"/>
          <w:color w:val="auto"/>
        </w:rPr>
        <w:t>RBF Capital, LLC is a Delaware limited Liability company and Richard B. Fullerton is a United States citizen.</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640"/>
            <w:col w:w="8519"/>
          </w:cols>
          <w:pgMar w:left="240" w:top="339"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 a:</w:t>
      </w:r>
    </w:p>
    <w:p>
      <w:pPr>
        <w:sectPr>
          <w:pgSz w:w="11900" w:h="16838" w:orient="portrait"/>
          <w:cols w:equalWidth="0" w:num="1">
            <w:col w:w="10219"/>
          </w:cols>
          <w:pgMar w:left="240" w:top="339" w:right="1440" w:bottom="0" w:gutter="0" w:footer="0" w:header="0"/>
          <w:type w:val="continuous"/>
        </w:sectPr>
      </w:pPr>
    </w:p>
    <w:p>
      <w:pPr>
        <w:spacing w:after="0" w:line="209" w:lineRule="exact"/>
        <w:rPr>
          <w:sz w:val="20"/>
          <w:szCs w:val="20"/>
          <w:color w:val="auto"/>
        </w:rPr>
      </w:pPr>
    </w:p>
    <w:p>
      <w:pPr>
        <w:ind w:right="3899" w:firstLine="8"/>
        <w:spacing w:after="0" w:line="235"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right="4099" w:firstLine="8"/>
        <w:spacing w:after="0" w:line="235"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right="3899" w:firstLine="8"/>
        <w:spacing w:after="0" w:line="235"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0" w:lineRule="exact"/>
        <w:rPr>
          <w:sz w:val="20"/>
          <w:szCs w:val="20"/>
          <w:color w:val="auto"/>
        </w:rPr>
      </w:pPr>
    </w:p>
    <w:p>
      <w:pPr>
        <w:spacing w:after="0" w:line="205" w:lineRule="exact"/>
        <w:rPr>
          <w:sz w:val="20"/>
          <w:szCs w:val="20"/>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9" w:lineRule="exact"/>
        <w:rPr>
          <w:sz w:val="20"/>
          <w:szCs w:val="20"/>
          <w:color w:val="auto"/>
        </w:rPr>
      </w:pPr>
    </w:p>
    <w:p>
      <w:pPr>
        <w:ind w:right="377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right="40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240.13d-1(b)(1)(ii)(E).</w:t>
      </w:r>
    </w:p>
    <w:p>
      <w:pPr>
        <w:spacing w:after="0" w:line="208" w:lineRule="exact"/>
        <w:rPr>
          <w:rFonts w:ascii="Courier New" w:cs="Courier New" w:eastAsia="Courier New" w:hAnsi="Courier New"/>
          <w:sz w:val="18"/>
          <w:szCs w:val="18"/>
          <w:color w:val="auto"/>
        </w:rPr>
      </w:pPr>
    </w:p>
    <w:p>
      <w:pPr>
        <w:ind w:right="451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right="451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8" w:lineRule="exact"/>
        <w:rPr>
          <w:rFonts w:ascii="Courier New" w:cs="Courier New" w:eastAsia="Courier New" w:hAnsi="Courier New"/>
          <w:sz w:val="18"/>
          <w:szCs w:val="18"/>
          <w:color w:val="auto"/>
        </w:rPr>
      </w:pPr>
    </w:p>
    <w:p>
      <w:pPr>
        <w:ind w:right="38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3999" w:firstLine="8"/>
        <w:spacing w:after="0" w:line="279"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form the definition of an investment company under section 3(c)(14) of the Investment Company act of 1940 (15 U.S.C. 80a-3).</w:t>
      </w:r>
    </w:p>
    <w:p>
      <w:pPr>
        <w:spacing w:after="0" w:line="178" w:lineRule="exact"/>
        <w:rPr>
          <w:rFonts w:ascii="Courier New" w:cs="Courier New" w:eastAsia="Courier New" w:hAnsi="Courier New"/>
          <w:sz w:val="16"/>
          <w:szCs w:val="16"/>
          <w:color w:val="auto"/>
        </w:rPr>
      </w:pPr>
    </w:p>
    <w:p>
      <w:pPr>
        <w:ind w:right="4099" w:firstLine="8"/>
        <w:spacing w:after="0" w:line="470"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 Item 4. Ownership.</w:t>
      </w:r>
    </w:p>
    <w:p>
      <w:pPr>
        <w:spacing w:after="0" w:line="12" w:lineRule="exact"/>
        <w:rPr>
          <w:sz w:val="20"/>
          <w:szCs w:val="20"/>
          <w:color w:val="auto"/>
        </w:rPr>
      </w:pPr>
    </w:p>
    <w:p>
      <w:pPr>
        <w:jc w:val="both"/>
        <w:ind w:right="3779" w:firstLine="843"/>
        <w:spacing w:after="0" w:line="236" w:lineRule="auto"/>
        <w:rPr>
          <w:sz w:val="20"/>
          <w:szCs w:val="20"/>
          <w:color w:val="auto"/>
        </w:rPr>
      </w:pPr>
      <w:r>
        <w:rPr>
          <w:rFonts w:ascii="Courier New" w:cs="Courier New" w:eastAsia="Courier New" w:hAnsi="Courier New"/>
          <w:sz w:val="18"/>
          <w:szCs w:val="18"/>
          <w:color w:val="auto"/>
        </w:rPr>
        <w:t>Reference is made hereby made to Items 5-9 and 11 of pages two (2) and three (3) of this Schedule 13G, which Items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ectPr>
          <w:pgSz w:w="11900" w:h="16838" w:orient="portrait"/>
          <w:cols w:equalWidth="0" w:num="1">
            <w:col w:w="10219"/>
          </w:cols>
          <w:pgMar w:left="240" w:top="339" w:right="1440" w:bottom="0"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459" w:firstLine="843"/>
        <w:spacing w:after="0" w:line="237" w:lineRule="auto"/>
        <w:rPr>
          <w:sz w:val="20"/>
          <w:szCs w:val="20"/>
          <w:color w:val="auto"/>
        </w:rPr>
      </w:pPr>
      <w:r>
        <w:rPr>
          <w:rFonts w:ascii="Courier New" w:cs="Courier New" w:eastAsia="Courier New" w:hAnsi="Courier New"/>
          <w:sz w:val="18"/>
          <w:szCs w:val="18"/>
          <w:color w:val="auto"/>
        </w:rPr>
        <w:t>RBF Capital, LLC is deemed to be the beneficial owner of the number of securities reflected in Item 5-9 and 11 of page two (2) of this Schedule 13G pursuant to separate arrangements whereby it acts as investment adviser (not registered) to certain persons. Each person for whom RBF Capital, LLC acts as investment adviser has the right to receive or the power to direct the receipt of dividends from, or the proceeds from the sale of, the Common Stock purchased</w:t>
      </w:r>
    </w:p>
    <w:p>
      <w:pPr>
        <w:spacing w:after="0" w:line="10"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or held pursuant to such arrangements. Richard B. Fullerton is deemed to be the beneficial owner of the number of securities reflected in Items 5-9 and 11 on page three (3) of this Schedule 13G pursuant to his ownership interest in RBF Capital,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w:t>
      </w:r>
    </w:p>
    <w:p>
      <w:pPr>
        <w:spacing w:after="0" w:line="4"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By signing below, RBF Capital, LLC and Richard B. Fullerton certify that, to the best of their knowledge and belief, the securities referred to above on page two (2) and three (3) of this Schedule 13G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83" w:lineRule="exact"/>
        <w:rPr>
          <w:sz w:val="20"/>
          <w:szCs w:val="20"/>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7, 2009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RBF Capital,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B. Fullerton</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Richard B. Fullerton</w:t>
      </w:r>
    </w:p>
    <w:p>
      <w:pPr>
        <w:ind w:left="860"/>
        <w:spacing w:after="0" w:line="237"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Fullerton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B. Fullerton</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Richard B. Fullerton</w:t>
      </w:r>
    </w:p>
    <w:p>
      <w:pPr>
        <w:sectPr>
          <w:pgSz w:w="11900" w:h="16838" w:orient="portrait"/>
          <w:cols w:equalWidth="0" w:num="1">
            <w:col w:w="10219"/>
          </w:cols>
          <w:pgMar w:left="240" w:top="339" w:right="1440" w:bottom="0" w:gutter="0" w:footer="0" w:header="0"/>
        </w:sectPr>
      </w:pPr>
    </w:p>
    <w:bookmarkStart w:id="4" w:name="page5"/>
    <w:bookmarkEnd w:id="4"/>
    <w:p>
      <w:pPr>
        <w:ind w:right="39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lvl w:ilvl="1">
      <w:lvlJc w:val="left"/>
      <w:lvlText w:val="(%2)"/>
      <w:numFmt w:val="lowerLetter"/>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9"/>
      <w:numFmt w:val="bullet"/>
      <w:start w:val="1"/>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2019-12-10T12:46:15Z</dcterms:created>
  <dcterms:modified xsi:type="dcterms:W3CDTF">2019-12-10T12:46:15Z</dcterms:modified>
</cp:coreProperties>
</file>