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6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Date of Report (Date of earliest event reported) December 4, 2003 (December 3, 2003)</w:t>
      </w:r>
    </w:p>
    <w:p>
      <w:pPr>
        <w:spacing w:after="0" w:line="16" w:lineRule="exact"/>
        <w:rPr>
          <w:sz w:val="24"/>
          <w:szCs w:val="24"/>
          <w:color w:val="auto"/>
        </w:rPr>
      </w:pPr>
    </w:p>
    <w:p>
      <w:pPr>
        <w:ind w:left="51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NN,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4" w:lineRule="exact"/>
        <w:rPr>
          <w:sz w:val="24"/>
          <w:szCs w:val="24"/>
          <w:color w:val="auto"/>
        </w:rPr>
      </w:pPr>
    </w:p>
    <w:tbl>
      <w:tblPr>
        <w:tblLayout w:type="fixed"/>
        <w:tblInd w:w="1060" w:type="dxa"/>
        <w:tblCellMar>
          <w:top w:w="0" w:type="dxa"/>
          <w:left w:w="0" w:type="dxa"/>
          <w:bottom w:w="0" w:type="dxa"/>
          <w:right w:w="0" w:type="dxa"/>
        </w:tblCellMar>
      </w:tblPr>
      <w:tr>
        <w:trPr>
          <w:trHeight w:val="204"/>
        </w:trPr>
        <w:tc>
          <w:tcPr>
            <w:tcW w:w="2000" w:type="dxa"/>
            <w:vAlign w:val="bottom"/>
          </w:tcPr>
          <w:p>
            <w:pPr>
              <w:spacing w:after="0"/>
              <w:rPr>
                <w:sz w:val="20"/>
                <w:szCs w:val="20"/>
                <w:color w:val="auto"/>
              </w:rPr>
            </w:pPr>
            <w:r>
              <w:rPr>
                <w:rFonts w:ascii="Courier New" w:cs="Courier New" w:eastAsia="Courier New" w:hAnsi="Courier New"/>
                <w:sz w:val="18"/>
                <w:szCs w:val="18"/>
                <w:color w:val="auto"/>
              </w:rPr>
              <w:t>DELAWARE</w:t>
            </w:r>
          </w:p>
        </w:tc>
        <w:tc>
          <w:tcPr>
            <w:tcW w:w="280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0-23486</w:t>
            </w:r>
          </w:p>
        </w:tc>
        <w:tc>
          <w:tcPr>
            <w:tcW w:w="1940" w:type="dxa"/>
            <w:vAlign w:val="bottom"/>
          </w:tcPr>
          <w:p>
            <w:pPr>
              <w:jc w:val="right"/>
              <w:spacing w:after="0"/>
              <w:rPr>
                <w:sz w:val="20"/>
                <w:szCs w:val="20"/>
                <w:color w:val="auto"/>
              </w:rPr>
            </w:pPr>
            <w:r>
              <w:rPr>
                <w:rFonts w:ascii="Courier New" w:cs="Courier New" w:eastAsia="Courier New" w:hAnsi="Courier New"/>
                <w:sz w:val="18"/>
                <w:szCs w:val="18"/>
                <w:color w:val="auto"/>
              </w:rPr>
              <w:t>62-1096725</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4000" w:val="left"/>
          <w:tab w:leader="none" w:pos="6520" w:val="left"/>
        </w:tabs>
        <w:rPr>
          <w:sz w:val="20"/>
          <w:szCs w:val="20"/>
          <w:color w:val="auto"/>
        </w:rPr>
      </w:pPr>
      <w:r>
        <w:rPr>
          <w:rFonts w:ascii="Courier New" w:cs="Courier New" w:eastAsia="Courier New" w:hAnsi="Courier New"/>
          <w:sz w:val="18"/>
          <w:szCs w:val="18"/>
          <w:color w:val="auto"/>
        </w:rPr>
        <w:t>(State or other jurisdiction</w:t>
      </w:r>
      <w:r>
        <w:rPr>
          <w:sz w:val="20"/>
          <w:szCs w:val="20"/>
          <w:color w:val="auto"/>
        </w:rPr>
        <w:tab/>
      </w:r>
      <w:r>
        <w:rPr>
          <w:rFonts w:ascii="Courier New" w:cs="Courier New" w:eastAsia="Courier New" w:hAnsi="Courier New"/>
          <w:sz w:val="18"/>
          <w:szCs w:val="18"/>
          <w:color w:val="auto"/>
        </w:rPr>
        <w:t>(Commission</w:t>
      </w:r>
      <w:r>
        <w:rPr>
          <w:sz w:val="20"/>
          <w:szCs w:val="20"/>
          <w:color w:val="auto"/>
        </w:rPr>
        <w:tab/>
      </w:r>
      <w:r>
        <w:rPr>
          <w:rFonts w:ascii="Courier New" w:cs="Courier New" w:eastAsia="Courier New" w:hAnsi="Courier New"/>
          <w:sz w:val="16"/>
          <w:szCs w:val="16"/>
          <w:color w:val="auto"/>
        </w:rPr>
        <w:t>(IRS Employer</w:t>
      </w:r>
    </w:p>
    <w:p>
      <w:pPr>
        <w:ind w:left="640"/>
        <w:spacing w:after="0"/>
        <w:tabs>
          <w:tab w:leader="none" w:pos="4000" w:val="left"/>
          <w:tab w:leader="none" w:pos="6300" w:val="left"/>
        </w:tabs>
        <w:rPr>
          <w:sz w:val="20"/>
          <w:szCs w:val="20"/>
          <w:color w:val="auto"/>
        </w:rPr>
      </w:pPr>
      <w:r>
        <w:rPr>
          <w:rFonts w:ascii="Courier New" w:cs="Courier New" w:eastAsia="Courier New" w:hAnsi="Courier New"/>
          <w:sz w:val="18"/>
          <w:szCs w:val="18"/>
          <w:color w:val="auto"/>
        </w:rPr>
        <w:t>of incorporation)</w:t>
      </w:r>
      <w:r>
        <w:rPr>
          <w:sz w:val="20"/>
          <w:szCs w:val="20"/>
          <w:color w:val="auto"/>
        </w:rPr>
        <w:tab/>
      </w:r>
      <w:r>
        <w:rPr>
          <w:rFonts w:ascii="Courier New" w:cs="Courier New" w:eastAsia="Courier New" w:hAnsi="Courier New"/>
          <w:sz w:val="18"/>
          <w:szCs w:val="18"/>
          <w:color w:val="auto"/>
        </w:rPr>
        <w:t>File Number)</w:t>
      </w:r>
      <w:r>
        <w:rPr>
          <w:sz w:val="20"/>
          <w:szCs w:val="20"/>
          <w:color w:val="auto"/>
        </w:rPr>
        <w:tab/>
      </w: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pacing w:after="0" w:line="204" w:lineRule="exact"/>
        <w:rPr>
          <w:sz w:val="24"/>
          <w:szCs w:val="24"/>
          <w:color w:val="auto"/>
        </w:rPr>
      </w:pPr>
    </w:p>
    <w:p>
      <w:pPr>
        <w:spacing w:after="0"/>
        <w:tabs>
          <w:tab w:leader="none" w:pos="6940" w:val="left"/>
        </w:tabs>
        <w:rPr>
          <w:sz w:val="20"/>
          <w:szCs w:val="20"/>
          <w:color w:val="auto"/>
        </w:rPr>
      </w:pPr>
      <w:r>
        <w:rPr>
          <w:rFonts w:ascii="Courier New" w:cs="Courier New" w:eastAsia="Courier New" w:hAnsi="Courier New"/>
          <w:sz w:val="18"/>
          <w:szCs w:val="18"/>
          <w:color w:val="auto"/>
        </w:rPr>
        <w:t>2000 Waters Edge Drive, Johnson City, Tennessee</w:t>
      </w:r>
      <w:r>
        <w:rPr>
          <w:sz w:val="20"/>
          <w:szCs w:val="20"/>
          <w:color w:val="auto"/>
        </w:rPr>
        <w:tab/>
      </w:r>
      <w:r>
        <w:rPr>
          <w:rFonts w:ascii="Courier New" w:cs="Courier New" w:eastAsia="Courier New" w:hAnsi="Courier New"/>
          <w:sz w:val="16"/>
          <w:szCs w:val="16"/>
          <w:color w:val="auto"/>
        </w:rPr>
        <w:t>37604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78" w:lineRule="exact"/>
        <w:rPr>
          <w:sz w:val="24"/>
          <w:szCs w:val="24"/>
          <w:color w:val="auto"/>
        </w:rPr>
      </w:pPr>
    </w:p>
    <w:p>
      <w:pPr>
        <w:ind w:left="320"/>
        <w:spacing w:after="0"/>
        <w:tabs>
          <w:tab w:leader="none" w:pos="662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ectPr>
          <w:pgSz w:w="11900" w:h="16838" w:orient="portrait"/>
          <w:cols w:equalWidth="0" w:num="1">
            <w:col w:w="10219"/>
          </w:cols>
          <w:pgMar w:left="240" w:top="649"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(423) 743-9151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280" w:space="0"/>
            <w:col w:w="4939"/>
          </w:cols>
          <w:pgMar w:left="240" w:top="649" w:right="1440" w:bottom="0" w:gutter="0" w:footer="0" w:header="0"/>
          <w:type w:val="continuous"/>
        </w:sectPr>
      </w:pPr>
    </w:p>
    <w:p>
      <w:pPr>
        <w:spacing w:after="0" w:line="200" w:lineRule="exact"/>
        <w:rPr>
          <w:sz w:val="24"/>
          <w:szCs w:val="24"/>
          <w:color w:val="auto"/>
        </w:rPr>
      </w:pPr>
    </w:p>
    <w:p>
      <w:pPr>
        <w:spacing w:after="0" w:line="22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357505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7" w:lineRule="exact"/>
        <w:rPr>
          <w:sz w:val="24"/>
          <w:szCs w:val="24"/>
          <w:color w:val="auto"/>
        </w:rPr>
      </w:pPr>
    </w:p>
    <w:p>
      <w:pPr>
        <w:spacing w:after="0"/>
        <w:rPr>
          <w:sz w:val="20"/>
          <w:szCs w:val="20"/>
          <w:color w:val="auto"/>
        </w:rPr>
      </w:pPr>
      <w:r>
        <w:rPr>
          <w:rFonts w:ascii="Courier New" w:cs="Courier New" w:eastAsia="Courier New" w:hAnsi="Courier New"/>
          <w:sz w:val="18"/>
          <w:szCs w:val="18"/>
          <w:b w:val="1"/>
          <w:bCs w:val="1"/>
          <w:color w:val="auto"/>
        </w:rPr>
        <w:t>Item 5. Other Events and Regulation FD Disclosure.</w:t>
      </w:r>
    </w:p>
    <w:p>
      <w:pPr>
        <w:spacing w:after="0" w:line="207" w:lineRule="exact"/>
        <w:rPr>
          <w:sz w:val="24"/>
          <w:szCs w:val="24"/>
          <w:color w:val="auto"/>
        </w:rPr>
      </w:pPr>
    </w:p>
    <w:p>
      <w:pPr>
        <w:jc w:val="both"/>
        <w:ind w:right="1779"/>
        <w:spacing w:after="0" w:line="275" w:lineRule="auto"/>
        <w:rPr>
          <w:sz w:val="20"/>
          <w:szCs w:val="20"/>
          <w:color w:val="auto"/>
        </w:rPr>
      </w:pPr>
      <w:r>
        <w:rPr>
          <w:rFonts w:ascii="Courier New" w:cs="Courier New" w:eastAsia="Courier New" w:hAnsi="Courier New"/>
          <w:sz w:val="16"/>
          <w:szCs w:val="16"/>
          <w:color w:val="auto"/>
        </w:rPr>
        <w:t>On December 3, 2003, the Company issued a press release announcing it had received a notice from Nasdaq related to the delayed filing of its quarterly report on Form 10-Q for the fiscal third quarter 2003. A copy of the press release is attached as Exhibit 99.1 hereto and incorporated herein by reference.</w:t>
      </w:r>
    </w:p>
    <w:p>
      <w:pPr>
        <w:spacing w:after="0" w:line="379" w:lineRule="exact"/>
        <w:rPr>
          <w:sz w:val="24"/>
          <w:szCs w:val="24"/>
          <w:color w:val="auto"/>
        </w:rPr>
      </w:pPr>
    </w:p>
    <w:p>
      <w:pPr>
        <w:spacing w:after="0"/>
        <w:rPr>
          <w:sz w:val="20"/>
          <w:szCs w:val="20"/>
          <w:color w:val="auto"/>
        </w:rPr>
      </w:pPr>
      <w:r>
        <w:rPr>
          <w:rFonts w:ascii="Courier New" w:cs="Courier New" w:eastAsia="Courier New" w:hAnsi="Courier New"/>
          <w:sz w:val="18"/>
          <w:szCs w:val="18"/>
          <w:b w:val="1"/>
          <w:bCs w:val="1"/>
          <w:color w:val="auto"/>
        </w:rPr>
        <w:t>Item 7. Financial Statements and Exhibits.</w:t>
      </w:r>
    </w:p>
    <w:p>
      <w:pPr>
        <w:spacing w:after="0" w:line="201" w:lineRule="exact"/>
        <w:rPr>
          <w:sz w:val="24"/>
          <w:szCs w:val="24"/>
          <w:color w:val="auto"/>
        </w:rPr>
      </w:pPr>
    </w:p>
    <w:p>
      <w:pPr>
        <w:ind w:left="1060" w:hanging="525"/>
        <w:spacing w:after="0"/>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 The following exhibits are filed herewith:</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99.1</w:t>
      </w:r>
      <w:r>
        <w:rPr>
          <w:rFonts w:ascii="Courier New" w:cs="Courier New" w:eastAsia="Courier New" w:hAnsi="Courier New"/>
          <w:sz w:val="16"/>
          <w:szCs w:val="16"/>
          <w:color w:val="auto"/>
        </w:rPr>
        <w:t>Press Release dated December 3, 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357505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7"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4"/>
          <w:szCs w:val="24"/>
          <w:color w:val="auto"/>
        </w:rPr>
      </w:pPr>
    </w:p>
    <w:p>
      <w:pPr>
        <w:spacing w:after="0" w:line="209" w:lineRule="exact"/>
        <w:rPr>
          <w:sz w:val="24"/>
          <w:szCs w:val="24"/>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Date: December 4, 2003</w:t>
      </w:r>
    </w:p>
    <w:p>
      <w:pPr>
        <w:sectPr>
          <w:pgSz w:w="11900" w:h="16838" w:orient="portrait"/>
          <w:cols w:equalWidth="0" w:num="1">
            <w:col w:w="10219"/>
          </w:cols>
          <w:pgMar w:left="240" w:top="649" w:right="1440" w:bottom="0" w:gutter="0" w:footer="0" w:header="0"/>
          <w:type w:val="continuous"/>
        </w:sectPr>
      </w:pPr>
    </w:p>
    <w:bookmarkStart w:id="1" w:name="page2"/>
    <w:bookmarkEnd w:id="1"/>
    <w:p>
      <w:pPr>
        <w:ind w:left="2920"/>
        <w:spacing w:after="0"/>
        <w:rPr>
          <w:sz w:val="20"/>
          <w:szCs w:val="20"/>
          <w:color w:val="auto"/>
        </w:rPr>
      </w:pPr>
      <w:r>
        <w:rPr>
          <w:rFonts w:ascii="Courier New" w:cs="Courier New" w:eastAsia="Courier New" w:hAnsi="Courier New"/>
          <w:sz w:val="18"/>
          <w:szCs w:val="18"/>
          <w:color w:val="auto"/>
        </w:rPr>
        <w:t>NN, INC.</w:t>
      </w:r>
    </w:p>
    <w:p>
      <w:pPr>
        <w:spacing w:after="0" w:line="200" w:lineRule="exact"/>
        <w:rPr>
          <w:sz w:val="20"/>
          <w:szCs w:val="20"/>
          <w:color w:val="auto"/>
        </w:rPr>
      </w:pPr>
    </w:p>
    <w:p>
      <w:pPr>
        <w:spacing w:after="0" w:line="209" w:lineRule="exact"/>
        <w:rPr>
          <w:sz w:val="20"/>
          <w:szCs w:val="20"/>
          <w:color w:val="auto"/>
        </w:rPr>
      </w:pPr>
    </w:p>
    <w:p>
      <w:pPr>
        <w:jc w:val="center"/>
        <w:ind w:right="119"/>
        <w:spacing w:after="0"/>
        <w:rPr>
          <w:sz w:val="20"/>
          <w:szCs w:val="20"/>
          <w:color w:val="auto"/>
        </w:rPr>
      </w:pPr>
      <w:r>
        <w:rPr>
          <w:rFonts w:ascii="Courier New" w:cs="Courier New" w:eastAsia="Courier New" w:hAnsi="Courier New"/>
          <w:sz w:val="16"/>
          <w:szCs w:val="16"/>
          <w:color w:val="auto"/>
        </w:rPr>
        <w:t>By: /s/ William C. Kelly, Jr.</w:t>
      </w:r>
    </w:p>
    <w:p>
      <w:pPr>
        <w:spacing w:after="0" w:line="21"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340"/>
        <w:spacing w:after="0"/>
        <w:rPr>
          <w:sz w:val="20"/>
          <w:szCs w:val="20"/>
          <w:color w:val="auto"/>
        </w:rPr>
      </w:pPr>
      <w:r>
        <w:rPr>
          <w:rFonts w:ascii="Courier New" w:cs="Courier New" w:eastAsia="Courier New" w:hAnsi="Courier New"/>
          <w:sz w:val="18"/>
          <w:szCs w:val="18"/>
          <w:color w:val="auto"/>
        </w:rPr>
        <w:t>William C. Kelly, Jr.,</w:t>
      </w:r>
    </w:p>
    <w:p>
      <w:pPr>
        <w:ind w:left="3340"/>
        <w:spacing w:after="0" w:line="238" w:lineRule="auto"/>
        <w:rPr>
          <w:sz w:val="20"/>
          <w:szCs w:val="20"/>
          <w:color w:val="auto"/>
        </w:rPr>
      </w:pPr>
      <w:r>
        <w:rPr>
          <w:rFonts w:ascii="Courier New" w:cs="Courier New" w:eastAsia="Courier New" w:hAnsi="Courier New"/>
          <w:sz w:val="18"/>
          <w:szCs w:val="18"/>
          <w:color w:val="auto"/>
        </w:rPr>
        <w:t>Secretary, Treasurer and Chief</w:t>
      </w:r>
    </w:p>
    <w:p>
      <w:pPr>
        <w:ind w:left="3340"/>
        <w:spacing w:after="0"/>
        <w:rPr>
          <w:sz w:val="20"/>
          <w:szCs w:val="20"/>
          <w:color w:val="auto"/>
        </w:rPr>
      </w:pPr>
      <w:r>
        <w:rPr>
          <w:rFonts w:ascii="Courier New" w:cs="Courier New" w:eastAsia="Courier New" w:hAnsi="Courier New"/>
          <w:sz w:val="18"/>
          <w:szCs w:val="18"/>
          <w:color w:val="auto"/>
        </w:rPr>
        <w:t>Administrative Officer</w:t>
      </w:r>
    </w:p>
    <w:p>
      <w:pPr>
        <w:sectPr>
          <w:pgSz w:w="11900" w:h="16838" w:orient="portrait"/>
          <w:cols w:equalWidth="0" w:num="1">
            <w:col w:w="9019"/>
          </w:cols>
          <w:pgMar w:left="1440" w:top="339"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526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526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40" w:type="dxa"/>
            <w:vAlign w:val="bottom"/>
            <w:gridSpan w:val="2"/>
          </w:tcPr>
          <w:p>
            <w:pPr>
              <w:ind w:left="380"/>
              <w:spacing w:after="0"/>
              <w:rPr>
                <w:sz w:val="20"/>
                <w:szCs w:val="20"/>
                <w:color w:val="auto"/>
              </w:rPr>
            </w:pPr>
            <w:r>
              <w:rPr>
                <w:rFonts w:ascii="Courier New" w:cs="Courier New" w:eastAsia="Courier New" w:hAnsi="Courier New"/>
                <w:sz w:val="18"/>
                <w:szCs w:val="18"/>
                <w:color w:val="auto"/>
                <w:w w:val="95"/>
              </w:rPr>
              <w:t>Exhibit 99.1</w:t>
            </w:r>
          </w:p>
        </w:tc>
      </w:tr>
      <w:tr>
        <w:trPr>
          <w:trHeight w:val="608"/>
        </w:trPr>
        <w:tc>
          <w:tcPr>
            <w:tcW w:w="1220" w:type="dxa"/>
            <w:vAlign w:val="bottom"/>
          </w:tcPr>
          <w:p>
            <w:pPr>
              <w:spacing w:after="0"/>
              <w:rPr>
                <w:sz w:val="20"/>
                <w:szCs w:val="20"/>
                <w:color w:val="auto"/>
              </w:rPr>
            </w:pPr>
            <w:r>
              <w:rPr>
                <w:rFonts w:ascii="Courier New" w:cs="Courier New" w:eastAsia="Courier New" w:hAnsi="Courier New"/>
                <w:sz w:val="18"/>
                <w:szCs w:val="18"/>
                <w:color w:val="auto"/>
              </w:rPr>
              <w:t>FOR FURTHER</w:t>
            </w:r>
          </w:p>
        </w:tc>
        <w:tc>
          <w:tcPr>
            <w:tcW w:w="35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INFORMATION:</w:t>
            </w:r>
          </w:p>
        </w:tc>
        <w:tc>
          <w:tcPr>
            <w:tcW w:w="4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67"/>
        </w:trPr>
        <w:tc>
          <w:tcPr>
            <w:tcW w:w="4740" w:type="dxa"/>
            <w:vAlign w:val="bottom"/>
            <w:gridSpan w:val="3"/>
          </w:tcPr>
          <w:p>
            <w:pPr>
              <w:spacing w:after="0"/>
              <w:rPr>
                <w:sz w:val="20"/>
                <w:szCs w:val="20"/>
                <w:color w:val="auto"/>
              </w:rPr>
            </w:pPr>
            <w:r>
              <w:rPr>
                <w:rFonts w:ascii="Courier New" w:cs="Courier New" w:eastAsia="Courier New" w:hAnsi="Courier New"/>
                <w:sz w:val="18"/>
                <w:szCs w:val="18"/>
                <w:b w:val="1"/>
                <w:bCs w:val="1"/>
                <w:color w:val="auto"/>
              </w:rPr>
              <w:t>AT THE COMPANY:</w:t>
            </w:r>
          </w:p>
        </w:tc>
        <w:tc>
          <w:tcPr>
            <w:tcW w:w="3700" w:type="dxa"/>
            <w:vAlign w:val="bottom"/>
            <w:gridSpan w:val="4"/>
          </w:tcPr>
          <w:p>
            <w:pPr>
              <w:ind w:left="440"/>
              <w:spacing w:after="0"/>
              <w:rPr>
                <w:sz w:val="20"/>
                <w:szCs w:val="20"/>
                <w:color w:val="auto"/>
              </w:rPr>
            </w:pPr>
            <w:r>
              <w:rPr>
                <w:rFonts w:ascii="Courier New" w:cs="Courier New" w:eastAsia="Courier New" w:hAnsi="Courier New"/>
                <w:sz w:val="18"/>
                <w:szCs w:val="18"/>
                <w:b w:val="1"/>
                <w:bCs w:val="1"/>
                <w:color w:val="auto"/>
              </w:rPr>
              <w:t>AT FINANCIAL RELATIONS BOARD</w:t>
            </w:r>
          </w:p>
        </w:tc>
      </w:tr>
      <w:tr>
        <w:trPr>
          <w:trHeight w:val="20"/>
        </w:trPr>
        <w:tc>
          <w:tcPr>
            <w:tcW w:w="1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21"/>
        </w:trPr>
        <w:tc>
          <w:tcPr>
            <w:tcW w:w="1220" w:type="dxa"/>
            <w:vAlign w:val="bottom"/>
          </w:tcPr>
          <w:p>
            <w:pPr>
              <w:spacing w:after="0"/>
              <w:rPr>
                <w:sz w:val="20"/>
                <w:szCs w:val="20"/>
                <w:color w:val="auto"/>
              </w:rPr>
            </w:pPr>
            <w:r>
              <w:rPr>
                <w:rFonts w:ascii="Courier New" w:cs="Courier New" w:eastAsia="Courier New" w:hAnsi="Courier New"/>
                <w:sz w:val="18"/>
                <w:szCs w:val="18"/>
                <w:color w:val="auto"/>
              </w:rPr>
              <w:t>Will Kelly</w:t>
            </w:r>
          </w:p>
        </w:tc>
        <w:tc>
          <w:tcPr>
            <w:tcW w:w="36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06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Alison Ziegler</w:t>
            </w:r>
          </w:p>
        </w:tc>
        <w:tc>
          <w:tcPr>
            <w:tcW w:w="164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Susan Garland</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Treasurer &amp;</w:t>
            </w:r>
          </w:p>
        </w:tc>
        <w:tc>
          <w:tcPr>
            <w:tcW w:w="35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Manager of Investor Relations</w:t>
            </w:r>
          </w:p>
        </w:tc>
        <w:tc>
          <w:tcPr>
            <w:tcW w:w="20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(General info)</w:t>
            </w:r>
          </w:p>
        </w:tc>
        <w:tc>
          <w:tcPr>
            <w:tcW w:w="1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6"/>
              </w:rPr>
              <w:t>(Analyst info)</w:t>
            </w:r>
          </w:p>
        </w:tc>
      </w:tr>
      <w:tr>
        <w:trPr>
          <w:trHeight w:val="203"/>
        </w:trPr>
        <w:tc>
          <w:tcPr>
            <w:tcW w:w="1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(423) 743-9151</w:t>
            </w:r>
          </w:p>
        </w:tc>
        <w:tc>
          <w:tcPr>
            <w:tcW w:w="3160" w:type="dxa"/>
            <w:vAlign w:val="bottom"/>
          </w:tcPr>
          <w:p>
            <w:pPr>
              <w:spacing w:after="0"/>
              <w:rPr>
                <w:sz w:val="17"/>
                <w:szCs w:val="17"/>
                <w:color w:val="auto"/>
              </w:rPr>
            </w:pPr>
          </w:p>
        </w:tc>
        <w:tc>
          <w:tcPr>
            <w:tcW w:w="20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212-445-8432</w:t>
            </w:r>
          </w:p>
        </w:tc>
        <w:tc>
          <w:tcPr>
            <w:tcW w:w="1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212-445-8458</w:t>
            </w:r>
          </w:p>
        </w:tc>
      </w:tr>
      <w:tr>
        <w:trPr>
          <w:trHeight w:val="405"/>
        </w:trPr>
        <w:tc>
          <w:tcPr>
            <w:tcW w:w="4740" w:type="dxa"/>
            <w:vAlign w:val="bottom"/>
            <w:gridSpan w:val="3"/>
          </w:tcPr>
          <w:p>
            <w:pPr>
              <w:spacing w:after="0"/>
              <w:rPr>
                <w:sz w:val="20"/>
                <w:szCs w:val="20"/>
                <w:color w:val="auto"/>
              </w:rPr>
            </w:pPr>
            <w:r>
              <w:rPr>
                <w:rFonts w:ascii="Courier New" w:cs="Courier New" w:eastAsia="Courier New" w:hAnsi="Courier New"/>
                <w:sz w:val="18"/>
                <w:szCs w:val="18"/>
                <w:b w:val="1"/>
                <w:bCs w:val="1"/>
                <w:color w:val="auto"/>
              </w:rPr>
              <w:t>FOR IMMEDIATE RELEASE</w:t>
            </w:r>
          </w:p>
        </w:tc>
        <w:tc>
          <w:tcPr>
            <w:tcW w:w="4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December 3,</w:t>
            </w:r>
          </w:p>
        </w:tc>
        <w:tc>
          <w:tcPr>
            <w:tcW w:w="35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2003</w:t>
            </w:r>
          </w:p>
        </w:tc>
        <w:tc>
          <w:tcPr>
            <w:tcW w:w="4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b w:val="1"/>
          <w:bCs w:val="1"/>
          <w:color w:val="auto"/>
        </w:rPr>
        <w:t>NN, INC. RECEIVES NASDAQ NOTIFICATION RELATED</w:t>
      </w:r>
    </w:p>
    <w:p>
      <w:pPr>
        <w:jc w:val="center"/>
        <w:ind w:right="1779"/>
        <w:spacing w:after="0" w:line="238" w:lineRule="auto"/>
        <w:rPr>
          <w:sz w:val="20"/>
          <w:szCs w:val="20"/>
          <w:color w:val="auto"/>
        </w:rPr>
      </w:pPr>
      <w:r>
        <w:rPr>
          <w:rFonts w:ascii="Courier New" w:cs="Courier New" w:eastAsia="Courier New" w:hAnsi="Courier New"/>
          <w:sz w:val="18"/>
          <w:szCs w:val="18"/>
          <w:b w:val="1"/>
          <w:bCs w:val="1"/>
          <w:color w:val="auto"/>
        </w:rPr>
        <w:t>TO DELAYED 10-Q FILING</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b w:val="1"/>
          <w:bCs w:val="1"/>
          <w:color w:val="auto"/>
        </w:rPr>
        <w:t xml:space="preserve">Johnson City, Tenn -December 3, 2003- </w:t>
      </w:r>
      <w:r>
        <w:rPr>
          <w:rFonts w:ascii="Courier New" w:cs="Courier New" w:eastAsia="Courier New" w:hAnsi="Courier New"/>
          <w:sz w:val="18"/>
          <w:szCs w:val="18"/>
          <w:color w:val="auto"/>
        </w:rPr>
        <w:t>NN, Inc. (Nasdaq: NNBR) today announced</w:t>
      </w:r>
      <w:r>
        <w:rPr>
          <w:rFonts w:ascii="Courier New" w:cs="Courier New" w:eastAsia="Courier New" w:hAnsi="Courier New"/>
          <w:sz w:val="18"/>
          <w:szCs w:val="18"/>
          <w:b w:val="1"/>
          <w:bCs w:val="1"/>
          <w:color w:val="auto"/>
        </w:rPr>
        <w:t xml:space="preserve"> </w:t>
      </w:r>
      <w:r>
        <w:rPr>
          <w:rFonts w:ascii="Courier New" w:cs="Courier New" w:eastAsia="Courier New" w:hAnsi="Courier New"/>
          <w:sz w:val="18"/>
          <w:szCs w:val="18"/>
          <w:color w:val="auto"/>
        </w:rPr>
        <w:t>that on November 21, 2003 the Company announced that it had delayed the filing of its third quarter Form 10-Q due November 14, 2003 pending the resolution of the accounting treatment related to two historical minority interest purchase transactions.</w:t>
      </w:r>
    </w:p>
    <w:p>
      <w:pPr>
        <w:spacing w:after="0" w:line="209" w:lineRule="exact"/>
        <w:rPr>
          <w:sz w:val="20"/>
          <w:szCs w:val="20"/>
          <w:color w:val="auto"/>
        </w:rPr>
      </w:pPr>
    </w:p>
    <w:p>
      <w:pPr>
        <w:jc w:val="both"/>
        <w:ind w:right="1779" w:firstLine="8"/>
        <w:spacing w:after="0" w:line="270" w:lineRule="auto"/>
        <w:tabs>
          <w:tab w:leader="none" w:pos="42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announced today that it has received a notice from The Nasdaq Stock Market that the Company is currently in violation of Marketplace Rule 4310(c)(14) due to the Company's failure to file its quarterly report on Form 10-Q for the period ended September 30, 2003. Accordingly, Nasdaq has changed the Company's trading symbol from "NNBR" to "NNBRE" to reflect the Company's filing delinquency and according to standard practice and has advised the Company that its common stock is subject to delisting effective December 5, 2003, which will be stayed pending a hearing with the Nasdaq Listing Qualifications Panel which has been requested by the Company. Until the decision by the Hearing Panel, the Company's common stock will continue to trade on the Nasdaq NMS without interruption. The Company and its auditor continue to work together to conclude the necessary research related to the accounting treatment of the indicated purchase transactions in an effort to resolve the issue as quickly as possible.</w:t>
      </w:r>
    </w:p>
    <w:p>
      <w:pPr>
        <w:spacing w:after="0" w:line="389"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NN, Inc. manufacturers and supplies high precision bearing components, consisting of balls, rollers, seals and retainers, for leading bearing manufacturers on a global basis and had sales of US $193 million in 2002.</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Letter"/>
      <w:start w:val="3"/>
    </w:lvl>
  </w:abstractNum>
  <w:abstractNum w:abstractNumId="3">
    <w:nsid w:val="625558EC"/>
    <w:multiLevelType w:val="hybridMultilevel"/>
    <w:lvl w:ilvl="0">
      <w:lvlJc w:val="left"/>
      <w:lvlText w:val="%1"/>
      <w:numFmt w:val="upperLetter"/>
      <w:start w:val="40"/>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2019-12-14T02:35:04Z</dcterms:created>
  <dcterms:modified xsi:type="dcterms:W3CDTF">2019-12-14T02:35:04Z</dcterms:modified>
</cp:coreProperties>
</file>