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Arial" w:cs="Arial" w:eastAsia="Arial" w:hAnsi="Arial"/>
          <w:sz w:val="25"/>
          <w:szCs w:val="25"/>
          <w:b w:val="1"/>
          <w:bCs w:val="1"/>
          <w:color w:val="auto"/>
        </w:rPr>
        <w:t>UNITED STATES</w:t>
      </w:r>
    </w:p>
    <w:p>
      <w:pPr>
        <w:ind w:left="3000"/>
        <w:spacing w:after="0" w:line="211"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Washington, D.C. 20549</w:t>
      </w:r>
    </w:p>
    <w:p>
      <w:pPr>
        <w:spacing w:after="0" w:line="132"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SCHEDULE 14A</w:t>
      </w:r>
    </w:p>
    <w:p>
      <w:pPr>
        <w:jc w:val="center"/>
        <w:ind w:right="-399"/>
        <w:spacing w:after="0"/>
        <w:rPr>
          <w:sz w:val="20"/>
          <w:szCs w:val="20"/>
          <w:color w:val="auto"/>
        </w:rPr>
      </w:pPr>
      <w:r>
        <w:rPr>
          <w:rFonts w:ascii="Arial" w:cs="Arial" w:eastAsia="Arial" w:hAnsi="Arial"/>
          <w:sz w:val="18"/>
          <w:szCs w:val="18"/>
          <w:b w:val="1"/>
          <w:bCs w:val="1"/>
          <w:color w:val="auto"/>
        </w:rPr>
        <w:t>(Rule 14a-101)</w:t>
      </w:r>
    </w:p>
    <w:p>
      <w:pPr>
        <w:spacing w:after="0" w:line="14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399"/>
        <w:spacing w:after="0"/>
        <w:rPr>
          <w:sz w:val="20"/>
          <w:szCs w:val="20"/>
          <w:color w:val="auto"/>
        </w:rPr>
      </w:pPr>
      <w:r>
        <w:rPr>
          <w:rFonts w:ascii="Arial" w:cs="Arial" w:eastAsia="Arial" w:hAnsi="Arial"/>
          <w:sz w:val="22"/>
          <w:szCs w:val="22"/>
          <w:b w:val="1"/>
          <w:bCs w:val="1"/>
          <w:color w:val="auto"/>
        </w:rPr>
        <w:t>SCHEDULE 14A INFORMATION</w:t>
      </w:r>
    </w:p>
    <w:p>
      <w:pPr>
        <w:spacing w:after="0" w:line="155"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Proxy Statement Pursuant to Section 14(a) of the Securities</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Exchange Act of 1934 (Amendment No. __)</w:t>
      </w:r>
    </w:p>
    <w:p>
      <w:pPr>
        <w:sectPr>
          <w:pgSz w:w="11900" w:h="16838" w:orient="portrait"/>
          <w:cols w:equalWidth="0" w:num="1">
            <w:col w:w="11020"/>
          </w:cols>
          <w:pgMar w:left="240" w:top="225" w:right="639" w:bottom="1440" w:gutter="0" w:footer="0" w:header="0"/>
        </w:sectPr>
      </w:pP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4"/>
          <w:szCs w:val="24"/>
          <w:color w:val="auto"/>
        </w:rPr>
      </w:pPr>
    </w:p>
    <w:p>
      <w:pPr>
        <w:sectPr>
          <w:pgSz w:w="11900" w:h="16838" w:orient="portrait"/>
          <w:cols w:equalWidth="0" w:num="2">
            <w:col w:w="1660" w:space="280"/>
            <w:col w:w="9080"/>
          </w:cols>
          <w:pgMar w:left="240" w:top="225" w:right="639" w:bottom="1440" w:gutter="0" w:footer="0" w:header="0"/>
          <w:type w:val="continuous"/>
        </w:sect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95" w:lineRule="exact"/>
        <w:rPr>
          <w:sz w:val="24"/>
          <w:szCs w:val="24"/>
          <w:color w:val="auto"/>
        </w:rPr>
      </w:pPr>
    </w:p>
    <w:p>
      <w:pPr>
        <w:sectPr>
          <w:pgSz w:w="11900" w:h="16838" w:orient="portrait"/>
          <w:cols w:equalWidth="0" w:num="2">
            <w:col w:w="2980" w:space="240"/>
            <w:col w:w="7800"/>
          </w:cols>
          <w:pgMar w:left="240" w:top="225" w:right="639" w:bottom="1440" w:gutter="0" w:footer="0" w:header="0"/>
          <w:type w:val="continuous"/>
        </w:sect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spacing w:after="0"/>
        <w:tabs>
          <w:tab w:leader="none" w:pos="2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6"/>
          <w:szCs w:val="16"/>
          <w:color w:val="auto"/>
        </w:rPr>
        <w:t>Preliminary Proxy Statement</w:t>
      </w:r>
    </w:p>
    <w:p>
      <w:pPr>
        <w:spacing w:after="0" w:line="208" w:lineRule="exact"/>
        <w:rPr>
          <w:sz w:val="24"/>
          <w:szCs w:val="24"/>
          <w:color w:val="auto"/>
        </w:rPr>
      </w:pPr>
    </w:p>
    <w:p>
      <w:pPr>
        <w:spacing w:after="0"/>
        <w:tabs>
          <w:tab w:leader="none" w:pos="2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x Definitive Proxy Statement</w:t>
      </w:r>
    </w:p>
    <w:p>
      <w:pPr>
        <w:spacing w:after="0" w:line="185" w:lineRule="exact"/>
        <w:rPr>
          <w:sz w:val="24"/>
          <w:szCs w:val="24"/>
          <w:color w:val="auto"/>
        </w:rPr>
      </w:pPr>
    </w:p>
    <w:p>
      <w:pPr>
        <w:spacing w:after="0"/>
        <w:tabs>
          <w:tab w:leader="none" w:pos="2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7"/>
          <w:szCs w:val="17"/>
          <w:color w:val="auto"/>
        </w:rPr>
        <w:t>Definitive Additional Materials</w:t>
      </w:r>
    </w:p>
    <w:p>
      <w:pPr>
        <w:sectPr>
          <w:pgSz w:w="11900" w:h="16838" w:orient="portrait"/>
          <w:cols w:equalWidth="0" w:num="1">
            <w:col w:w="11020"/>
          </w:cols>
          <w:pgMar w:left="240" w:top="225" w:right="639" w:bottom="1440" w:gutter="0" w:footer="0" w:header="0"/>
          <w:type w:val="continuous"/>
        </w:sectPr>
      </w:pPr>
    </w:p>
    <w:p>
      <w:pPr>
        <w:spacing w:after="0" w:line="196" w:lineRule="exact"/>
        <w:rPr>
          <w:sz w:val="24"/>
          <w:szCs w:val="24"/>
          <w:color w:val="auto"/>
        </w:rPr>
      </w:pPr>
    </w:p>
    <w:p>
      <w:pPr>
        <w:spacing w:after="0"/>
        <w:tabs>
          <w:tab w:leader="none" w:pos="2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6"/>
          <w:szCs w:val="16"/>
          <w:color w:val="auto"/>
        </w:rPr>
        <w:t>Soliciting Material Pursuant to Rule 14a-12</w:t>
      </w:r>
    </w:p>
    <w:p>
      <w:pPr>
        <w:spacing w:after="0" w:line="174"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NN, INC.</w:t>
      </w:r>
    </w:p>
    <w:p>
      <w:pPr>
        <w:ind w:left="4000"/>
        <w:spacing w:after="0"/>
        <w:rPr>
          <w:sz w:val="20"/>
          <w:szCs w:val="20"/>
          <w:color w:val="auto"/>
        </w:rPr>
      </w:pPr>
      <w:r>
        <w:rPr>
          <w:rFonts w:ascii="Arial" w:cs="Arial" w:eastAsia="Arial" w:hAnsi="Arial"/>
          <w:sz w:val="18"/>
          <w:szCs w:val="18"/>
          <w:color w:val="auto"/>
        </w:rPr>
        <w:t>(Name of Registrant as Specified in Its Charter)</w:t>
      </w:r>
    </w:p>
    <w:p>
      <w:pPr>
        <w:spacing w:after="0" w:line="15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18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4"/>
          <w:szCs w:val="14"/>
          <w:color w:val="auto"/>
        </w:rPr>
      </w:pPr>
      <w:r>
        <w:rPr>
          <w:rFonts w:ascii="Arial" w:cs="Arial" w:eastAsia="Arial" w:hAnsi="Arial"/>
          <w:sz w:val="18"/>
          <w:szCs w:val="18"/>
          <w:color w:val="auto"/>
        </w:rPr>
        <w:t>Fee computed on table below per Exchange Act Rules 14a-6(i)(1) and 0-11.</w:t>
      </w:r>
    </w:p>
    <w:p>
      <w:pPr>
        <w:spacing w:after="0" w:line="16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ind w:left="360" w:hanging="352"/>
        <w:spacing w:after="0" w:line="203"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firstLine="8"/>
        <w:spacing w:after="0" w:line="203" w:lineRule="auto"/>
        <w:tabs>
          <w:tab w:leader="none" w:pos="34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360" w:hanging="352"/>
        <w:spacing w:after="0" w:line="203"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9" w:lineRule="exact"/>
        <w:rPr>
          <w:sz w:val="24"/>
          <w:szCs w:val="24"/>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8"/>
          <w:szCs w:val="18"/>
          <w:color w:val="auto"/>
        </w:rPr>
        <w:t>Fee paid previously with preliminary materials:</w:t>
      </w:r>
    </w:p>
    <w:p>
      <w:pPr>
        <w:spacing w:after="0" w:line="184" w:lineRule="exact"/>
        <w:rPr>
          <w:rFonts w:ascii="Arial" w:cs="Arial" w:eastAsia="Arial" w:hAnsi="Arial"/>
          <w:sz w:val="14"/>
          <w:szCs w:val="14"/>
          <w:color w:val="auto"/>
        </w:rPr>
      </w:pPr>
    </w:p>
    <w:p>
      <w:pPr>
        <w:ind w:right="280" w:firstLine="8"/>
        <w:spacing w:after="0" w:line="235" w:lineRule="auto"/>
        <w:tabs>
          <w:tab w:leader="none" w:pos="207" w:val="left"/>
        </w:tabs>
        <w:numPr>
          <w:ilvl w:val="0"/>
          <w:numId w:val="3"/>
        </w:numPr>
        <w:rPr>
          <w:rFonts w:ascii="Arial" w:cs="Arial" w:eastAsia="Arial" w:hAnsi="Arial"/>
          <w:sz w:val="14"/>
          <w:szCs w:val="14"/>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sz w:val="24"/>
          <w:szCs w:val="24"/>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ind w:left="300" w:hanging="292"/>
        <w:spacing w:after="0" w:line="203"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300" w:hanging="292"/>
        <w:spacing w:after="0" w:line="203"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225" w:right="639" w:bottom="1440" w:gutter="0" w:footer="0" w:header="0"/>
          <w:type w:val="continuous"/>
        </w:sectPr>
      </w:pPr>
    </w:p>
    <w:bookmarkStart w:id="1" w:name="page2"/>
    <w:bookmarkEnd w:id="1"/>
    <w:p>
      <w:pPr>
        <w:ind w:left="1260"/>
        <w:spacing w:after="0"/>
        <w:rPr>
          <w:sz w:val="20"/>
          <w:szCs w:val="20"/>
          <w:color w:val="auto"/>
        </w:rPr>
      </w:pPr>
      <w:r>
        <w:rPr>
          <w:rFonts w:ascii="Arial" w:cs="Arial" w:eastAsia="Arial" w:hAnsi="Arial"/>
          <w:sz w:val="32"/>
          <w:szCs w:val="32"/>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-215265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8" w:lineRule="exact"/>
        <w:rPr>
          <w:sz w:val="20"/>
          <w:szCs w:val="20"/>
          <w:color w:val="auto"/>
        </w:rPr>
      </w:pPr>
    </w:p>
    <w:p>
      <w:pPr>
        <w:ind w:left="1420"/>
        <w:spacing w:after="0"/>
        <w:rPr>
          <w:sz w:val="20"/>
          <w:szCs w:val="20"/>
          <w:color w:val="auto"/>
        </w:rPr>
      </w:pPr>
      <w:r>
        <w:rPr>
          <w:rFonts w:ascii="Arial" w:cs="Arial" w:eastAsia="Arial" w:hAnsi="Arial"/>
          <w:sz w:val="22"/>
          <w:szCs w:val="22"/>
          <w:b w:val="1"/>
          <w:bCs w:val="1"/>
          <w:u w:val="single" w:color="auto"/>
          <w:color w:val="auto"/>
        </w:rPr>
        <w:t>Corporate</w:t>
      </w:r>
    </w:p>
    <w:p>
      <w:pPr>
        <w:spacing w:after="0" w:line="4" w:lineRule="exact"/>
        <w:rPr>
          <w:sz w:val="20"/>
          <w:szCs w:val="20"/>
          <w:color w:val="auto"/>
        </w:rPr>
      </w:pPr>
    </w:p>
    <w:p>
      <w:pPr>
        <w:ind w:left="1260" w:right="640" w:hanging="53"/>
        <w:spacing w:after="0" w:line="256" w:lineRule="auto"/>
        <w:rPr>
          <w:sz w:val="20"/>
          <w:szCs w:val="20"/>
          <w:color w:val="auto"/>
        </w:rPr>
      </w:pPr>
      <w:r>
        <w:rPr>
          <w:rFonts w:ascii="Arial" w:cs="Arial" w:eastAsia="Arial" w:hAnsi="Arial"/>
          <w:sz w:val="22"/>
          <w:szCs w:val="22"/>
          <w:b w:val="1"/>
          <w:bCs w:val="1"/>
          <w:color w:val="auto"/>
        </w:rPr>
        <w:t>Office</w:t>
      </w:r>
      <w:r>
        <w:rPr>
          <w:sz w:val="20"/>
          <w:szCs w:val="20"/>
          <w:color w:val="auto"/>
        </w:rPr>
        <w:t xml:space="preserve"> </w:t>
      </w:r>
      <w:r>
        <w:rPr>
          <w:rFonts w:ascii="Arial" w:cs="Arial" w:eastAsia="Arial" w:hAnsi="Arial"/>
          <w:sz w:val="22"/>
          <w:szCs w:val="22"/>
          <w:b w:val="1"/>
          <w:bCs w:val="1"/>
          <w:color w:val="auto"/>
        </w:rPr>
        <w:t>www.nnbr.com 2000 Waters Edge Drive • Building C, Suite 12 • 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-31115</wp:posOffset>
            </wp:positionV>
            <wp:extent cx="6073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3775" cy="8890"/>
                    </a:xfrm>
                    <a:prstGeom prst="rect">
                      <a:avLst/>
                    </a:prstGeom>
                    <a:noFill/>
                  </pic:spPr>
                </pic:pic>
              </a:graphicData>
            </a:graphic>
          </wp:anchor>
        </w:drawing>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423-743-9151 • fax 423-743-2670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April 17, 2007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are cordially invited to attend the 2007 Annual Meeting of NN, Inc., which will be held on May 17, 2007, at 10:00 a.m., local time, at the Renaissance Charleston Hotel, 68 Wentworth Street, Charleston, South Carolina, 29401.</w:t>
      </w:r>
    </w:p>
    <w:p>
      <w:pPr>
        <w:spacing w:after="0" w:line="2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business to be conducted at the Annual Meeting is described in the attached Notice of Meeting and Proxy Statement. You are urged to read the Proxy Statement carefully before completing the enclosed proxy card.</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/s/Roderick R. Baty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2000 Waters Edge Drive</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Johnson City, TN 37604</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SHAREHOLDERS</w:t>
      </w:r>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Notice is hereby given that the Annual Meeting of Shareholders of NN, Inc., a Delaware corporation, will be held on May 17, 2007, at 10:00 a.m., local time, at the Renaissance Charleston Hotel, 68 Wentworth Street, Charleston, South Carolina, 29401, for the following purposes:</w:t>
      </w:r>
    </w:p>
    <w:p>
      <w:pPr>
        <w:spacing w:after="0" w:line="265" w:lineRule="exact"/>
        <w:rPr>
          <w:sz w:val="20"/>
          <w:szCs w:val="20"/>
          <w:color w:val="auto"/>
        </w:rPr>
      </w:pPr>
    </w:p>
    <w:p>
      <w:pPr>
        <w:ind w:left="1060" w:hanging="29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Class III directors, to serve for a term of three years;</w:t>
      </w:r>
    </w:p>
    <w:p>
      <w:pPr>
        <w:spacing w:after="0" w:line="333" w:lineRule="exact"/>
        <w:rPr>
          <w:rFonts w:ascii="Arial" w:cs="Arial" w:eastAsia="Arial" w:hAnsi="Arial"/>
          <w:sz w:val="18"/>
          <w:szCs w:val="18"/>
          <w:color w:val="auto"/>
        </w:rPr>
      </w:pPr>
    </w:p>
    <w:p>
      <w:pPr>
        <w:ind w:right="340" w:firstLine="764"/>
        <w:spacing w:after="0" w:line="293" w:lineRule="auto"/>
        <w:tabs>
          <w:tab w:leader="none" w:pos="10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the Company’s registered independent public accounting firm for the fiscal year ending December 31, 2007; and</w:t>
      </w:r>
    </w:p>
    <w:p>
      <w:pPr>
        <w:spacing w:after="0" w:line="250" w:lineRule="exact"/>
        <w:rPr>
          <w:rFonts w:ascii="Arial" w:cs="Arial" w:eastAsia="Arial" w:hAnsi="Arial"/>
          <w:sz w:val="18"/>
          <w:szCs w:val="18"/>
          <w:color w:val="auto"/>
        </w:rPr>
      </w:pPr>
    </w:p>
    <w:p>
      <w:pPr>
        <w:ind w:left="1060" w:hanging="29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conduct such other business as properly may come before the meeting.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THESE PROPOSALS.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these matters are contained in the accompanying Proxy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Holders of record of Common Stock at the close of business on March 30, 2007, are entitled to notice of and to vote at the Annual Meeting.</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C. Kelly,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C. Kelly,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Secretary, and Chief Administrative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ANNUAL MEETING OF SHAREHOLDERS</w:t>
      </w:r>
    </w:p>
    <w:p>
      <w:pPr>
        <w:spacing w:after="0" w:line="200" w:lineRule="exact"/>
        <w:rPr>
          <w:sz w:val="20"/>
          <w:szCs w:val="20"/>
          <w:color w:val="auto"/>
        </w:rPr>
      </w:pPr>
    </w:p>
    <w:p>
      <w:pPr>
        <w:spacing w:after="0" w:line="35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Proxies are being solicited by the Board of Directors of NN, Inc. (the "Company"), in connection with the annual meeting of shareholders to be held on May 17, 2007 at the </w:t>
      </w:r>
      <w:r>
        <w:rPr>
          <w:rFonts w:ascii="Arial" w:cs="Arial" w:eastAsia="Arial" w:hAnsi="Arial"/>
          <w:sz w:val="17"/>
          <w:szCs w:val="17"/>
          <w:b w:val="1"/>
          <w:bCs w:val="1"/>
          <w:color w:val="auto"/>
        </w:rPr>
        <w:t>Renaissance Charleston Hotel, 68 Wentworth Street, Charleston, South Carolina, 29401</w:t>
      </w:r>
      <w:r>
        <w:rPr>
          <w:rFonts w:ascii="Arial" w:cs="Arial" w:eastAsia="Arial" w:hAnsi="Arial"/>
          <w:sz w:val="17"/>
          <w:szCs w:val="17"/>
          <w:color w:val="auto"/>
        </w:rPr>
        <w:t xml:space="preserve"> (the "Annual Meeting"), for the purpose of considering and acting upon the matters set forth in the foregoing Notice of Annual Meeting of Shareholders (the "Notice"). Shareholders of record of the Company's common stock, par value $0.01 per share ("Common Stock"), as of the close of business on March 30, 2007, will be entitled to vote at the meeting. On March 30, 2007 (the "Record Date"), 16,848,082 shares of Common Stock were issued and outstanding.</w:t>
      </w: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24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mailing address of the Company's executive office is 2000 Waters Edge Drive, Johnson City, Tennessee 37604. This Proxy Statement and the form of proxy were mailed to shareholders on or about April 17, 2007.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Quorum; Proxies</w:t>
      </w:r>
    </w:p>
    <w:p>
      <w:pPr>
        <w:spacing w:after="0" w:line="2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Representatives of the Company will serve as inspectors of election for the Annual Meeting.</w:t>
      </w:r>
    </w:p>
    <w:p>
      <w:pPr>
        <w:spacing w:after="0" w:line="24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PricewaterhouseCoopers LLP to serve as the Company's registered independent public accounting firm for 2007.</w:t>
      </w:r>
    </w:p>
    <w:p>
      <w:pPr>
        <w:spacing w:after="0" w:line="20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24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Required Vote</w:t>
      </w:r>
    </w:p>
    <w:p>
      <w:pPr>
        <w:spacing w:after="0" w:line="324"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 xml:space="preserve">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Directors are elected by a plurality vote and the nominee who receives the most votes will be elected. Abstentions and broker non-votes will not be taken into account in determining the outcome of the election.</w:t>
      </w:r>
    </w:p>
    <w:p>
      <w:pPr>
        <w:spacing w:after="0" w:line="251" w:lineRule="exact"/>
        <w:rPr>
          <w:sz w:val="20"/>
          <w:szCs w:val="20"/>
          <w:color w:val="auto"/>
        </w:rPr>
      </w:pPr>
    </w:p>
    <w:p>
      <w:pPr>
        <w:ind w:right="140"/>
        <w:spacing w:after="0" w:line="320" w:lineRule="auto"/>
        <w:rPr>
          <w:sz w:val="20"/>
          <w:szCs w:val="20"/>
          <w:color w:val="auto"/>
        </w:rPr>
      </w:pPr>
      <w:r>
        <w:rPr>
          <w:rFonts w:ascii="Arial" w:cs="Arial" w:eastAsia="Arial" w:hAnsi="Arial"/>
          <w:sz w:val="16"/>
          <w:szCs w:val="16"/>
          <w:color w:val="auto"/>
        </w:rPr>
        <w:t xml:space="preserve">Proposal II: </w:t>
      </w:r>
      <w:r>
        <w:rPr>
          <w:rFonts w:ascii="Arial" w:cs="Arial" w:eastAsia="Arial" w:hAnsi="Arial"/>
          <w:sz w:val="16"/>
          <w:szCs w:val="16"/>
          <w:i w:val="1"/>
          <w:iCs w:val="1"/>
          <w:color w:val="auto"/>
        </w:rPr>
        <w:t>Ratification of Registered Independent Public Accounting Firm.</w:t>
      </w:r>
      <w:r>
        <w:rPr>
          <w:rFonts w:ascii="Arial" w:cs="Arial" w:eastAsia="Arial" w:hAnsi="Arial"/>
          <w:sz w:val="16"/>
          <w:szCs w:val="16"/>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not be considered present and will not be entitled to vote on non-routine items and will have no impact on the vote for this proposal.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Shareholder Proposals</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Any shareholder proposal intended to be presented at next year's Annual Meeting must be received by the Company at its executive offices not later than December 15, 2007 in order to be considered for inclusion in the Company's proxy statement and form of proxy for such meeting. These proposals should be sent to NN, Inc., Attention: Secretary, 2000 Waters Edge Drive, Johnson City, Tennessee 37604. Proposals of shareholders not intended for inclusion in the Company’s 2008 proxy statement must be received by the Company in writing no later than February 29, 2008 in order to preclude the Company’s use of its discretionary proxy voting authority to vote on the proposal or nominee if the proponent is present at the 2008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PROPOSAL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Two Class III directors will be elected to the Board of Directors at the Annual Meeting. The Company has nominated for election Richard G. Fanelli and Michael E. Werner, each a current director of the Company. The nominees have both indicated a willingness to continue to serve as directors if elected, but if either of them should decline or be unable to serve, the persons named as proxies intend to vote all shares in favor of the election of such other persons who may be nominated as replacements by the Board of Directors.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THIS PROPOSAL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Selection of Registered Independent Public Accounting Firm</w:t>
      </w:r>
    </w:p>
    <w:p>
      <w:pPr>
        <w:spacing w:after="0" w:line="2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firm of PricewaterhouseCoopers LLP has been selected by the Audit Committee of the Board of Directors as the Company's registered independent public accounting firm for 2007.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24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THIS PROPOSAL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Information about the Directors</w:t>
      </w:r>
    </w:p>
    <w:p>
      <w:pPr>
        <w:spacing w:after="0" w:line="2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board of directors consists of 6 directors. The board has determined that each of the directors, with the exception of Mr. Baty, qualify as ‘independent” as defined by the Nasdaq rules. In making this determination, the board has concluded that none of these members has a relationship which, in the opinion of the board, would interfere with the exercise of independent judgment in carrying out the responsibilities of a director.</w:t>
      </w:r>
    </w:p>
    <w:p>
      <w:pPr>
        <w:spacing w:after="0" w:line="22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9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Term</w:t>
            </w:r>
          </w:p>
        </w:tc>
        <w:tc>
          <w:tcPr>
            <w:tcW w:w="4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Name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Expires</w:t>
            </w:r>
          </w:p>
        </w:tc>
        <w:tc>
          <w:tcPr>
            <w:tcW w:w="416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Positions with the Company</w:t>
            </w:r>
          </w:p>
        </w:tc>
      </w:tr>
      <w:tr>
        <w:trPr>
          <w:trHeight w:val="195"/>
        </w:trPr>
        <w:tc>
          <w:tcPr>
            <w:tcW w:w="20" w:type="dxa"/>
            <w:vAlign w:val="bottom"/>
          </w:tcPr>
          <w:p>
            <w:pPr>
              <w:spacing w:after="0"/>
              <w:rPr>
                <w:sz w:val="16"/>
                <w:szCs w:val="16"/>
                <w:color w:val="auto"/>
              </w:rPr>
            </w:pP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Michael E. Werner</w:t>
            </w: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9"/>
              </w:rPr>
              <w:t>62</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1995</w:t>
            </w:r>
          </w:p>
        </w:tc>
        <w:tc>
          <w:tcPr>
            <w:tcW w:w="9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2007</w:t>
            </w:r>
          </w:p>
        </w:tc>
        <w:tc>
          <w:tcPr>
            <w:tcW w:w="4160" w:type="dxa"/>
            <w:vAlign w:val="bottom"/>
          </w:tcPr>
          <w:p>
            <w:pPr>
              <w:ind w:left="140"/>
              <w:spacing w:after="0" w:line="195" w:lineRule="exact"/>
              <w:rPr>
                <w:sz w:val="20"/>
                <w:szCs w:val="20"/>
                <w:color w:val="auto"/>
              </w:rPr>
            </w:pPr>
            <w:r>
              <w:rPr>
                <w:rFonts w:ascii="Arial" w:cs="Arial" w:eastAsia="Arial" w:hAnsi="Arial"/>
                <w:sz w:val="18"/>
                <w:szCs w:val="18"/>
                <w:color w:val="auto"/>
              </w:rPr>
              <w:t>Director - nominee for re-election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2007</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 - nominee for re-election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1994</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2008</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1997</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2008</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Robert M. Aiken, Jr.</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2009</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Roderick R. Baty</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1995</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2009</w:t>
            </w:r>
          </w:p>
        </w:tc>
        <w:tc>
          <w:tcPr>
            <w:tcW w:w="4160" w:type="dxa"/>
            <w:vAlign w:val="bottom"/>
          </w:tcPr>
          <w:p>
            <w:pPr>
              <w:ind w:left="140"/>
              <w:spacing w:after="0"/>
              <w:rPr>
                <w:sz w:val="20"/>
                <w:szCs w:val="20"/>
                <w:color w:val="auto"/>
              </w:rPr>
            </w:pPr>
            <w:r>
              <w:rPr>
                <w:rFonts w:ascii="Arial" w:cs="Arial" w:eastAsia="Arial" w:hAnsi="Arial"/>
                <w:sz w:val="18"/>
                <w:szCs w:val="18"/>
                <w:color w:val="auto"/>
              </w:rPr>
              <w:t>Chairman of the Board, Chief Executive Officer,</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President and Director</w:t>
            </w:r>
          </w:p>
        </w:tc>
      </w:tr>
    </w:tbl>
    <w:p>
      <w:pPr>
        <w:spacing w:after="0" w:line="200" w:lineRule="exact"/>
        <w:rPr>
          <w:sz w:val="20"/>
          <w:szCs w:val="20"/>
          <w:color w:val="auto"/>
        </w:rPr>
      </w:pPr>
    </w:p>
    <w:p>
      <w:pPr>
        <w:spacing w:after="0" w:line="32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Michael E. Werner is a management consultant with Werner &amp;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2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Richard G. Fanelli retired in 2000 from Enthone-OMI, Inc., where he spent the majority of 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North America. Prior to this position, Mr. Fanelli held a variety of positions within Enthone-OMI, Inc. including positions in sales and marketing and general management.</w:t>
      </w:r>
    </w:p>
    <w:p>
      <w:pPr>
        <w:spacing w:after="0" w:line="24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serves on the board of directors of Hines Horticulture, Inc., a publicly held company.</w:t>
      </w:r>
    </w:p>
    <w:p>
      <w:pPr>
        <w:spacing w:after="0" w:line="21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Steven T. Warshaw resigned during 2005 from M Cubed Technologies, a developer and 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w:t>
      </w:r>
    </w:p>
    <w:p>
      <w:pPr>
        <w:spacing w:after="0" w:line="21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Inc. Prior to Mr. Aiken joining Sunoco, he held positions with Coopers and Lybrand and earlier with Hershey Foods.</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7" w:name="page8"/>
    <w:bookmarkEnd w:id="7"/>
    <w:p>
      <w:pPr>
        <w:ind w:right="100" w:firstLine="648"/>
        <w:spacing w:after="0" w:line="259" w:lineRule="auto"/>
        <w:rPr>
          <w:sz w:val="20"/>
          <w:szCs w:val="20"/>
          <w:color w:val="auto"/>
        </w:rPr>
      </w:pPr>
      <w:r>
        <w:rPr>
          <w:rFonts w:ascii="Arial" w:cs="Arial" w:eastAsia="Arial" w:hAnsi="Arial"/>
          <w:sz w:val="18"/>
          <w:szCs w:val="18"/>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Group from 1985 to 1990.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Directors who are not employees of the Company are paid an annual retainer of $25,000 and a fee of $1,000 for each Board meeting attended, $750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each committee meeting attended and $500 for each teleconference meeting attended. Additionally, committee chairs are paid an annual retainer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$3,250. Directors who are employees of the Company do not receive any compensation for their service as directors. Directors may elect to defer some or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compensation they are provided by the Company. Additionally, the Compensation Committee has from time to time granted options to the non-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directors. The Company also reimburses all directors for out-of-pocket expenses incurred in attending Board and committee meetings.</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about the compensation our directors received during 2006.</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20" w:type="dxa"/>
            <w:vAlign w:val="bottom"/>
            <w:gridSpan w:val="5"/>
          </w:tcPr>
          <w:p>
            <w:pPr>
              <w:jc w:val="center"/>
              <w:ind w:right="1400"/>
              <w:spacing w:after="0"/>
              <w:rPr>
                <w:sz w:val="20"/>
                <w:szCs w:val="20"/>
                <w:color w:val="auto"/>
              </w:rPr>
            </w:pPr>
            <w:r>
              <w:rPr>
                <w:rFonts w:ascii="Arial" w:cs="Arial" w:eastAsia="Arial" w:hAnsi="Arial"/>
                <w:sz w:val="18"/>
                <w:szCs w:val="18"/>
                <w:b w:val="1"/>
                <w:bCs w:val="1"/>
                <w:color w:val="auto"/>
                <w:w w:val="90"/>
              </w:rPr>
              <w:t>Director Compensation Table For 2006</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8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82"/>
              </w:rPr>
              <w:t>Fees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Earned</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Non-equity</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or Paid</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 Plan</w:t>
            </w: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w w:val="96"/>
              </w:rPr>
              <w:t>Change in Pension Value and All Other</w:t>
            </w: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in Cash</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222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w w:val="95"/>
              </w:rPr>
              <w:t xml:space="preserve">Awards ($)  </w:t>
            </w:r>
            <w:r>
              <w:rPr>
                <w:rFonts w:ascii="Arial" w:cs="Arial" w:eastAsia="Arial" w:hAnsi="Arial"/>
                <w:sz w:val="17"/>
                <w:szCs w:val="17"/>
                <w:b w:val="1"/>
                <w:bCs w:val="1"/>
                <w:color w:val="auto"/>
                <w:w w:val="95"/>
              </w:rPr>
              <w:t>Compensation</w:t>
            </w:r>
          </w:p>
        </w:tc>
        <w:tc>
          <w:tcPr>
            <w:tcW w:w="2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Nonqualified Deferred</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Compen-</w:t>
            </w:r>
          </w:p>
        </w:tc>
        <w:tc>
          <w:tcPr>
            <w:tcW w:w="6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5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Name</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2"/>
              </w:rPr>
              <w:t>Compensation Earnings ($)</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sation ($)  Total ($)</w:t>
            </w:r>
          </w:p>
        </w:tc>
      </w:tr>
      <w:tr>
        <w:trPr>
          <w:trHeight w:val="195"/>
        </w:trPr>
        <w:tc>
          <w:tcPr>
            <w:tcW w:w="20" w:type="dxa"/>
            <w:vAlign w:val="bottom"/>
          </w:tcPr>
          <w:p>
            <w:pPr>
              <w:spacing w:after="0"/>
              <w:rPr>
                <w:sz w:val="16"/>
                <w:szCs w:val="16"/>
                <w:color w:val="auto"/>
              </w:rPr>
            </w:pPr>
          </w:p>
        </w:tc>
        <w:tc>
          <w:tcPr>
            <w:tcW w:w="1520" w:type="dxa"/>
            <w:vAlign w:val="bottom"/>
          </w:tcPr>
          <w:p>
            <w:pPr>
              <w:spacing w:after="0" w:line="195" w:lineRule="exact"/>
              <w:rPr>
                <w:sz w:val="20"/>
                <w:szCs w:val="20"/>
                <w:color w:val="auto"/>
              </w:rPr>
            </w:pPr>
            <w:r>
              <w:rPr>
                <w:rFonts w:ascii="Arial" w:cs="Arial" w:eastAsia="Arial" w:hAnsi="Arial"/>
                <w:sz w:val="18"/>
                <w:szCs w:val="18"/>
                <w:color w:val="auto"/>
              </w:rPr>
              <w:t>G. Ronald Morris</w:t>
            </w:r>
          </w:p>
        </w:tc>
        <w:tc>
          <w:tcPr>
            <w:tcW w:w="760" w:type="dxa"/>
            <w:vAlign w:val="bottom"/>
          </w:tcPr>
          <w:p>
            <w:pPr>
              <w:ind w:left="220"/>
              <w:spacing w:after="0" w:line="195" w:lineRule="exact"/>
              <w:rPr>
                <w:sz w:val="20"/>
                <w:szCs w:val="20"/>
                <w:color w:val="auto"/>
              </w:rPr>
            </w:pPr>
            <w:r>
              <w:rPr>
                <w:rFonts w:ascii="Arial" w:cs="Arial" w:eastAsia="Arial" w:hAnsi="Arial"/>
                <w:sz w:val="18"/>
                <w:szCs w:val="18"/>
                <w:color w:val="auto"/>
                <w:w w:val="94"/>
              </w:rPr>
              <w:t>38,427</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26,875</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40,055</w:t>
            </w:r>
          </w:p>
        </w:tc>
        <w:tc>
          <w:tcPr>
            <w:tcW w:w="920" w:type="dxa"/>
            <w:vAlign w:val="bottom"/>
          </w:tcPr>
          <w:p>
            <w:pPr>
              <w:jc w:val="center"/>
              <w:ind w:left="510"/>
              <w:spacing w:after="0" w:line="195"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105,357</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w w:val="96"/>
              </w:rPr>
              <w:t>Steven T. Warshaw</w:t>
            </w:r>
          </w:p>
        </w:tc>
        <w:tc>
          <w:tcPr>
            <w:tcW w:w="760" w:type="dxa"/>
            <w:vAlign w:val="bottom"/>
          </w:tcPr>
          <w:p>
            <w:pPr>
              <w:ind w:left="220"/>
              <w:spacing w:after="0"/>
              <w:rPr>
                <w:sz w:val="20"/>
                <w:szCs w:val="20"/>
                <w:color w:val="auto"/>
              </w:rPr>
            </w:pPr>
            <w:r>
              <w:rPr>
                <w:rFonts w:ascii="Arial" w:cs="Arial" w:eastAsia="Arial" w:hAnsi="Arial"/>
                <w:sz w:val="18"/>
                <w:szCs w:val="18"/>
                <w:color w:val="auto"/>
                <w:w w:val="94"/>
              </w:rPr>
              <w:t>41,917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26,875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67,051</w:t>
            </w:r>
          </w:p>
        </w:tc>
        <w:tc>
          <w:tcPr>
            <w:tcW w:w="920" w:type="dxa"/>
            <w:vAlign w:val="bottom"/>
          </w:tcPr>
          <w:p>
            <w:pPr>
              <w:jc w:val="center"/>
              <w:ind w:left="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135,843</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760" w:type="dxa"/>
            <w:vAlign w:val="bottom"/>
          </w:tcPr>
          <w:p>
            <w:pPr>
              <w:ind w:left="220"/>
              <w:spacing w:after="0"/>
              <w:rPr>
                <w:sz w:val="20"/>
                <w:szCs w:val="20"/>
                <w:color w:val="auto"/>
              </w:rPr>
            </w:pPr>
            <w:r>
              <w:rPr>
                <w:rFonts w:ascii="Arial" w:cs="Arial" w:eastAsia="Arial" w:hAnsi="Arial"/>
                <w:sz w:val="18"/>
                <w:szCs w:val="18"/>
                <w:color w:val="auto"/>
                <w:w w:val="94"/>
              </w:rPr>
              <w:t>41,417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26,875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51,698</w:t>
            </w:r>
          </w:p>
        </w:tc>
        <w:tc>
          <w:tcPr>
            <w:tcW w:w="920" w:type="dxa"/>
            <w:vAlign w:val="bottom"/>
          </w:tcPr>
          <w:p>
            <w:pPr>
              <w:jc w:val="center"/>
              <w:ind w:left="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119,990</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w w:val="95"/>
              </w:rPr>
              <w:t>Robert M. Aiken, Jr.</w:t>
            </w:r>
          </w:p>
        </w:tc>
        <w:tc>
          <w:tcPr>
            <w:tcW w:w="760" w:type="dxa"/>
            <w:vAlign w:val="bottom"/>
          </w:tcPr>
          <w:p>
            <w:pPr>
              <w:ind w:left="220"/>
              <w:spacing w:after="0"/>
              <w:rPr>
                <w:sz w:val="20"/>
                <w:szCs w:val="20"/>
                <w:color w:val="auto"/>
              </w:rPr>
            </w:pPr>
            <w:r>
              <w:rPr>
                <w:rFonts w:ascii="Arial" w:cs="Arial" w:eastAsia="Arial" w:hAnsi="Arial"/>
                <w:sz w:val="18"/>
                <w:szCs w:val="18"/>
                <w:color w:val="auto"/>
                <w:w w:val="94"/>
              </w:rPr>
              <w:t>40,667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26,875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67,542</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760" w:type="dxa"/>
            <w:vAlign w:val="bottom"/>
          </w:tcPr>
          <w:p>
            <w:pPr>
              <w:ind w:left="220"/>
              <w:spacing w:after="0"/>
              <w:rPr>
                <w:sz w:val="20"/>
                <w:szCs w:val="20"/>
                <w:color w:val="auto"/>
              </w:rPr>
            </w:pPr>
            <w:r>
              <w:rPr>
                <w:rFonts w:ascii="Arial" w:cs="Arial" w:eastAsia="Arial" w:hAnsi="Arial"/>
                <w:sz w:val="18"/>
                <w:szCs w:val="18"/>
                <w:color w:val="auto"/>
                <w:w w:val="94"/>
              </w:rPr>
              <w:t>35,167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26,875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62,042</w:t>
            </w:r>
          </w:p>
        </w:tc>
      </w:tr>
    </w:tbl>
    <w:p>
      <w:pPr>
        <w:spacing w:after="0" w:line="256" w:lineRule="exact"/>
        <w:rPr>
          <w:sz w:val="20"/>
          <w:szCs w:val="20"/>
          <w:color w:val="auto"/>
        </w:rPr>
      </w:pPr>
    </w:p>
    <w:p>
      <w:pPr>
        <w:jc w:val="both"/>
        <w:ind w:left="660" w:hanging="304"/>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represent the market value, as calculated under the provisions of FAS 123(R), of 6,250 shares of stock options awarded Messrs. Morris, Warshaw, Werner, Aiken and Fanelli. On August 14, 2006, the Company awarded 154,250 options to purchase the Company’s stock to five non-employee directors and eight executive officers and other key employees. The market value of these shares on the date of grant was $11.50 per share. The shares granted to non-employee directors vest 100% on the first anniversary of the date of grant and are exercisable at the closing market price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The following table sets forth information with respect to nonqualified deferred compensation during 2006.</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5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w w:val="90"/>
              </w:rPr>
              <w:t>Nonqualified Deferred Compensation For 2006</w:t>
            </w:r>
          </w:p>
        </w:tc>
        <w:tc>
          <w:tcPr>
            <w:tcW w:w="15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Registrant</w:t>
            </w: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c>
          <w:tcPr>
            <w:tcW w:w="15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Contributions in</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Contributions in</w:t>
            </w: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Earnings in Last</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Withdrawals/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88"/>
              </w:rPr>
              <w:t>Aggregate Balance</w:t>
            </w:r>
          </w:p>
        </w:tc>
      </w:tr>
      <w:tr>
        <w:trPr>
          <w:trHeight w:val="234"/>
        </w:trPr>
        <w:tc>
          <w:tcPr>
            <w:tcW w:w="20" w:type="dxa"/>
            <w:vAlign w:val="bottom"/>
          </w:tcPr>
          <w:p>
            <w:pPr>
              <w:spacing w:after="0"/>
              <w:rPr>
                <w:sz w:val="20"/>
                <w:szCs w:val="20"/>
                <w:color w:val="auto"/>
              </w:rPr>
            </w:pPr>
          </w:p>
        </w:tc>
        <w:tc>
          <w:tcPr>
            <w:tcW w:w="15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Name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Last FY ($)</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Last FY ($)</w:t>
            </w:r>
          </w:p>
        </w:tc>
        <w:tc>
          <w:tcPr>
            <w:tcW w:w="1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FY ($)</w:t>
            </w:r>
          </w:p>
        </w:tc>
        <w:tc>
          <w:tcPr>
            <w:tcW w:w="16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1"/>
              </w:rPr>
              <w:t>Distributions ($)</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at Last FYE ($)</w:t>
            </w:r>
          </w:p>
        </w:tc>
      </w:tr>
      <w:tr>
        <w:trPr>
          <w:trHeight w:val="438"/>
        </w:trPr>
        <w:tc>
          <w:tcPr>
            <w:tcW w:w="160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1480" w:type="dxa"/>
            <w:vAlign w:val="bottom"/>
          </w:tcPr>
          <w:p>
            <w:pPr>
              <w:jc w:val="right"/>
              <w:spacing w:after="0"/>
              <w:rPr>
                <w:sz w:val="20"/>
                <w:szCs w:val="20"/>
                <w:color w:val="auto"/>
              </w:rPr>
            </w:pPr>
            <w:r>
              <w:rPr>
                <w:rFonts w:ascii="Arial" w:cs="Arial" w:eastAsia="Arial" w:hAnsi="Arial"/>
                <w:sz w:val="18"/>
                <w:szCs w:val="18"/>
                <w:color w:val="auto"/>
              </w:rPr>
              <w:t>38,427</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40,055</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308,189</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1480" w:type="dxa"/>
            <w:vAlign w:val="bottom"/>
          </w:tcPr>
          <w:p>
            <w:pPr>
              <w:jc w:val="right"/>
              <w:spacing w:after="0"/>
              <w:rPr>
                <w:sz w:val="20"/>
                <w:szCs w:val="20"/>
                <w:color w:val="auto"/>
              </w:rPr>
            </w:pPr>
            <w:r>
              <w:rPr>
                <w:rFonts w:ascii="Arial" w:cs="Arial" w:eastAsia="Arial" w:hAnsi="Arial"/>
                <w:sz w:val="18"/>
                <w:szCs w:val="18"/>
                <w:color w:val="auto"/>
              </w:rPr>
              <w:t>41,917</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67,051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398,919</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51,698</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290,846</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w w:val="99"/>
              </w:rPr>
              <w:t>Robert M. Aiken, Jr.</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the Board of Directors consists of Robert M. Aiken, Jr., Michael E. Werner, and Steven T. Warshaw.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members of the Audit Committee are independent as defined in the Nasdaq rules and Mr. Aiken has been designated as the “audit committee financial expert” as defined by Item 401(h) of Regulation S-K. Among other matters described in its charter, the Audit Committee is responsible for engaging the registered independent public accounting firm to conduct the annual audit of the books and accounts of the Company and for reviewing the effectiveness of the internal auditing, accounting and financial controls of the Company with the registered independent public accounting firm and the Company's internal financial and accounting staff. 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The Audit Committee met ten times in 2006.</w:t>
      </w:r>
    </w:p>
    <w:p>
      <w:pPr>
        <w:spacing w:after="0" w:line="22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of the Board of Directors consists of G. Ronald Morris, Steven T. Warshaw and Richard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 Fanelli. All members of the Compensation Committee are independent as defined by Nasdaq rules. The Compensation Committee annually reviews and approves corporate goals and objectives relative to the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Incentive Plan. 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xml:space="preserve"> The functions of the Compensation Committee are discussed in further detail in the section entitled "Report of the Compensation Committee" herein. The Compensation Committee met six times in 2006.</w:t>
      </w:r>
    </w:p>
    <w:p>
      <w:pPr>
        <w:spacing w:after="0" w:line="22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Governance Committee. </w:t>
      </w:r>
      <w:r>
        <w:rPr>
          <w:rFonts w:ascii="Arial" w:cs="Arial" w:eastAsia="Arial" w:hAnsi="Arial"/>
          <w:sz w:val="18"/>
          <w:szCs w:val="18"/>
          <w:color w:val="auto"/>
        </w:rPr>
        <w:t>The Governance Committee of the Board of Directors was formed by the Board of Directors in 2002.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Michael E. Werner, G. Ronald Morris and Richard G. Fanelli. All members of the Governance Committee are independent as defined by Nasdaq rules.</w:t>
      </w:r>
    </w:p>
    <w:p>
      <w:pPr>
        <w:spacing w:after="0" w:line="23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provided in its charter, the Governance Committee is responsible for reviewing and recommending qualified candidates for membership on the Board of Directors. The Committee seeks input from the Chairman of the Board, other Board members, and professional search firms, if applicable. The Committee will also consider and evaluate any qualified candidates recommended by shareholders. In accordance with the Board's governance principles, the Committee seeks to establish a Board that will bring to the Company a broad range of experience, knowledge and professional judgment. The Committee believes that the Board should have collective competency, knowledge and experience with respect to Corporate Governance, Business, Finance and Accounting, Economics, Industry Knowledge, Manufacturing, Technology, Legal and Government Affairs, and International Operations, among other things.</w:t>
      </w:r>
    </w:p>
    <w:p>
      <w:pPr>
        <w:spacing w:after="0" w:line="21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ind w:firstLine="648"/>
        <w:spacing w:after="0" w:line="290" w:lineRule="auto"/>
        <w:rPr>
          <w:sz w:val="20"/>
          <w:szCs w:val="20"/>
          <w:color w:val="auto"/>
        </w:rPr>
      </w:pPr>
      <w:r>
        <w:rPr>
          <w:rFonts w:ascii="Arial" w:cs="Arial" w:eastAsia="Arial" w:hAnsi="Arial"/>
          <w:sz w:val="16"/>
          <w:szCs w:val="16"/>
          <w:color w:val="auto"/>
        </w:rPr>
        <w:t xml:space="preserve">Shareholders who wish to recommend director candidates for the 2008 Annual Meeting of Shareholders should notify the Secretary in writing at NN, Inc., 2000 Waters Edge Drive, Johnson City, Tennessee 37604. This notification must be received by the Company by December 15, 2007,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Arial" w:cs="Arial" w:eastAsia="Arial" w:hAnsi="Arial"/>
          <w:sz w:val="16"/>
          <w:szCs w:val="16"/>
          <w:i w:val="1"/>
          <w:iCs w:val="1"/>
          <w:color w:val="auto"/>
        </w:rPr>
        <w:t>www.nnbr.com</w:t>
      </w:r>
      <w:r>
        <w:rPr>
          <w:rFonts w:ascii="Arial" w:cs="Arial" w:eastAsia="Arial" w:hAnsi="Arial"/>
          <w:sz w:val="16"/>
          <w:szCs w:val="16"/>
          <w:color w:val="auto"/>
        </w:rPr>
        <w:t>. The Committee will evaluate any director candidate nominated by shareholders according to the criteria discussed above and, based on the results of that evaluation, will determine whether to include the candidate in its recommended slate of director nominees in the Proxy Statement.</w:t>
      </w:r>
    </w:p>
    <w:p>
      <w:pPr>
        <w:spacing w:after="0" w:line="22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Company retains discretion to vote proxies it receives with respect to director nominations or any other business proposals received after December 15, 2007. The Company retains discretion to vote proxies it receives with respect to such proposals received prior to December 15, 2007 provided</w:t>
      </w:r>
    </w:p>
    <w:p>
      <w:pPr>
        <w:ind w:right="20" w:firstLine="8"/>
        <w:spacing w:after="0" w:line="261"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includes in its proxy statement advice on the nature of the proposal and how it intends to exercise its voting discretion, and (b) the proponent does not issue its own proxy statement.</w:t>
      </w:r>
    </w:p>
    <w:p>
      <w:pPr>
        <w:spacing w:after="0" w:line="23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has not paid any third party a fee to assist in the process of identifying or evaluating director candidates. No shareholder or group of shareholders who beneficially owned more than 5% of the Common Stock for at least one year at the time of such recommendation have recommended candidates for election to the Board of Directors.</w:t>
      </w:r>
    </w:p>
    <w:p>
      <w:pPr>
        <w:spacing w:after="0" w:line="23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Additionally, the Governance Committee is responsible for overseeing the process of providing information to the Board, developing corporate governance principles applicable to the Company and oversight and annual evaluation of the Board of Directors. 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www.nnbr.com</w:t>
      </w:r>
      <w:r>
        <w:rPr>
          <w:rFonts w:ascii="Arial" w:cs="Arial" w:eastAsia="Arial" w:hAnsi="Arial"/>
          <w:sz w:val="18"/>
          <w:szCs w:val="18"/>
          <w:color w:val="auto"/>
        </w:rPr>
        <w:t>. The Governance Committee met two times in 2006.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83"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Board of Directors held seven meetings in 2006. All current directors attended at least 75 % of the aggregate of the total number of meetings of the Board and the total number of meetings held by all committees of the Board on which they served. While the Company does not have a policy requiring attendance by members of the Board of Directors at the Annual Meeting, all of the current directors attended the 2006 Annual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2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Interested parties may contact the Board of Directors by sending correspondence to the attention of the Secretary, NN, Inc., 2000 Waters Edge Drive, Johnson City, Tennessee 37604. Any mail received by the Secretary with the exception of improper commercial solicitations will then be forwarded to the members of the Board of Directors (or committee members, as appropriate) for their further action,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8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following table shows, as of March 30, 2007, the beneficial ownership of Common Stock by each director and nominee, each executive officer named in the Summary Compensation Table (the "Named Executive Officers"), and all directors and executive officers as a group, in each case as reported to the Company by such persons.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Name and Address of</w:t>
            </w:r>
          </w:p>
        </w:tc>
        <w:tc>
          <w:tcPr>
            <w:tcW w:w="23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Number of Shares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r>
      <w:tr>
        <w:trPr>
          <w:trHeight w:val="234"/>
        </w:trPr>
        <w:tc>
          <w:tcPr>
            <w:tcW w:w="20" w:type="dxa"/>
            <w:vAlign w:val="bottom"/>
          </w:tcPr>
          <w:p>
            <w:pPr>
              <w:spacing w:after="0"/>
              <w:rPr>
                <w:sz w:val="20"/>
                <w:szCs w:val="20"/>
                <w:color w:val="auto"/>
              </w:rPr>
            </w:pPr>
          </w:p>
        </w:tc>
        <w:tc>
          <w:tcPr>
            <w:tcW w:w="46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2"/>
              </w:rPr>
              <w:t>Beneficial Owner (1)</w:t>
            </w:r>
          </w:p>
        </w:tc>
        <w:tc>
          <w:tcPr>
            <w:tcW w:w="232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91"/>
              </w:rPr>
              <w:t>Beneficially Owned (2)</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Beneficially Owned (2)</w:t>
            </w:r>
          </w:p>
        </w:tc>
      </w:tr>
      <w:tr>
        <w:trPr>
          <w:trHeight w:val="465"/>
        </w:trPr>
        <w:tc>
          <w:tcPr>
            <w:tcW w:w="4620" w:type="dxa"/>
            <w:vAlign w:val="bottom"/>
            <w:gridSpan w:val="2"/>
          </w:tcPr>
          <w:p>
            <w:pPr>
              <w:spacing w:after="0"/>
              <w:rPr>
                <w:sz w:val="20"/>
                <w:szCs w:val="20"/>
                <w:color w:val="auto"/>
              </w:rPr>
            </w:pPr>
            <w:r>
              <w:rPr>
                <w:rFonts w:ascii="Arial" w:cs="Arial" w:eastAsia="Arial" w:hAnsi="Arial"/>
                <w:sz w:val="18"/>
                <w:szCs w:val="18"/>
                <w:color w:val="auto"/>
              </w:rPr>
              <w:t>Roderick R. Baty</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393,695</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(3)</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2.3%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21,000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(4)</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Nicola Trombetti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58,000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(5)</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Frank T. Gentry III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67,561</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(6)</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Robert R. Sams</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99,700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(7)</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58,287</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(8)</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58,000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(9)</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55,000</w:t>
            </w: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93"/>
              </w:rPr>
              <w:t>(10)</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Robert M. Aiken, Jr.</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33,000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7"/>
              </w:rPr>
              <w:t>(11)</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6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gridSpan w:val="2"/>
          </w:tcPr>
          <w:p>
            <w:pPr>
              <w:spacing w:after="0"/>
              <w:rPr>
                <w:sz w:val="20"/>
                <w:szCs w:val="20"/>
                <w:color w:val="auto"/>
              </w:rPr>
            </w:pPr>
            <w:r>
              <w:rPr>
                <w:rFonts w:ascii="Arial" w:cs="Arial" w:eastAsia="Arial" w:hAnsi="Arial"/>
                <w:sz w:val="18"/>
                <w:szCs w:val="18"/>
                <w:color w:val="auto"/>
                <w:w w:val="98"/>
              </w:rPr>
              <w:t>All directors and executive officers as a group (15 persons)</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975,318</w:t>
            </w:r>
          </w:p>
        </w:tc>
        <w:tc>
          <w:tcPr>
            <w:tcW w:w="6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5.8%</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50"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92" w:lineRule="exact"/>
        <w:rPr>
          <w:rFonts w:ascii="Arial" w:cs="Arial" w:eastAsia="Arial" w:hAnsi="Arial"/>
          <w:sz w:val="18"/>
          <w:szCs w:val="18"/>
          <w:color w:val="auto"/>
        </w:rPr>
      </w:pPr>
    </w:p>
    <w:p>
      <w:pPr>
        <w:ind w:left="660" w:hanging="304"/>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address of the beneficial owner is c/o NN, Inc., 2000 Waters Edge Drive, Johnson City, Tennessee 37604.</w:t>
      </w:r>
    </w:p>
    <w:p>
      <w:pPr>
        <w:spacing w:after="0" w:line="279" w:lineRule="exact"/>
        <w:rPr>
          <w:rFonts w:ascii="Arial" w:cs="Arial" w:eastAsia="Arial" w:hAnsi="Arial"/>
          <w:sz w:val="18"/>
          <w:szCs w:val="18"/>
          <w:color w:val="auto"/>
        </w:rPr>
      </w:pPr>
    </w:p>
    <w:p>
      <w:pPr>
        <w:ind w:left="660" w:hanging="304"/>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w:t>
      </w:r>
    </w:p>
    <w:p>
      <w:pPr>
        <w:spacing w:after="0" w:line="279" w:lineRule="exact"/>
        <w:rPr>
          <w:rFonts w:ascii="Arial" w:cs="Arial" w:eastAsia="Arial" w:hAnsi="Arial"/>
          <w:sz w:val="18"/>
          <w:szCs w:val="18"/>
          <w:color w:val="auto"/>
        </w:rPr>
      </w:pPr>
    </w:p>
    <w:p>
      <w:pPr>
        <w:ind w:left="660" w:right="20" w:hanging="30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376,300 shares of Common Stock subject to presently exercisable options and 10,000 shares of restricted Common Stock subject to risk of forfeiture.</w:t>
      </w:r>
    </w:p>
    <w:p>
      <w:pPr>
        <w:spacing w:after="0" w:line="224"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15,000 shares of Common Stock subject to presently exercisable options and 3,334 shares of restricted Common Stock subject to risk of forfeiture.</w:t>
      </w:r>
    </w:p>
    <w:p>
      <w:pPr>
        <w:spacing w:after="0" w:line="224"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53,000 shares of Common Stock subject to presently exercisable options and 3,334 shares of restricted Common Stock subject to risk of forfeiture.</w:t>
      </w:r>
    </w:p>
    <w:p>
      <w:pPr>
        <w:spacing w:after="0" w:line="224"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31,000 shares of Common Stock subject to presently exercisable options and 3,334 shares of restricted Common Stock subject to risk of forfeiture.</w:t>
      </w:r>
    </w:p>
    <w:p>
      <w:pPr>
        <w:spacing w:after="0" w:line="224"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95,600 shares of Common Stock subject to presently exercisable options and 2,667 shares of restricted Common Stock subject to risk of forfeiture.</w:t>
      </w:r>
    </w:p>
    <w:p>
      <w:pPr>
        <w:spacing w:after="0" w:line="224"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53,000 shares of Common Stock subject to presently exercisable options and 5,287 shares of Common stock owned by Mr. Werner’s spouse.</w:t>
      </w:r>
    </w:p>
    <w:p>
      <w:pPr>
        <w:spacing w:after="0" w:line="224" w:lineRule="exact"/>
        <w:rPr>
          <w:rFonts w:ascii="Arial" w:cs="Arial" w:eastAsia="Arial" w:hAnsi="Arial"/>
          <w:sz w:val="18"/>
          <w:szCs w:val="18"/>
          <w:color w:val="auto"/>
        </w:rPr>
      </w:pPr>
    </w:p>
    <w:p>
      <w:pPr>
        <w:ind w:left="660" w:hanging="304"/>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53,000 shares of Common Stock subject to presently exercisable options.</w:t>
      </w:r>
    </w:p>
    <w:p>
      <w:pPr>
        <w:spacing w:after="0" w:line="279" w:lineRule="exact"/>
        <w:rPr>
          <w:rFonts w:ascii="Arial" w:cs="Arial" w:eastAsia="Arial" w:hAnsi="Arial"/>
          <w:sz w:val="18"/>
          <w:szCs w:val="18"/>
          <w:color w:val="auto"/>
        </w:rPr>
      </w:pPr>
    </w:p>
    <w:p>
      <w:pPr>
        <w:ind w:left="660" w:hanging="393"/>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53,000 shares of Common Stock subject to presently exercisable options.</w:t>
      </w:r>
    </w:p>
    <w:p>
      <w:pPr>
        <w:spacing w:after="0" w:line="279" w:lineRule="exact"/>
        <w:rPr>
          <w:rFonts w:ascii="Arial" w:cs="Arial" w:eastAsia="Arial" w:hAnsi="Arial"/>
          <w:sz w:val="18"/>
          <w:szCs w:val="18"/>
          <w:color w:val="auto"/>
        </w:rPr>
      </w:pPr>
    </w:p>
    <w:p>
      <w:pPr>
        <w:ind w:left="660" w:hanging="387"/>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30,000 shares of Common Stock subject to presently exercisable options.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83"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following table sets forth the number of shares of the Company's Common Stock beneficially owned by the only parties known to the Company's management to own more than 5% of the Company's Common Stock.</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ind w:left="1700"/>
              <w:spacing w:after="0"/>
              <w:rPr>
                <w:sz w:val="20"/>
                <w:szCs w:val="20"/>
                <w:color w:val="auto"/>
              </w:rPr>
            </w:pPr>
            <w:r>
              <w:rPr>
                <w:rFonts w:ascii="Arial" w:cs="Arial" w:eastAsia="Arial" w:hAnsi="Arial"/>
                <w:sz w:val="18"/>
                <w:szCs w:val="18"/>
                <w:b w:val="1"/>
                <w:bCs w:val="1"/>
                <w:color w:val="auto"/>
              </w:rPr>
              <w:t>Name and Address of</w:t>
            </w:r>
          </w:p>
        </w:tc>
        <w:tc>
          <w:tcPr>
            <w:tcW w:w="3020" w:type="dxa"/>
            <w:vAlign w:val="bottom"/>
          </w:tcPr>
          <w:p>
            <w:pPr>
              <w:jc w:val="center"/>
              <w:ind w:left="1050"/>
              <w:spacing w:after="0"/>
              <w:rPr>
                <w:sz w:val="20"/>
                <w:szCs w:val="20"/>
                <w:color w:val="auto"/>
              </w:rPr>
            </w:pPr>
            <w:r>
              <w:rPr>
                <w:rFonts w:ascii="Arial" w:cs="Arial" w:eastAsia="Arial" w:hAnsi="Arial"/>
                <w:sz w:val="18"/>
                <w:szCs w:val="18"/>
                <w:b w:val="1"/>
                <w:bCs w:val="1"/>
                <w:color w:val="auto"/>
                <w:w w:val="90"/>
              </w:rPr>
              <w:t>Number of Shares</w:t>
            </w:r>
          </w:p>
        </w:tc>
        <w:tc>
          <w:tcPr>
            <w:tcW w:w="960" w:type="dxa"/>
            <w:vAlign w:val="bottom"/>
          </w:tcPr>
          <w:p>
            <w:pPr>
              <w:spacing w:after="0"/>
              <w:rPr>
                <w:sz w:val="18"/>
                <w:szCs w:val="18"/>
                <w:color w:val="auto"/>
              </w:rPr>
            </w:pPr>
          </w:p>
        </w:tc>
        <w:tc>
          <w:tcPr>
            <w:tcW w:w="28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Percentage</w:t>
            </w:r>
          </w:p>
        </w:tc>
      </w:tr>
      <w:tr>
        <w:trPr>
          <w:trHeight w:val="234"/>
        </w:trPr>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Beneficial Owner</w:t>
            </w:r>
          </w:p>
        </w:tc>
        <w:tc>
          <w:tcPr>
            <w:tcW w:w="30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b w:val="1"/>
                <w:bCs w:val="1"/>
                <w:color w:val="auto"/>
                <w:w w:val="89"/>
              </w:rPr>
              <w:t>Beneficially Owned</w:t>
            </w:r>
          </w:p>
        </w:tc>
        <w:tc>
          <w:tcPr>
            <w:tcW w:w="9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Beneficially Owned</w:t>
            </w:r>
          </w:p>
        </w:tc>
      </w:tr>
      <w:tr>
        <w:trPr>
          <w:trHeight w:val="438"/>
        </w:trPr>
        <w:tc>
          <w:tcPr>
            <w:tcW w:w="4640" w:type="dxa"/>
            <w:vAlign w:val="bottom"/>
          </w:tcPr>
          <w:p>
            <w:pPr>
              <w:spacing w:after="0"/>
              <w:rPr>
                <w:sz w:val="20"/>
                <w:szCs w:val="20"/>
                <w:color w:val="auto"/>
              </w:rPr>
            </w:pPr>
            <w:r>
              <w:rPr>
                <w:rFonts w:ascii="Arial" w:cs="Arial" w:eastAsia="Arial" w:hAnsi="Arial"/>
                <w:sz w:val="18"/>
                <w:szCs w:val="18"/>
                <w:color w:val="auto"/>
              </w:rPr>
              <w:t>Wells Capital Management Incorporated</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525 Market Street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10th Floor</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San Francisco, CA 94104</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1,882,700</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0"/>
              </w:rPr>
              <w:t>11.0%</w:t>
            </w:r>
          </w:p>
        </w:tc>
      </w:tr>
      <w:tr>
        <w:trPr>
          <w:trHeight w:val="472"/>
        </w:trPr>
        <w:tc>
          <w:tcPr>
            <w:tcW w:w="4640" w:type="dxa"/>
            <w:vAlign w:val="bottom"/>
          </w:tcPr>
          <w:p>
            <w:pPr>
              <w:spacing w:after="0"/>
              <w:rPr>
                <w:sz w:val="20"/>
                <w:szCs w:val="20"/>
                <w:color w:val="auto"/>
              </w:rPr>
            </w:pPr>
            <w:r>
              <w:rPr>
                <w:rFonts w:ascii="Arial" w:cs="Arial" w:eastAsia="Arial" w:hAnsi="Arial"/>
                <w:sz w:val="18"/>
                <w:szCs w:val="18"/>
                <w:color w:val="auto"/>
              </w:rPr>
              <w:t>Wellington Management Company, LLP</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75 State Street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Boston, MA 02109</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1,408,900</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8.2%</w:t>
            </w:r>
          </w:p>
        </w:tc>
      </w:tr>
      <w:tr>
        <w:trPr>
          <w:trHeight w:val="472"/>
        </w:trPr>
        <w:tc>
          <w:tcPr>
            <w:tcW w:w="4640" w:type="dxa"/>
            <w:vAlign w:val="bottom"/>
          </w:tcPr>
          <w:p>
            <w:pPr>
              <w:spacing w:after="0"/>
              <w:rPr>
                <w:sz w:val="20"/>
                <w:szCs w:val="20"/>
                <w:color w:val="auto"/>
              </w:rPr>
            </w:pPr>
            <w:r>
              <w:rPr>
                <w:rFonts w:ascii="Arial" w:cs="Arial" w:eastAsia="Arial" w:hAnsi="Arial"/>
                <w:sz w:val="18"/>
                <w:szCs w:val="18"/>
                <w:color w:val="auto"/>
              </w:rPr>
              <w:t>Dimensional Fund Advisors LP</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1299 Ocean Avenue</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Santa Monica, CA 90401</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1,340,716</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7.8%</w:t>
            </w:r>
          </w:p>
        </w:tc>
      </w:tr>
      <w:tr>
        <w:trPr>
          <w:trHeight w:val="472"/>
        </w:trPr>
        <w:tc>
          <w:tcPr>
            <w:tcW w:w="4640" w:type="dxa"/>
            <w:vAlign w:val="bottom"/>
          </w:tcPr>
          <w:p>
            <w:pPr>
              <w:spacing w:after="0"/>
              <w:rPr>
                <w:sz w:val="20"/>
                <w:szCs w:val="20"/>
                <w:color w:val="auto"/>
              </w:rPr>
            </w:pPr>
            <w:r>
              <w:rPr>
                <w:rFonts w:ascii="Arial" w:cs="Arial" w:eastAsia="Arial" w:hAnsi="Arial"/>
                <w:sz w:val="18"/>
                <w:szCs w:val="18"/>
                <w:color w:val="auto"/>
              </w:rPr>
              <w:t>Barclays Global Investors, NA</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45 Fremont Street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San Francisco, CA 94105</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1,285,243</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7.5%</w:t>
            </w:r>
          </w:p>
        </w:tc>
      </w:tr>
      <w:tr>
        <w:trPr>
          <w:trHeight w:val="472"/>
        </w:trPr>
        <w:tc>
          <w:tcPr>
            <w:tcW w:w="4640" w:type="dxa"/>
            <w:vAlign w:val="bottom"/>
          </w:tcPr>
          <w:p>
            <w:pPr>
              <w:spacing w:after="0"/>
              <w:rPr>
                <w:sz w:val="20"/>
                <w:szCs w:val="20"/>
                <w:color w:val="auto"/>
              </w:rPr>
            </w:pPr>
            <w:r>
              <w:rPr>
                <w:rFonts w:ascii="Arial" w:cs="Arial" w:eastAsia="Arial" w:hAnsi="Arial"/>
                <w:sz w:val="18"/>
                <w:szCs w:val="18"/>
                <w:color w:val="auto"/>
              </w:rPr>
              <w:t>Paradigm Capital Management, Inc.</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Nine Elk Street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Albany, NY 12207</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1,177,350</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6.9%</w:t>
            </w:r>
          </w:p>
        </w:tc>
      </w:tr>
      <w:tr>
        <w:trPr>
          <w:trHeight w:val="472"/>
        </w:trPr>
        <w:tc>
          <w:tcPr>
            <w:tcW w:w="4640" w:type="dxa"/>
            <w:vAlign w:val="bottom"/>
          </w:tcPr>
          <w:p>
            <w:pPr>
              <w:spacing w:after="0"/>
              <w:rPr>
                <w:sz w:val="20"/>
                <w:szCs w:val="20"/>
                <w:color w:val="auto"/>
              </w:rPr>
            </w:pPr>
            <w:r>
              <w:rPr>
                <w:rFonts w:ascii="Arial" w:cs="Arial" w:eastAsia="Arial" w:hAnsi="Arial"/>
                <w:sz w:val="18"/>
                <w:szCs w:val="18"/>
                <w:color w:val="auto"/>
              </w:rPr>
              <w:t>The TCW Group, Inc.,</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on Behalf of the TCW Business Unit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865 South Figueroa Street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Los Angeles, CA 90017</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92"/>
              </w:rPr>
              <w:t>938,916</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5.5%</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3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56" w:lineRule="exact"/>
        <w:rPr>
          <w:sz w:val="20"/>
          <w:szCs w:val="20"/>
          <w:color w:val="auto"/>
        </w:rPr>
      </w:pPr>
    </w:p>
    <w:p>
      <w:pPr>
        <w:ind w:left="660" w:hanging="304"/>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based on Schedule 13G filed on February 5, 2007 with the Securities and Exchange Commission by Wells Fargo &amp; Company, on behalf of Wells Capital Management Incorporated, its subsidiary.</w:t>
      </w:r>
    </w:p>
    <w:p>
      <w:pPr>
        <w:spacing w:after="0" w:line="224" w:lineRule="exact"/>
        <w:rPr>
          <w:rFonts w:ascii="Arial" w:cs="Arial" w:eastAsia="Arial" w:hAnsi="Arial"/>
          <w:sz w:val="18"/>
          <w:szCs w:val="18"/>
          <w:color w:val="auto"/>
        </w:rPr>
      </w:pPr>
    </w:p>
    <w:p>
      <w:pPr>
        <w:jc w:val="both"/>
        <w:ind w:left="660" w:hanging="304"/>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based on Schedule 13G filed on February 14, 2007 with the Securities and Exchange Commission by Wellington Management Company, LLP. Includes 808,900 shares for which Wellington Management Company, LLP reports shared voting power with the beneficial owners of such shares and 1,408,900 shares for which Wellington Management Company, LLP reports shared dispositive power with the beneficial owners of such shares.</w:t>
      </w:r>
    </w:p>
    <w:p>
      <w:pPr>
        <w:spacing w:after="0" w:line="240" w:lineRule="exact"/>
        <w:rPr>
          <w:rFonts w:ascii="Arial" w:cs="Arial" w:eastAsia="Arial" w:hAnsi="Arial"/>
          <w:sz w:val="18"/>
          <w:szCs w:val="18"/>
          <w:color w:val="auto"/>
        </w:rPr>
      </w:pPr>
    </w:p>
    <w:p>
      <w:pPr>
        <w:ind w:left="660" w:hanging="304"/>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 based on Schedule 13G filed on February 1, 2007 with the Securities and Exchange Commission by Dimensional Fund Advisors LP.</w:t>
      </w:r>
    </w:p>
    <w:p>
      <w:pPr>
        <w:spacing w:after="0" w:line="290" w:lineRule="exact"/>
        <w:rPr>
          <w:rFonts w:ascii="Arial" w:cs="Arial" w:eastAsia="Arial" w:hAnsi="Arial"/>
          <w:sz w:val="17"/>
          <w:szCs w:val="17"/>
          <w:color w:val="auto"/>
        </w:rPr>
      </w:pPr>
    </w:p>
    <w:p>
      <w:pPr>
        <w:ind w:left="660" w:hanging="304"/>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 based on Schedule 13G filed on January 31, 2007 with the Securities and Exchange Commission by Barclays Global Investors, LTD.</w:t>
      </w:r>
    </w:p>
    <w:p>
      <w:pPr>
        <w:spacing w:after="0" w:line="290" w:lineRule="exact"/>
        <w:rPr>
          <w:rFonts w:ascii="Arial" w:cs="Arial" w:eastAsia="Arial" w:hAnsi="Arial"/>
          <w:sz w:val="17"/>
          <w:szCs w:val="17"/>
          <w:color w:val="auto"/>
        </w:rPr>
      </w:pPr>
    </w:p>
    <w:p>
      <w:pPr>
        <w:ind w:left="660" w:hanging="304"/>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based on Schedule 13G filed on February 14, 2007 with the Securities and Exchange Commission by Paradigm Capital Management, Inc.</w:t>
      </w:r>
    </w:p>
    <w:p>
      <w:pPr>
        <w:spacing w:after="0" w:line="302" w:lineRule="exact"/>
        <w:rPr>
          <w:rFonts w:ascii="Arial" w:cs="Arial" w:eastAsia="Arial" w:hAnsi="Arial"/>
          <w:sz w:val="16"/>
          <w:szCs w:val="16"/>
          <w:color w:val="auto"/>
        </w:rPr>
      </w:pPr>
    </w:p>
    <w:p>
      <w:pPr>
        <w:jc w:val="both"/>
        <w:ind w:left="660" w:hanging="304"/>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based on Schedule 13G filed on February 9, 2007 with the Securities and Exchange Commission by The TCW Group, Inc., on behalf of the TCW Business Unit. Includes 686,374 shares for which The TCW Group, Inc., on behalf of the TCW Business Unit, reports shared voting power with the beneficial owners of such shares and 938,916 shares for which The TCW Group, Inc., on behalf of the TCW Business Unit, reports shared dispositive power with the beneficial owners of such shares.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24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Based solely on its review of the copies of these reports furnished to the Company for the year ended December 31, 2006, the Company is not aware of any instance of noncompliance with Section 16(a) by its directors, executive officers or owners of more than 10%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Principles</w:t>
      </w:r>
    </w:p>
    <w:p>
      <w:pPr>
        <w:spacing w:after="0" w:line="283"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235" w:lineRule="exact"/>
        <w:rPr>
          <w:sz w:val="20"/>
          <w:szCs w:val="20"/>
          <w:color w:val="auto"/>
        </w:rPr>
      </w:pPr>
    </w:p>
    <w:p>
      <w:pPr>
        <w:ind w:left="1300" w:hanging="13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the long-term success of the Company;</w:t>
      </w:r>
    </w:p>
    <w:p>
      <w:pPr>
        <w:spacing w:after="0" w:line="279"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the Company's competitors;</w:t>
      </w:r>
    </w:p>
    <w:p>
      <w:pPr>
        <w:spacing w:after="0" w:line="224" w:lineRule="exact"/>
        <w:rPr>
          <w:rFonts w:ascii="Arial" w:cs="Arial" w:eastAsia="Arial" w:hAnsi="Arial"/>
          <w:sz w:val="18"/>
          <w:szCs w:val="18"/>
          <w:color w:val="auto"/>
        </w:rPr>
      </w:pPr>
    </w:p>
    <w:p>
      <w:pPr>
        <w:ind w:left="1300" w:hanging="13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the Company's and the individual's performance; and</w:t>
      </w:r>
    </w:p>
    <w:p>
      <w:pPr>
        <w:spacing w:after="0" w:line="279" w:lineRule="exact"/>
        <w:rPr>
          <w:rFonts w:ascii="Arial" w:cs="Arial" w:eastAsia="Arial" w:hAnsi="Arial"/>
          <w:sz w:val="18"/>
          <w:szCs w:val="18"/>
          <w:color w:val="auto"/>
        </w:rPr>
      </w:pPr>
    </w:p>
    <w:p>
      <w:pPr>
        <w:ind w:left="1300" w:hanging="13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directly aligning the interests of management with the interests of the shareholders through stock-based compensation arrangements.</w:t>
      </w:r>
    </w:p>
    <w:p>
      <w:pPr>
        <w:spacing w:after="0" w:line="29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In 2006, the components of the Company's executive compensation arrangements consisted of salary, cash bonus and stock option award opportunities pursuant to the Incentive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283"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As a general matter, the Company believes the interests of the Company and its shareholders are best served by developing and maintaining compensation policies that are consistent and competitive with peer group industrial companies. The Company, therefore, periodically conducts peer group benchmarking of public industrial companies and utilizes this information to aid in establishing a competitive compensation program for the Company. The following criteria are utilized as a basis for this program: performance (revenue growth, earnings per share growth, return on net assets, return on equity, and total shareholder return), executive pay, annual incentive/bonus, benefits, and stock incentive awards.</w:t>
      </w:r>
    </w:p>
    <w:p>
      <w:pPr>
        <w:spacing w:after="0" w:line="22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current executive compensation structure includes a formal salary grade structure that establishes five levels of executive compensation within the Company. Base salary ranges (low, mid and high) are established for each salary grade. In addition, a formal annual incentive bonus plan includes threshold, target, and maximum awards based upon pre-established financial performance criteria.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28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salary levels for the Company’s executive officers and managers are reviewed and determined annually. Adjustments to executive officer compensation are evaluated based upon the individual’s and Company’s performance within the framework of the Company’s formal compensation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28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Annual bonuses are based solely on a formalized plan. Bonus payments are contingent upon achieving pre-established net income goals and certain strategic goals for each operating business unit and the total company. The Compensation Committee, at its discretion, may make adjustments to the net income goals and the strategic goals based on certain factors as it feels appropriate and may grant bonuses using other criteria at its sole discretion. The bonuses paid to Named Executive Officers for 2006 are set forth in the Summary Compensation Table.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w:t>
      </w:r>
    </w:p>
    <w:p>
      <w:pPr>
        <w:spacing w:after="0" w:line="28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Incentive Plan which was adopted by the Board of Directors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This Incentive Plan replaced the NN, Inc. Stock Incentive Plan which was adopted on March 2, 1994 and expired on March 2, 2004. Stock options granted under the former plan prior to its expiration are exercisable upon vesting for a period of ten years after the date of grant.</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 w:name="page15"/>
    <w:bookmarkEnd w:id="14"/>
    <w:p>
      <w:pPr>
        <w:ind w:firstLine="648"/>
        <w:spacing w:after="0" w:line="257" w:lineRule="auto"/>
        <w:rPr>
          <w:sz w:val="20"/>
          <w:szCs w:val="20"/>
          <w:color w:val="auto"/>
        </w:rPr>
      </w:pPr>
      <w:r>
        <w:rPr>
          <w:rFonts w:ascii="Arial" w:cs="Arial" w:eastAsia="Arial" w:hAnsi="Arial"/>
          <w:sz w:val="18"/>
          <w:szCs w:val="18"/>
          <w:color w:val="auto"/>
        </w:rPr>
        <w:t>Stock options and restricted share grants to the Company’s executive officers and managers are generally reviewed and determined annually by the Compensation Committee. With respect to options and restricted shares awarded, the Committee utilizes a structure based upon the following: recommendations from the independent compensation review, Mr. Baty’s recommendations (other than for himself), and rewards to officers and other key employees for superior performance and to provide financial incentives for officers and employees to continue to perform in a superior manner. The Company awarded 114,000 options to ten executive officers during 2006.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28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on the basis of the following factors: 1) the Company’s overall performance, 2) Mr. Baty’s individual performance and 3) the competitiveness of Mr. Baty’s salary in comparison to similar industrial companies.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Internal Revenue Code Section 162(m)</w:t>
      </w:r>
    </w:p>
    <w:p>
      <w:pPr>
        <w:spacing w:after="0" w:line="283"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No compensation paid to the executive officers in 2006 exceeded the limit imposed by Section 162(m).</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83"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following table sets forth for the year ended December 31, 2006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2006 exceeded $100,000.</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gridSpan w:val="6"/>
          </w:tcPr>
          <w:p>
            <w:pPr>
              <w:jc w:val="right"/>
              <w:ind w:right="970"/>
              <w:spacing w:after="0"/>
              <w:rPr>
                <w:sz w:val="20"/>
                <w:szCs w:val="20"/>
                <w:color w:val="auto"/>
              </w:rPr>
            </w:pPr>
            <w:r>
              <w:rPr>
                <w:rFonts w:ascii="Arial" w:cs="Arial" w:eastAsia="Arial" w:hAnsi="Arial"/>
                <w:sz w:val="18"/>
                <w:szCs w:val="18"/>
                <w:b w:val="1"/>
                <w:bCs w:val="1"/>
                <w:color w:val="auto"/>
                <w:w w:val="96"/>
              </w:rPr>
              <w:t>Summary Compensation Table for 2006</w:t>
            </w: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Deferred</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Compen-</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Name and</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Compen-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sation</w:t>
            </w: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All Other</w:t>
            </w: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66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Salary</w:t>
            </w:r>
          </w:p>
        </w:tc>
        <w:tc>
          <w:tcPr>
            <w:tcW w:w="8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sation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Compensation</w:t>
            </w: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w:t>
            </w:r>
          </w:p>
        </w:tc>
      </w:tr>
      <w:tr>
        <w:trPr>
          <w:trHeight w:val="234"/>
        </w:trPr>
        <w:tc>
          <w:tcPr>
            <w:tcW w:w="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Year</w:t>
            </w: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Bonus ($)</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($)(2)</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r>
      <w:tr>
        <w:trPr>
          <w:trHeight w:val="438"/>
        </w:trPr>
        <w:tc>
          <w:tcPr>
            <w:tcW w:w="1380" w:type="dxa"/>
            <w:vAlign w:val="bottom"/>
            <w:gridSpan w:val="2"/>
          </w:tcPr>
          <w:p>
            <w:pPr>
              <w:spacing w:after="0"/>
              <w:rPr>
                <w:sz w:val="20"/>
                <w:szCs w:val="20"/>
                <w:color w:val="auto"/>
              </w:rPr>
            </w:pPr>
            <w:r>
              <w:rPr>
                <w:rFonts w:ascii="Arial" w:cs="Arial" w:eastAsia="Arial" w:hAnsi="Arial"/>
                <w:sz w:val="18"/>
                <w:szCs w:val="18"/>
                <w:color w:val="auto"/>
              </w:rPr>
              <w:t>Roderick R. Baty</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Chairman/Chief</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Executive Officer</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760" w:type="dxa"/>
            <w:vAlign w:val="bottom"/>
          </w:tcPr>
          <w:p>
            <w:pPr>
              <w:jc w:val="right"/>
              <w:spacing w:after="0"/>
              <w:rPr>
                <w:sz w:val="20"/>
                <w:szCs w:val="20"/>
                <w:color w:val="auto"/>
              </w:rPr>
            </w:pPr>
            <w:r>
              <w:rPr>
                <w:rFonts w:ascii="Arial" w:cs="Arial" w:eastAsia="Arial" w:hAnsi="Arial"/>
                <w:sz w:val="18"/>
                <w:szCs w:val="18"/>
                <w:color w:val="auto"/>
              </w:rPr>
              <w:t>418,397</w:t>
            </w: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6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112,875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w w:val="99"/>
              </w:rPr>
              <w:t>18,100(2,3,4,5)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749,372</w:t>
            </w:r>
          </w:p>
        </w:tc>
      </w:tr>
      <w:tr>
        <w:trPr>
          <w:trHeight w:val="445"/>
        </w:trPr>
        <w:tc>
          <w:tcPr>
            <w:tcW w:w="13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Chief Financial</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760" w:type="dxa"/>
            <w:vAlign w:val="bottom"/>
          </w:tcPr>
          <w:p>
            <w:pPr>
              <w:jc w:val="right"/>
              <w:spacing w:after="0"/>
              <w:rPr>
                <w:sz w:val="20"/>
                <w:szCs w:val="20"/>
                <w:color w:val="auto"/>
              </w:rPr>
            </w:pPr>
            <w:r>
              <w:rPr>
                <w:rFonts w:ascii="Arial" w:cs="Arial" w:eastAsia="Arial" w:hAnsi="Arial"/>
                <w:sz w:val="18"/>
                <w:szCs w:val="18"/>
                <w:color w:val="auto"/>
              </w:rPr>
              <w:t>206,304</w:t>
            </w:r>
          </w:p>
        </w:tc>
        <w:tc>
          <w:tcPr>
            <w:tcW w:w="860" w:type="dxa"/>
            <w:vAlign w:val="bottom"/>
          </w:tcPr>
          <w:p>
            <w:pPr>
              <w:jc w:val="right"/>
              <w:spacing w:after="0"/>
              <w:rPr>
                <w:sz w:val="20"/>
                <w:szCs w:val="20"/>
                <w:color w:val="auto"/>
              </w:rPr>
            </w:pPr>
            <w:r>
              <w:rPr>
                <w:rFonts w:ascii="Arial" w:cs="Arial" w:eastAsia="Arial" w:hAnsi="Arial"/>
                <w:sz w:val="18"/>
                <w:szCs w:val="18"/>
                <w:color w:val="auto"/>
              </w:rPr>
              <w:t>69,800</w:t>
            </w:r>
          </w:p>
        </w:tc>
        <w:tc>
          <w:tcPr>
            <w:tcW w:w="6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48,375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w w:val="99"/>
              </w:rPr>
              <w:t>15,242(2,3,4,5)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339,721</w:t>
            </w:r>
          </w:p>
        </w:tc>
      </w:tr>
      <w:tr>
        <w:trPr>
          <w:trHeight w:val="445"/>
        </w:trPr>
        <w:tc>
          <w:tcPr>
            <w:tcW w:w="1380" w:type="dxa"/>
            <w:vAlign w:val="bottom"/>
            <w:gridSpan w:val="2"/>
          </w:tcPr>
          <w:p>
            <w:pPr>
              <w:spacing w:after="0"/>
              <w:rPr>
                <w:sz w:val="20"/>
                <w:szCs w:val="20"/>
                <w:color w:val="auto"/>
              </w:rPr>
            </w:pPr>
            <w:r>
              <w:rPr>
                <w:rFonts w:ascii="Arial" w:cs="Arial" w:eastAsia="Arial" w:hAnsi="Arial"/>
                <w:sz w:val="18"/>
                <w:szCs w:val="18"/>
                <w:color w:val="auto"/>
              </w:rPr>
              <w:t>Nicola Trombetti</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Vice President -</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Managing</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Director, NN</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760" w:type="dxa"/>
            <w:vAlign w:val="bottom"/>
          </w:tcPr>
          <w:p>
            <w:pPr>
              <w:jc w:val="right"/>
              <w:spacing w:after="0"/>
              <w:rPr>
                <w:sz w:val="20"/>
                <w:szCs w:val="20"/>
                <w:color w:val="auto"/>
              </w:rPr>
            </w:pPr>
            <w:r>
              <w:rPr>
                <w:rFonts w:ascii="Arial" w:cs="Arial" w:eastAsia="Arial" w:hAnsi="Arial"/>
                <w:sz w:val="18"/>
                <w:szCs w:val="18"/>
                <w:color w:val="auto"/>
              </w:rPr>
              <w:t>319,542</w:t>
            </w:r>
          </w:p>
        </w:tc>
        <w:tc>
          <w:tcPr>
            <w:tcW w:w="860" w:type="dxa"/>
            <w:vAlign w:val="bottom"/>
          </w:tcPr>
          <w:p>
            <w:pPr>
              <w:jc w:val="right"/>
              <w:spacing w:after="0"/>
              <w:rPr>
                <w:sz w:val="20"/>
                <w:szCs w:val="20"/>
                <w:color w:val="auto"/>
              </w:rPr>
            </w:pPr>
            <w:r>
              <w:rPr>
                <w:rFonts w:ascii="Arial" w:cs="Arial" w:eastAsia="Arial" w:hAnsi="Arial"/>
                <w:sz w:val="18"/>
                <w:szCs w:val="18"/>
                <w:color w:val="auto"/>
              </w:rPr>
              <w:t>108,886</w:t>
            </w:r>
          </w:p>
        </w:tc>
        <w:tc>
          <w:tcPr>
            <w:tcW w:w="6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48,375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4,851(3,6)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481,654</w:t>
            </w:r>
          </w:p>
        </w:tc>
      </w:tr>
      <w:tr>
        <w:trPr>
          <w:trHeight w:val="445"/>
        </w:trPr>
        <w:tc>
          <w:tcPr>
            <w:tcW w:w="1380" w:type="dxa"/>
            <w:vAlign w:val="bottom"/>
            <w:gridSpan w:val="2"/>
          </w:tcPr>
          <w:p>
            <w:pPr>
              <w:spacing w:after="0"/>
              <w:rPr>
                <w:sz w:val="20"/>
                <w:szCs w:val="20"/>
                <w:color w:val="auto"/>
              </w:rPr>
            </w:pPr>
            <w:r>
              <w:rPr>
                <w:rFonts w:ascii="Arial" w:cs="Arial" w:eastAsia="Arial" w:hAnsi="Arial"/>
                <w:sz w:val="18"/>
                <w:szCs w:val="18"/>
                <w:color w:val="auto"/>
              </w:rPr>
              <w:t>Frank T. Gentry</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III</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Vice President -</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w w:val="93"/>
              </w:rPr>
              <w:t>General Manager,</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U.S. Ball &amp;</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Roller Division</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760" w:type="dxa"/>
            <w:vAlign w:val="bottom"/>
          </w:tcPr>
          <w:p>
            <w:pPr>
              <w:jc w:val="right"/>
              <w:spacing w:after="0"/>
              <w:rPr>
                <w:sz w:val="20"/>
                <w:szCs w:val="20"/>
                <w:color w:val="auto"/>
              </w:rPr>
            </w:pPr>
            <w:r>
              <w:rPr>
                <w:rFonts w:ascii="Arial" w:cs="Arial" w:eastAsia="Arial" w:hAnsi="Arial"/>
                <w:sz w:val="18"/>
                <w:szCs w:val="18"/>
                <w:color w:val="auto"/>
              </w:rPr>
              <w:t>215,289</w:t>
            </w:r>
          </w:p>
        </w:tc>
        <w:tc>
          <w:tcPr>
            <w:tcW w:w="860" w:type="dxa"/>
            <w:vAlign w:val="bottom"/>
          </w:tcPr>
          <w:p>
            <w:pPr>
              <w:jc w:val="right"/>
              <w:spacing w:after="0"/>
              <w:rPr>
                <w:sz w:val="20"/>
                <w:szCs w:val="20"/>
                <w:color w:val="auto"/>
              </w:rPr>
            </w:pPr>
            <w:r>
              <w:rPr>
                <w:rFonts w:ascii="Arial" w:cs="Arial" w:eastAsia="Arial" w:hAnsi="Arial"/>
                <w:sz w:val="18"/>
                <w:szCs w:val="18"/>
                <w:color w:val="auto"/>
              </w:rPr>
              <w:t>90,873</w:t>
            </w:r>
          </w:p>
        </w:tc>
        <w:tc>
          <w:tcPr>
            <w:tcW w:w="6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48,375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w w:val="99"/>
              </w:rPr>
              <w:t>15,362(2,3,4,5)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369,899</w:t>
            </w:r>
          </w:p>
        </w:tc>
      </w:tr>
      <w:tr>
        <w:trPr>
          <w:trHeight w:val="445"/>
        </w:trPr>
        <w:tc>
          <w:tcPr>
            <w:tcW w:w="1380" w:type="dxa"/>
            <w:vAlign w:val="bottom"/>
            <w:gridSpan w:val="2"/>
          </w:tcPr>
          <w:p>
            <w:pPr>
              <w:spacing w:after="0"/>
              <w:rPr>
                <w:sz w:val="20"/>
                <w:szCs w:val="20"/>
                <w:color w:val="auto"/>
              </w:rPr>
            </w:pPr>
            <w:r>
              <w:rPr>
                <w:rFonts w:ascii="Arial" w:cs="Arial" w:eastAsia="Arial" w:hAnsi="Arial"/>
                <w:sz w:val="18"/>
                <w:szCs w:val="18"/>
                <w:color w:val="auto"/>
              </w:rPr>
              <w:t>Robert R. Sams</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Sales</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760" w:type="dxa"/>
            <w:vAlign w:val="bottom"/>
          </w:tcPr>
          <w:p>
            <w:pPr>
              <w:jc w:val="right"/>
              <w:spacing w:after="0"/>
              <w:rPr>
                <w:sz w:val="20"/>
                <w:szCs w:val="20"/>
                <w:color w:val="auto"/>
              </w:rPr>
            </w:pPr>
            <w:r>
              <w:rPr>
                <w:rFonts w:ascii="Arial" w:cs="Arial" w:eastAsia="Arial" w:hAnsi="Arial"/>
                <w:sz w:val="18"/>
                <w:szCs w:val="18"/>
                <w:color w:val="auto"/>
              </w:rPr>
              <w:t>178,885</w:t>
            </w:r>
          </w:p>
        </w:tc>
        <w:tc>
          <w:tcPr>
            <w:tcW w:w="860" w:type="dxa"/>
            <w:vAlign w:val="bottom"/>
          </w:tcPr>
          <w:p>
            <w:pPr>
              <w:jc w:val="right"/>
              <w:spacing w:after="0"/>
              <w:rPr>
                <w:sz w:val="20"/>
                <w:szCs w:val="20"/>
                <w:color w:val="auto"/>
              </w:rPr>
            </w:pPr>
            <w:r>
              <w:rPr>
                <w:rFonts w:ascii="Arial" w:cs="Arial" w:eastAsia="Arial" w:hAnsi="Arial"/>
                <w:sz w:val="18"/>
                <w:szCs w:val="18"/>
                <w:color w:val="auto"/>
              </w:rPr>
              <w:t>60,028</w:t>
            </w:r>
          </w:p>
        </w:tc>
        <w:tc>
          <w:tcPr>
            <w:tcW w:w="6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2"/>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38,700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w w:val="99"/>
              </w:rPr>
              <w:t>14,168(2,3,4,5)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291,781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79" w:lineRule="exact"/>
        <w:rPr>
          <w:sz w:val="20"/>
          <w:szCs w:val="20"/>
          <w:color w:val="auto"/>
        </w:rPr>
      </w:pPr>
    </w:p>
    <w:p>
      <w:pPr>
        <w:jc w:val="both"/>
        <w:ind w:left="660" w:hanging="304"/>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represent the market value, as calculated under the provisions of FAS 123(R), of 26,250 shares, 11,250 shares, 11,250 shares, 11,2500 shares and 9,000 shares of stock options awarded Messrs. Baty, Dorton, Trombetti, Gentry and, Sams, respectively. On August 14, 2006, the Company awarded 154,250 options to purchase the Company’s stock to five non-employee directors and eight executive officers and other key employees. The market value of these shares on the date of grant was $11.50 per share. The shares granted to officers and other key employees vest over a period of three years beginning on the first anniversary of the date of grant and are exercisable at the closing market price of the date of grant. The shares granted to non-employee directors vest 100% on the anniversary date of the grant and are exercisable at the closing market price of the date of grant.</w:t>
      </w:r>
    </w:p>
    <w:p>
      <w:pPr>
        <w:spacing w:after="0" w:line="243" w:lineRule="exact"/>
        <w:rPr>
          <w:rFonts w:ascii="Arial" w:cs="Arial" w:eastAsia="Arial" w:hAnsi="Arial"/>
          <w:sz w:val="18"/>
          <w:szCs w:val="18"/>
          <w:color w:val="auto"/>
        </w:rPr>
      </w:pPr>
    </w:p>
    <w:p>
      <w:pPr>
        <w:ind w:left="660" w:hanging="30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$9,000 for a car allowance for each of Messrs. Baty, Dorton, Gentry and Sams.</w:t>
      </w:r>
    </w:p>
    <w:p>
      <w:pPr>
        <w:spacing w:after="0" w:line="279"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$4,000, $1,333, $1,333, $1,333 and $1,067 in dividends received on unvested restricted stock for each of Messrs. Baty, Dorton, Trombetti, Gentry and, Sams, respectively.</w:t>
      </w:r>
    </w:p>
    <w:p>
      <w:pPr>
        <w:spacing w:after="0" w:line="224" w:lineRule="exact"/>
        <w:rPr>
          <w:rFonts w:ascii="Arial" w:cs="Arial" w:eastAsia="Arial" w:hAnsi="Arial"/>
          <w:sz w:val="18"/>
          <w:szCs w:val="18"/>
          <w:color w:val="auto"/>
        </w:rPr>
      </w:pPr>
    </w:p>
    <w:p>
      <w:pPr>
        <w:jc w:val="both"/>
        <w:ind w:left="660" w:hanging="30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$4,400, $4,306, $4,400 and $3,758 in Company matching contributions under a “401(k)” savings plan for Messrs. Baty, Dorton, Gentry and Sams, respectively. This plan is open to substantially all of the Company’s U.S. employees and officers who have met certain service and age requirements.</w:t>
      </w:r>
    </w:p>
    <w:p>
      <w:pPr>
        <w:spacing w:after="0" w:line="235" w:lineRule="exact"/>
        <w:rPr>
          <w:rFonts w:ascii="Arial" w:cs="Arial" w:eastAsia="Arial" w:hAnsi="Arial"/>
          <w:sz w:val="18"/>
          <w:szCs w:val="18"/>
          <w:color w:val="auto"/>
        </w:rPr>
      </w:pPr>
    </w:p>
    <w:p>
      <w:pPr>
        <w:ind w:left="660" w:right="20" w:hanging="30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$700, $603, $628 and $343 in premiums paid by the Company for supplemental life insurance for the benefit of Messrs. Baty, Dorton, Gentry and Sams, respectively.</w:t>
      </w:r>
    </w:p>
    <w:p>
      <w:pPr>
        <w:spacing w:after="0" w:line="224" w:lineRule="exact"/>
        <w:rPr>
          <w:rFonts w:ascii="Arial" w:cs="Arial" w:eastAsia="Arial" w:hAnsi="Arial"/>
          <w:sz w:val="18"/>
          <w:szCs w:val="18"/>
          <w:color w:val="auto"/>
        </w:rPr>
      </w:pPr>
    </w:p>
    <w:p>
      <w:pPr>
        <w:ind w:left="660" w:hanging="30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$3,518 for a travel indemnity paid to Mr. Trombetti by the Company.</w:t>
      </w:r>
    </w:p>
    <w:p>
      <w:pPr>
        <w:sectPr>
          <w:pgSz w:w="11900" w:h="16838" w:orient="portrait"/>
          <w:cols w:equalWidth="0" w:num="1">
            <w:col w:w="11420"/>
          </w:cols>
          <w:pgMar w:left="240" w:top="391" w:right="239" w:bottom="673"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673" w:gutter="0" w:footer="0" w:header="0"/>
          <w:type w:val="continuous"/>
        </w:sectPr>
      </w:pPr>
    </w:p>
    <w:bookmarkStart w:id="16" w:name="page17"/>
    <w:bookmarkEnd w:id="16"/>
    <w:p>
      <w:pPr>
        <w:ind w:left="304"/>
        <w:spacing w:after="0"/>
        <w:rPr>
          <w:sz w:val="20"/>
          <w:szCs w:val="20"/>
          <w:color w:val="auto"/>
        </w:rPr>
      </w:pPr>
      <w:r>
        <w:rPr>
          <w:rFonts w:ascii="Arial" w:cs="Arial" w:eastAsia="Arial" w:hAnsi="Arial"/>
          <w:sz w:val="18"/>
          <w:szCs w:val="18"/>
          <w:color w:val="auto"/>
        </w:rPr>
        <w:t>The following table sets forth information with respect to options granted during 2006 to the Named Executive Officers.</w:t>
      </w:r>
    </w:p>
    <w:p>
      <w:pPr>
        <w:spacing w:after="0" w:line="275" w:lineRule="exact"/>
        <w:rPr>
          <w:sz w:val="20"/>
          <w:szCs w:val="20"/>
          <w:color w:val="auto"/>
        </w:rPr>
      </w:pPr>
    </w:p>
    <w:tbl>
      <w:tblPr>
        <w:tblLayout w:type="fixed"/>
        <w:tblInd w:w="78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60" w:type="dxa"/>
            <w:vAlign w:val="bottom"/>
            <w:gridSpan w:val="5"/>
          </w:tcPr>
          <w:p>
            <w:pPr>
              <w:jc w:val="center"/>
              <w:ind w:right="310"/>
              <w:spacing w:after="0"/>
              <w:rPr>
                <w:sz w:val="20"/>
                <w:szCs w:val="20"/>
                <w:color w:val="auto"/>
              </w:rPr>
            </w:pPr>
            <w:r>
              <w:rPr>
                <w:rFonts w:ascii="Arial" w:cs="Arial" w:eastAsia="Arial" w:hAnsi="Arial"/>
                <w:sz w:val="18"/>
                <w:szCs w:val="18"/>
                <w:b w:val="1"/>
                <w:bCs w:val="1"/>
                <w:color w:val="auto"/>
                <w:w w:val="90"/>
              </w:rPr>
              <w:t>Grants of Plan-Based Awards For 2006</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8"/>
              </w:rPr>
              <w:t>Estimated Future payouts</w:t>
            </w:r>
          </w:p>
        </w:tc>
        <w:tc>
          <w:tcPr>
            <w:tcW w:w="1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2"/>
              </w:rPr>
              <w:t>Estimated Future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920" w:type="dxa"/>
            <w:vAlign w:val="bottom"/>
            <w:gridSpan w:val="3"/>
            <w:vMerge w:val="continue"/>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Stock</w:t>
            </w: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Option</w:t>
            </w:r>
          </w:p>
        </w:tc>
        <w:tc>
          <w:tcPr>
            <w:tcW w:w="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Under Non-Equity</w:t>
            </w:r>
          </w:p>
        </w:tc>
        <w:tc>
          <w:tcPr>
            <w:tcW w:w="1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Payouts Under Equity</w:t>
            </w:r>
          </w:p>
        </w:tc>
        <w:tc>
          <w:tcPr>
            <w:tcW w:w="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920" w:type="dxa"/>
            <w:vAlign w:val="bottom"/>
            <w:gridSpan w:val="3"/>
            <w:vMerge w:val="continue"/>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Awards:</w:t>
            </w: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Awards:</w:t>
            </w:r>
          </w:p>
        </w:tc>
        <w:tc>
          <w:tcPr>
            <w:tcW w:w="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or Base</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w w:val="96"/>
              </w:rPr>
              <w:t>Incentive Plan Awards</w:t>
            </w:r>
          </w:p>
        </w:tc>
        <w:tc>
          <w:tcPr>
            <w:tcW w:w="1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1"/>
              </w:rPr>
              <w:t>Incentive Plan Awards</w:t>
            </w:r>
          </w:p>
        </w:tc>
        <w:tc>
          <w:tcPr>
            <w:tcW w:w="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Price of</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9"/>
              </w:rPr>
              <w:t>Maxi-</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9"/>
              </w:rPr>
              <w:t>Maxi-</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Grant</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Thres-</w:t>
            </w:r>
          </w:p>
        </w:tc>
        <w:tc>
          <w:tcPr>
            <w:tcW w:w="4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2"/>
              </w:rPr>
              <w:t>mum</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Thres-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2"/>
              </w:rPr>
              <w:t>mum</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Stock or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Name</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Date</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hold ($) Target($)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hold ($)</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Units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(1)</w:t>
            </w:r>
          </w:p>
        </w:tc>
        <w:tc>
          <w:tcPr>
            <w:tcW w:w="0" w:type="dxa"/>
            <w:vAlign w:val="bottom"/>
          </w:tcPr>
          <w:p>
            <w:pPr>
              <w:spacing w:after="0"/>
              <w:rPr>
                <w:sz w:val="1"/>
                <w:szCs w:val="1"/>
                <w:color w:val="auto"/>
              </w:rPr>
            </w:pPr>
          </w:p>
        </w:tc>
      </w:tr>
      <w:tr>
        <w:trPr>
          <w:trHeight w:val="438"/>
        </w:trPr>
        <w:tc>
          <w:tcPr>
            <w:tcW w:w="960" w:type="dxa"/>
            <w:vAlign w:val="bottom"/>
            <w:gridSpan w:val="2"/>
          </w:tcPr>
          <w:p>
            <w:pPr>
              <w:spacing w:after="0"/>
              <w:rPr>
                <w:sz w:val="20"/>
                <w:szCs w:val="20"/>
                <w:color w:val="auto"/>
              </w:rPr>
            </w:pPr>
            <w:r>
              <w:rPr>
                <w:rFonts w:ascii="Arial" w:cs="Arial" w:eastAsia="Arial" w:hAnsi="Arial"/>
                <w:sz w:val="18"/>
                <w:szCs w:val="18"/>
                <w:color w:val="auto"/>
              </w:rPr>
              <w:t>Mr. Baty</w:t>
            </w:r>
          </w:p>
        </w:tc>
        <w:tc>
          <w:tcPr>
            <w:tcW w:w="680" w:type="dxa"/>
            <w:vAlign w:val="bottom"/>
          </w:tcPr>
          <w:p>
            <w:pPr>
              <w:jc w:val="right"/>
              <w:spacing w:after="0"/>
              <w:rPr>
                <w:sz w:val="20"/>
                <w:szCs w:val="20"/>
                <w:color w:val="auto"/>
              </w:rPr>
            </w:pPr>
            <w:r>
              <w:rPr>
                <w:rFonts w:ascii="Arial" w:cs="Arial" w:eastAsia="Arial" w:hAnsi="Arial"/>
                <w:sz w:val="18"/>
                <w:szCs w:val="18"/>
                <w:color w:val="auto"/>
              </w:rPr>
              <w:t>2006</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26,250</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920" w:type="dxa"/>
            <w:vAlign w:val="bottom"/>
          </w:tcPr>
          <w:p>
            <w:pPr>
              <w:jc w:val="right"/>
              <w:spacing w:after="0"/>
              <w:rPr>
                <w:sz w:val="20"/>
                <w:szCs w:val="20"/>
                <w:color w:val="auto"/>
              </w:rPr>
            </w:pPr>
            <w:r>
              <w:rPr>
                <w:rFonts w:ascii="Arial" w:cs="Arial" w:eastAsia="Arial" w:hAnsi="Arial"/>
                <w:sz w:val="18"/>
                <w:szCs w:val="18"/>
                <w:color w:val="auto"/>
              </w:rPr>
              <w:t>112,875</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680" w:type="dxa"/>
            <w:vAlign w:val="bottom"/>
          </w:tcPr>
          <w:p>
            <w:pPr>
              <w:jc w:val="right"/>
              <w:spacing w:after="0"/>
              <w:rPr>
                <w:sz w:val="20"/>
                <w:szCs w:val="20"/>
                <w:color w:val="auto"/>
              </w:rPr>
            </w:pPr>
            <w:r>
              <w:rPr>
                <w:rFonts w:ascii="Arial" w:cs="Arial" w:eastAsia="Arial" w:hAnsi="Arial"/>
                <w:sz w:val="18"/>
                <w:szCs w:val="18"/>
                <w:color w:val="auto"/>
              </w:rPr>
              <w:t>2006</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11,250</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920" w:type="dxa"/>
            <w:vAlign w:val="bottom"/>
          </w:tcPr>
          <w:p>
            <w:pPr>
              <w:jc w:val="right"/>
              <w:spacing w:after="0"/>
              <w:rPr>
                <w:sz w:val="20"/>
                <w:szCs w:val="20"/>
                <w:color w:val="auto"/>
              </w:rPr>
            </w:pPr>
            <w:r>
              <w:rPr>
                <w:rFonts w:ascii="Arial" w:cs="Arial" w:eastAsia="Arial" w:hAnsi="Arial"/>
                <w:sz w:val="18"/>
                <w:szCs w:val="18"/>
                <w:color w:val="auto"/>
              </w:rPr>
              <w:t>48,375</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Mr.</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Trombetti</w:t>
            </w:r>
          </w:p>
        </w:tc>
        <w:tc>
          <w:tcPr>
            <w:tcW w:w="680" w:type="dxa"/>
            <w:vAlign w:val="bottom"/>
          </w:tcPr>
          <w:p>
            <w:pPr>
              <w:jc w:val="right"/>
              <w:spacing w:after="0"/>
              <w:rPr>
                <w:sz w:val="20"/>
                <w:szCs w:val="20"/>
                <w:color w:val="auto"/>
              </w:rPr>
            </w:pPr>
            <w:r>
              <w:rPr>
                <w:rFonts w:ascii="Arial" w:cs="Arial" w:eastAsia="Arial" w:hAnsi="Arial"/>
                <w:sz w:val="18"/>
                <w:szCs w:val="18"/>
                <w:color w:val="auto"/>
              </w:rPr>
              <w:t>2006</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11,250</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920" w:type="dxa"/>
            <w:vAlign w:val="bottom"/>
          </w:tcPr>
          <w:p>
            <w:pPr>
              <w:jc w:val="right"/>
              <w:spacing w:after="0"/>
              <w:rPr>
                <w:sz w:val="20"/>
                <w:szCs w:val="20"/>
                <w:color w:val="auto"/>
              </w:rPr>
            </w:pPr>
            <w:r>
              <w:rPr>
                <w:rFonts w:ascii="Arial" w:cs="Arial" w:eastAsia="Arial" w:hAnsi="Arial"/>
                <w:sz w:val="18"/>
                <w:szCs w:val="18"/>
                <w:color w:val="auto"/>
              </w:rPr>
              <w:t>48,375</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Mr. Gentry</w:t>
            </w:r>
          </w:p>
        </w:tc>
        <w:tc>
          <w:tcPr>
            <w:tcW w:w="680" w:type="dxa"/>
            <w:vAlign w:val="bottom"/>
          </w:tcPr>
          <w:p>
            <w:pPr>
              <w:jc w:val="right"/>
              <w:spacing w:after="0"/>
              <w:rPr>
                <w:sz w:val="20"/>
                <w:szCs w:val="20"/>
                <w:color w:val="auto"/>
              </w:rPr>
            </w:pPr>
            <w:r>
              <w:rPr>
                <w:rFonts w:ascii="Arial" w:cs="Arial" w:eastAsia="Arial" w:hAnsi="Arial"/>
                <w:sz w:val="18"/>
                <w:szCs w:val="18"/>
                <w:color w:val="auto"/>
              </w:rPr>
              <w:t>2006</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11,250</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920" w:type="dxa"/>
            <w:vAlign w:val="bottom"/>
          </w:tcPr>
          <w:p>
            <w:pPr>
              <w:jc w:val="right"/>
              <w:spacing w:after="0"/>
              <w:rPr>
                <w:sz w:val="20"/>
                <w:szCs w:val="20"/>
                <w:color w:val="auto"/>
              </w:rPr>
            </w:pPr>
            <w:r>
              <w:rPr>
                <w:rFonts w:ascii="Arial" w:cs="Arial" w:eastAsia="Arial" w:hAnsi="Arial"/>
                <w:sz w:val="18"/>
                <w:szCs w:val="18"/>
                <w:color w:val="auto"/>
              </w:rPr>
              <w:t>48,375</w:t>
            </w: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Mr. Sams</w:t>
            </w:r>
          </w:p>
        </w:tc>
        <w:tc>
          <w:tcPr>
            <w:tcW w:w="680" w:type="dxa"/>
            <w:vAlign w:val="bottom"/>
          </w:tcPr>
          <w:p>
            <w:pPr>
              <w:jc w:val="right"/>
              <w:spacing w:after="0"/>
              <w:rPr>
                <w:sz w:val="20"/>
                <w:szCs w:val="20"/>
                <w:color w:val="auto"/>
              </w:rPr>
            </w:pPr>
            <w:r>
              <w:rPr>
                <w:rFonts w:ascii="Arial" w:cs="Arial" w:eastAsia="Arial" w:hAnsi="Arial"/>
                <w:sz w:val="18"/>
                <w:szCs w:val="18"/>
                <w:color w:val="auto"/>
              </w:rPr>
              <w:t>2006</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9,000</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920" w:type="dxa"/>
            <w:vAlign w:val="bottom"/>
          </w:tcPr>
          <w:p>
            <w:pPr>
              <w:jc w:val="right"/>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04" w:hanging="304"/>
        <w:spacing w:after="0" w:line="297" w:lineRule="auto"/>
        <w:tabs>
          <w:tab w:leader="none" w:pos="30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represent the market value, as calculated under the provisions of FAS 123(R), of 26,250 shares, 11,250 shares, 11,250 shares, 11,2500 shares and 9,000 shares of stock options awarded Messrs. Baty, Dorton, Trombetti, Gentry and, Sams, respectively. On August 14, 2006, the Company awarded 154,250 options to purchase the Company’s stock to five non-employee directors and eight executive officers and other key employees. The market value of these shares on the date of grant was $11.50 per share. The shares granted to officers and other key employees vest over a period of three years beginning on the first anniversary of the date of grant and are exercisable at the closing market price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6"/>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79375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4"/>
          </w:cols>
          <w:pgMar w:left="596" w:top="39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sets forth information with respect to outstanding equity awards as of December 31, 2006.</w:t>
      </w: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Outstanding Equity Awards at Fiscal Year-End 2006</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Option Rewards</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Stock Rewards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Number Value of Number of</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of Shares Shares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or Units or Units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of Stock of Stock</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Units or</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4"/>
              </w:rPr>
              <w:t>That</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That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Have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Have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Option</w:t>
            </w: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Option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3"/>
              </w:rPr>
              <w:t>Not</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3"/>
              </w:rPr>
              <w:t>Not</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That Have That Have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Exercise Expiration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Not Vested Not Vested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Name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Price ($)</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Date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Mr. Baty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7.63</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10/10/2010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12.62</w:t>
            </w:r>
          </w:p>
        </w:tc>
        <w:tc>
          <w:tcPr>
            <w:tcW w:w="860" w:type="dxa"/>
            <w:vAlign w:val="bottom"/>
          </w:tcPr>
          <w:p>
            <w:pPr>
              <w:jc w:val="right"/>
              <w:spacing w:after="0"/>
              <w:rPr>
                <w:sz w:val="20"/>
                <w:szCs w:val="20"/>
                <w:color w:val="auto"/>
              </w:rPr>
            </w:pPr>
            <w:r>
              <w:rPr>
                <w:rFonts w:ascii="Arial" w:cs="Arial" w:eastAsia="Arial" w:hAnsi="Arial"/>
                <w:sz w:val="18"/>
                <w:szCs w:val="18"/>
                <w:color w:val="auto"/>
              </w:rPr>
              <w:t>3/1/2014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8/19/2015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26,250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860" w:type="dxa"/>
            <w:vAlign w:val="bottom"/>
          </w:tcPr>
          <w:p>
            <w:pPr>
              <w:jc w:val="right"/>
              <w:spacing w:after="0"/>
              <w:rPr>
                <w:sz w:val="20"/>
                <w:szCs w:val="20"/>
                <w:color w:val="auto"/>
              </w:rPr>
            </w:pPr>
            <w:r>
              <w:rPr>
                <w:rFonts w:ascii="Arial" w:cs="Arial" w:eastAsia="Arial" w:hAnsi="Arial"/>
                <w:sz w:val="18"/>
                <w:szCs w:val="18"/>
                <w:color w:val="auto"/>
              </w:rPr>
              <w:t>8/14/2016</w:t>
            </w: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Mr. Dorton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8/19/2015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11,250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860" w:type="dxa"/>
            <w:vAlign w:val="bottom"/>
          </w:tcPr>
          <w:p>
            <w:pPr>
              <w:jc w:val="right"/>
              <w:spacing w:after="0"/>
              <w:rPr>
                <w:sz w:val="20"/>
                <w:szCs w:val="20"/>
                <w:color w:val="auto"/>
              </w:rPr>
            </w:pPr>
            <w:r>
              <w:rPr>
                <w:rFonts w:ascii="Arial" w:cs="Arial" w:eastAsia="Arial" w:hAnsi="Arial"/>
                <w:sz w:val="18"/>
                <w:szCs w:val="18"/>
                <w:color w:val="auto"/>
              </w:rPr>
              <w:t>8/14/2016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9"/>
              </w:rPr>
              <w:t>Mr. Trombetti</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10.67</w:t>
            </w:r>
          </w:p>
        </w:tc>
        <w:tc>
          <w:tcPr>
            <w:tcW w:w="860" w:type="dxa"/>
            <w:vAlign w:val="bottom"/>
          </w:tcPr>
          <w:p>
            <w:pPr>
              <w:jc w:val="right"/>
              <w:spacing w:after="0"/>
              <w:rPr>
                <w:sz w:val="20"/>
                <w:szCs w:val="20"/>
                <w:color w:val="auto"/>
              </w:rPr>
            </w:pPr>
            <w:r>
              <w:rPr>
                <w:rFonts w:ascii="Arial" w:cs="Arial" w:eastAsia="Arial" w:hAnsi="Arial"/>
                <w:sz w:val="18"/>
                <w:szCs w:val="18"/>
                <w:color w:val="auto"/>
              </w:rPr>
              <w:t>5/28/2013</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11.61</w:t>
            </w:r>
          </w:p>
        </w:tc>
        <w:tc>
          <w:tcPr>
            <w:tcW w:w="860" w:type="dxa"/>
            <w:vAlign w:val="bottom"/>
          </w:tcPr>
          <w:p>
            <w:pPr>
              <w:jc w:val="right"/>
              <w:spacing w:after="0"/>
              <w:rPr>
                <w:sz w:val="20"/>
                <w:szCs w:val="20"/>
                <w:color w:val="auto"/>
              </w:rPr>
            </w:pPr>
            <w:r>
              <w:rPr>
                <w:rFonts w:ascii="Arial" w:cs="Arial" w:eastAsia="Arial" w:hAnsi="Arial"/>
                <w:sz w:val="18"/>
                <w:szCs w:val="18"/>
                <w:color w:val="auto"/>
              </w:rPr>
              <w:t>8/19/2015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3,334</w:t>
            </w:r>
          </w:p>
        </w:tc>
        <w:tc>
          <w:tcPr>
            <w:tcW w:w="680" w:type="dxa"/>
            <w:vAlign w:val="bottom"/>
          </w:tcPr>
          <w:p>
            <w:pPr>
              <w:jc w:val="right"/>
              <w:spacing w:after="0"/>
              <w:rPr>
                <w:sz w:val="20"/>
                <w:szCs w:val="20"/>
                <w:color w:val="auto"/>
              </w:rPr>
            </w:pPr>
            <w:r>
              <w:rPr>
                <w:rFonts w:ascii="Arial" w:cs="Arial" w:eastAsia="Arial" w:hAnsi="Arial"/>
                <w:sz w:val="18"/>
                <w:szCs w:val="18"/>
                <w:color w:val="auto"/>
              </w:rPr>
              <w:t>41,442</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Mr. Gentry</w:t>
            </w:r>
          </w:p>
        </w:tc>
        <w:tc>
          <w:tcPr>
            <w:tcW w:w="1040" w:type="dxa"/>
            <w:vAlign w:val="bottom"/>
          </w:tcPr>
          <w:p>
            <w:pPr>
              <w:jc w:val="right"/>
              <w:spacing w:after="0"/>
              <w:rPr>
                <w:sz w:val="20"/>
                <w:szCs w:val="20"/>
                <w:color w:val="auto"/>
              </w:rPr>
            </w:pPr>
            <w:r>
              <w:rPr>
                <w:rFonts w:ascii="Arial" w:cs="Arial" w:eastAsia="Arial" w:hAnsi="Arial"/>
                <w:sz w:val="18"/>
                <w:szCs w:val="18"/>
                <w:color w:val="auto"/>
              </w:rPr>
              <w:t>16,000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12.62</w:t>
            </w:r>
          </w:p>
        </w:tc>
        <w:tc>
          <w:tcPr>
            <w:tcW w:w="860" w:type="dxa"/>
            <w:vAlign w:val="bottom"/>
          </w:tcPr>
          <w:p>
            <w:pPr>
              <w:jc w:val="right"/>
              <w:spacing w:after="0"/>
              <w:rPr>
                <w:sz w:val="20"/>
                <w:szCs w:val="20"/>
                <w:color w:val="auto"/>
              </w:rPr>
            </w:pPr>
            <w:r>
              <w:rPr>
                <w:rFonts w:ascii="Arial" w:cs="Arial" w:eastAsia="Arial" w:hAnsi="Arial"/>
                <w:sz w:val="18"/>
                <w:szCs w:val="18"/>
                <w:color w:val="auto"/>
              </w:rPr>
              <w:t>3/1/2014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8/19/2015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11,250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860" w:type="dxa"/>
            <w:vAlign w:val="bottom"/>
          </w:tcPr>
          <w:p>
            <w:pPr>
              <w:jc w:val="right"/>
              <w:spacing w:after="0"/>
              <w:rPr>
                <w:sz w:val="20"/>
                <w:szCs w:val="20"/>
                <w:color w:val="auto"/>
              </w:rPr>
            </w:pPr>
            <w:r>
              <w:rPr>
                <w:rFonts w:ascii="Arial" w:cs="Arial" w:eastAsia="Arial" w:hAnsi="Arial"/>
                <w:sz w:val="18"/>
                <w:szCs w:val="18"/>
                <w:color w:val="auto"/>
              </w:rPr>
              <w:t>8/14/2016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Mr. Sams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7.63</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10/10/2010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12.62</w:t>
            </w:r>
          </w:p>
        </w:tc>
        <w:tc>
          <w:tcPr>
            <w:tcW w:w="860" w:type="dxa"/>
            <w:vAlign w:val="bottom"/>
          </w:tcPr>
          <w:p>
            <w:pPr>
              <w:jc w:val="right"/>
              <w:spacing w:after="0"/>
              <w:rPr>
                <w:sz w:val="20"/>
                <w:szCs w:val="20"/>
                <w:color w:val="auto"/>
              </w:rPr>
            </w:pPr>
            <w:r>
              <w:rPr>
                <w:rFonts w:ascii="Arial" w:cs="Arial" w:eastAsia="Arial" w:hAnsi="Arial"/>
                <w:sz w:val="18"/>
                <w:szCs w:val="18"/>
                <w:color w:val="auto"/>
              </w:rPr>
              <w:t>3/1/2014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8/19/2015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9,000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860" w:type="dxa"/>
            <w:vAlign w:val="bottom"/>
          </w:tcPr>
          <w:p>
            <w:pPr>
              <w:jc w:val="right"/>
              <w:spacing w:after="0"/>
              <w:rPr>
                <w:sz w:val="20"/>
                <w:szCs w:val="20"/>
                <w:color w:val="auto"/>
              </w:rPr>
            </w:pPr>
            <w:r>
              <w:rPr>
                <w:rFonts w:ascii="Arial" w:cs="Arial" w:eastAsia="Arial" w:hAnsi="Arial"/>
                <w:sz w:val="18"/>
                <w:szCs w:val="18"/>
                <w:color w:val="auto"/>
              </w:rPr>
              <w:t>8/14/2016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39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95" w:right="1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sets forth information with respect to option exercises and stock vesting as of December 31, 2006.</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32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Option Exercises and Stock Vested During 2006</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5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b w:val="1"/>
                <w:bCs w:val="1"/>
                <w:color w:val="auto"/>
              </w:rPr>
              <w:t>Option Awards</w:t>
            </w:r>
          </w:p>
        </w:tc>
        <w:tc>
          <w:tcPr>
            <w:tcW w:w="346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1580" w:type="dxa"/>
            <w:vAlign w:val="bottom"/>
          </w:tcPr>
          <w:p>
            <w:pPr>
              <w:spacing w:after="0"/>
              <w:rPr>
                <w:sz w:val="16"/>
                <w:szCs w:val="16"/>
                <w:color w:val="auto"/>
              </w:rPr>
            </w:pPr>
          </w:p>
        </w:tc>
        <w:tc>
          <w:tcPr>
            <w:tcW w:w="18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 on Exercise</w:t>
            </w:r>
          </w:p>
        </w:tc>
        <w:tc>
          <w:tcPr>
            <w:tcW w:w="15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 Realized on</w:t>
            </w: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Acquired on Vesting</w:t>
            </w: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Value Realized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Name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Exercise ($)</w:t>
            </w:r>
          </w:p>
        </w:tc>
        <w:tc>
          <w:tcPr>
            <w:tcW w:w="1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Vesting ($)</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Mr. Baty</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Mr. Dorton</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660" w:type="dxa"/>
            <w:vAlign w:val="bottom"/>
          </w:tcPr>
          <w:p>
            <w:pPr>
              <w:jc w:val="right"/>
              <w:spacing w:after="0"/>
              <w:rPr>
                <w:sz w:val="20"/>
                <w:szCs w:val="20"/>
                <w:color w:val="auto"/>
              </w:rPr>
            </w:pPr>
            <w:r>
              <w:rPr>
                <w:rFonts w:ascii="Arial" w:cs="Arial" w:eastAsia="Arial" w:hAnsi="Arial"/>
                <w:sz w:val="18"/>
                <w:szCs w:val="18"/>
                <w:color w:val="auto"/>
              </w:rPr>
              <w:t>21,841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Mr. Trombetti</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Mr. Gentry</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660" w:type="dxa"/>
            <w:vAlign w:val="bottom"/>
          </w:tcPr>
          <w:p>
            <w:pPr>
              <w:jc w:val="right"/>
              <w:spacing w:after="0"/>
              <w:rPr>
                <w:sz w:val="20"/>
                <w:szCs w:val="20"/>
                <w:color w:val="auto"/>
              </w:rPr>
            </w:pPr>
            <w:r>
              <w:rPr>
                <w:rFonts w:ascii="Arial" w:cs="Arial" w:eastAsia="Arial" w:hAnsi="Arial"/>
                <w:sz w:val="18"/>
                <w:szCs w:val="18"/>
                <w:color w:val="auto"/>
              </w:rPr>
              <w:t>21,841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Mr. Sams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provides information about the Company’s shares of Common Stock that may be issued upon the exercise of options, warrants and rights under all of its existing equity compensation plans as of December 31, 2006. All plans have been approved by the Company’s shareholders.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2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 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issuance 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 exercise of</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price of outstanding options,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Plan Category</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reflected in column a)</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compensation plans</w:t>
            </w:r>
          </w:p>
        </w:tc>
        <w:tc>
          <w:tcPr>
            <w:tcW w:w="23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approved by shareholders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1,452,042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807,750</w:t>
            </w:r>
          </w:p>
        </w:tc>
        <w:tc>
          <w:tcPr>
            <w:tcW w:w="0" w:type="dxa"/>
            <w:vAlign w:val="bottom"/>
          </w:tcPr>
          <w:p>
            <w:pPr>
              <w:spacing w:after="0"/>
              <w:rPr>
                <w:sz w:val="1"/>
                <w:szCs w:val="1"/>
                <w:color w:val="auto"/>
              </w:rPr>
            </w:pPr>
          </w:p>
        </w:tc>
      </w:tr>
      <w:tr>
        <w:trPr>
          <w:trHeight w:val="472"/>
        </w:trPr>
        <w:tc>
          <w:tcPr>
            <w:tcW w:w="2180" w:type="dxa"/>
            <w:vAlign w:val="bottom"/>
            <w:gridSpan w:val="2"/>
          </w:tcPr>
          <w:p>
            <w:pPr>
              <w:spacing w:after="0"/>
              <w:rPr>
                <w:sz w:val="20"/>
                <w:szCs w:val="20"/>
                <w:color w:val="auto"/>
              </w:rPr>
            </w:pPr>
            <w:r>
              <w:rPr>
                <w:rFonts w:ascii="Arial" w:cs="Arial" w:eastAsia="Arial" w:hAnsi="Arial"/>
                <w:sz w:val="18"/>
                <w:szCs w:val="18"/>
                <w:color w:val="auto"/>
              </w:rPr>
              <w:t>Equity compensation plans</w:t>
            </w: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180" w:type="dxa"/>
            <w:vAlign w:val="bottom"/>
            <w:gridSpan w:val="2"/>
          </w:tcPr>
          <w:p>
            <w:pPr>
              <w:spacing w:after="0"/>
              <w:rPr>
                <w:sz w:val="20"/>
                <w:szCs w:val="20"/>
                <w:color w:val="auto"/>
              </w:rPr>
            </w:pPr>
            <w:r>
              <w:rPr>
                <w:rFonts w:ascii="Arial" w:cs="Arial" w:eastAsia="Arial" w:hAnsi="Arial"/>
                <w:sz w:val="18"/>
                <w:szCs w:val="18"/>
                <w:color w:val="auto"/>
                <w:w w:val="90"/>
              </w:rPr>
              <w:t>not approved by shareholders</w:t>
            </w:r>
          </w:p>
        </w:tc>
        <w:tc>
          <w:tcPr>
            <w:tcW w:w="230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1,452,042</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95"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28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Messrs. Baty, Dorton, Trombetti, Gentry and Sams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Dorton, Trombetti, Gentry and Sams have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Dorton - 2.0, Mr. Trombetti - 2.0, Mr. Gentry - 2.0; and Mr. Sams - 2.0. Additionally, some benefits will continue to be paid by the Company to each executive officer for a period of time of 12 months. Each of Messrs. Baty, Dorton, Trombetti, Gentry and Sams have also agreed to a non-competition agreement that ends two years after the conclusion of his employment with the Company.</w:t>
      </w:r>
    </w:p>
    <w:p>
      <w:pPr>
        <w:spacing w:after="0" w:line="23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shows the compensation these officers would have received under the employment agreements had a change in control occurred as of December 31, 2006.</w:t>
      </w:r>
    </w:p>
    <w:p>
      <w:pPr>
        <w:spacing w:after="0" w:line="220"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Name</w:t>
            </w:r>
          </w:p>
        </w:tc>
        <w:tc>
          <w:tcPr>
            <w:tcW w:w="32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Compensation($)</w:t>
            </w:r>
          </w:p>
        </w:tc>
      </w:tr>
      <w:tr>
        <w:trPr>
          <w:trHeight w:val="438"/>
        </w:trPr>
        <w:tc>
          <w:tcPr>
            <w:tcW w:w="2460" w:type="dxa"/>
            <w:vAlign w:val="bottom"/>
            <w:gridSpan w:val="2"/>
          </w:tcPr>
          <w:p>
            <w:pPr>
              <w:spacing w:after="0"/>
              <w:rPr>
                <w:sz w:val="20"/>
                <w:szCs w:val="20"/>
                <w:color w:val="auto"/>
              </w:rPr>
            </w:pPr>
            <w:r>
              <w:rPr>
                <w:rFonts w:ascii="Arial" w:cs="Arial" w:eastAsia="Arial" w:hAnsi="Arial"/>
                <w:sz w:val="18"/>
                <w:szCs w:val="18"/>
                <w:color w:val="auto"/>
              </w:rPr>
              <w:t>Mr. Baty</w:t>
            </w:r>
          </w:p>
        </w:tc>
        <w:tc>
          <w:tcPr>
            <w:tcW w:w="3260" w:type="dxa"/>
            <w:vAlign w:val="bottom"/>
          </w:tcPr>
          <w:p>
            <w:pPr>
              <w:jc w:val="right"/>
              <w:spacing w:after="0"/>
              <w:rPr>
                <w:sz w:val="20"/>
                <w:szCs w:val="20"/>
                <w:color w:val="auto"/>
              </w:rPr>
            </w:pPr>
            <w:r>
              <w:rPr>
                <w:rFonts w:ascii="Arial" w:cs="Arial" w:eastAsia="Arial" w:hAnsi="Arial"/>
                <w:sz w:val="18"/>
                <w:szCs w:val="18"/>
                <w:color w:val="auto"/>
              </w:rPr>
              <w:t>1,249,515</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260" w:type="dxa"/>
            <w:vAlign w:val="bottom"/>
          </w:tcPr>
          <w:p>
            <w:pPr>
              <w:jc w:val="right"/>
              <w:spacing w:after="0"/>
              <w:rPr>
                <w:sz w:val="20"/>
                <w:szCs w:val="20"/>
                <w:color w:val="auto"/>
              </w:rPr>
            </w:pPr>
            <w:r>
              <w:rPr>
                <w:rFonts w:ascii="Arial" w:cs="Arial" w:eastAsia="Arial" w:hAnsi="Arial"/>
                <w:sz w:val="18"/>
                <w:szCs w:val="18"/>
                <w:color w:val="auto"/>
              </w:rPr>
              <w:t>509,386</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Mr. Trombetti</w:t>
            </w:r>
          </w:p>
        </w:tc>
        <w:tc>
          <w:tcPr>
            <w:tcW w:w="3260" w:type="dxa"/>
            <w:vAlign w:val="bottom"/>
          </w:tcPr>
          <w:p>
            <w:pPr>
              <w:jc w:val="right"/>
              <w:spacing w:after="0"/>
              <w:rPr>
                <w:sz w:val="20"/>
                <w:szCs w:val="20"/>
                <w:color w:val="auto"/>
              </w:rPr>
            </w:pPr>
            <w:r>
              <w:rPr>
                <w:rFonts w:ascii="Arial" w:cs="Arial" w:eastAsia="Arial" w:hAnsi="Arial"/>
                <w:sz w:val="18"/>
                <w:szCs w:val="18"/>
                <w:color w:val="auto"/>
              </w:rPr>
              <w:t>750,924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Mr. Gentry</w:t>
            </w:r>
          </w:p>
        </w:tc>
        <w:tc>
          <w:tcPr>
            <w:tcW w:w="3260" w:type="dxa"/>
            <w:vAlign w:val="bottom"/>
          </w:tcPr>
          <w:p>
            <w:pPr>
              <w:jc w:val="right"/>
              <w:spacing w:after="0"/>
              <w:rPr>
                <w:sz w:val="20"/>
                <w:szCs w:val="20"/>
                <w:color w:val="auto"/>
              </w:rPr>
            </w:pPr>
            <w:r>
              <w:rPr>
                <w:rFonts w:ascii="Arial" w:cs="Arial" w:eastAsia="Arial" w:hAnsi="Arial"/>
                <w:sz w:val="18"/>
                <w:szCs w:val="18"/>
                <w:color w:val="auto"/>
              </w:rPr>
              <w:t>496,515</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Mr. Sams</w:t>
            </w:r>
          </w:p>
        </w:tc>
        <w:tc>
          <w:tcPr>
            <w:tcW w:w="3260" w:type="dxa"/>
            <w:vAlign w:val="bottom"/>
          </w:tcPr>
          <w:p>
            <w:pPr>
              <w:jc w:val="right"/>
              <w:spacing w:after="0"/>
              <w:rPr>
                <w:sz w:val="20"/>
                <w:szCs w:val="20"/>
                <w:color w:val="auto"/>
              </w:rPr>
            </w:pPr>
            <w:r>
              <w:rPr>
                <w:rFonts w:ascii="Arial" w:cs="Arial" w:eastAsia="Arial" w:hAnsi="Arial"/>
                <w:sz w:val="18"/>
                <w:szCs w:val="18"/>
                <w:color w:val="auto"/>
              </w:rPr>
              <w:t>413,760</w:t>
            </w: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of the Board of Directors</w:t>
      </w:r>
    </w:p>
    <w:p>
      <w:pPr>
        <w:spacing w:after="0" w:line="279" w:lineRule="exact"/>
        <w:rPr>
          <w:sz w:val="20"/>
          <w:szCs w:val="20"/>
          <w:color w:val="auto"/>
        </w:rPr>
      </w:pPr>
    </w:p>
    <w:p>
      <w:pPr>
        <w:ind w:left="1300" w:hanging="13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Has reviewed and discussed the section in this proxy statement entitled “Compensation Discussion and Analysis” with management and</w:t>
      </w:r>
    </w:p>
    <w:p>
      <w:pPr>
        <w:spacing w:after="0" w:line="302" w:lineRule="exact"/>
        <w:rPr>
          <w:rFonts w:ascii="Arial" w:cs="Arial" w:eastAsia="Arial" w:hAnsi="Arial"/>
          <w:sz w:val="16"/>
          <w:szCs w:val="16"/>
          <w:color w:val="auto"/>
        </w:rPr>
      </w:pPr>
    </w:p>
    <w:p>
      <w:pPr>
        <w:ind w:left="1300" w:hanging="13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review and discussions referred to above, the Compensation Committee recommended to the Board of Directors that the Compensation Discussion and Analysis be included in this proxy statement.</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Members of the Compensation Committee: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 Ronald Morris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Richard G. Fanelli</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 and Insider Participation</w:t>
      </w:r>
    </w:p>
    <w:p>
      <w:pPr>
        <w:spacing w:after="0" w:line="28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compensation decisions during the fiscal year ended December 31, 2006 for each of the Named Executive Officers were made by the Compensation Committee of the Board of Directors, consisting of Messrs Morris, Warshaw and Fanelli, none of whom is or was an officer or employee of the company during the last fiscal year.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 to Shareholders</w:t>
      </w:r>
    </w:p>
    <w:p>
      <w:pPr>
        <w:spacing w:after="0" w:line="283"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registered independent public accounting firm has responsibility for the examination of those statements. Each of the members of the Audit Committee meets the independence requirements of the Nasdaq rules.</w:t>
      </w:r>
    </w:p>
    <w:p>
      <w:pPr>
        <w:spacing w:after="0" w:line="225"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The Audit Committee has reviewed and discussed with the Company’s management and PricewaterhouseCoopers LLP, the Company’s registered independent public accounting firm, the audited financial statements of the Company for 2006; has discussed with PricewaterhouseCoopers LLP matters required to be discussed by applicable Auditing Standards; has received from the registered independent public accounting firm the written disclosures and letter required by Independence Standards No. 1;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Company’s Board of Directors that the audited financial statements be included in the Company’s Annual Report on Form 10-K for the fiscal year ended December 31, 2006 for filing with the Securities and Exchange Commission.</w:t>
      </w:r>
    </w:p>
    <w:p>
      <w:pPr>
        <w:sectPr>
          <w:pgSz w:w="11900" w:h="16838" w:orient="portrait"/>
          <w:cols w:equalWidth="0" w:num="1">
            <w:col w:w="11420"/>
          </w:cols>
          <w:pgMar w:left="240" w:top="661"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20" w:name="page21"/>
    <w:bookmarkEnd w:id="20"/>
    <w:p>
      <w:pPr>
        <w:ind w:right="640" w:firstLine="648"/>
        <w:spacing w:after="0" w:line="277" w:lineRule="auto"/>
        <w:rPr>
          <w:sz w:val="20"/>
          <w:szCs w:val="20"/>
          <w:color w:val="auto"/>
        </w:rPr>
      </w:pPr>
      <w:r>
        <w:rPr>
          <w:rFonts w:ascii="Arial" w:cs="Arial" w:eastAsia="Arial" w:hAnsi="Arial"/>
          <w:sz w:val="18"/>
          <w:szCs w:val="18"/>
          <w:color w:val="auto"/>
        </w:rPr>
        <w:t>The Audit Committee originally adopted a written charter in June 2000. In April 2003, March 2004, March 2005 and March 2006, the Audit Committee approved a revised charter for the Audit Committee.</w:t>
      </w: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Robert M. Aiken, Jr.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Michael E. Werner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T. Warshaw</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Paid to Independent Registered Accounting Firm</w:t>
      </w:r>
    </w:p>
    <w:p>
      <w:pPr>
        <w:spacing w:after="0" w:line="2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2006, PricewaterhouseCoopers LLP not only acted as the registered independent public accounting firm for the Company (work related to auditing the annual financial statements for fiscal year 2006 and reviewing the financial statements included in our Forms 10-Q) but also rendered on our behalf other services, including tax-related services, and other accounting and auditing services. The following table sets forth the aggregate fees billed by PricewaterhouseCoopers LLP for audit services rendered in connection with the financial statements and reports for fiscal years 2006 and 2005 and for other services rendered during fiscal years 2006 and 2005 on our behalf, as well as all expenses incurred in connection with these services, which have been or will be billed to us.</w:t>
      </w:r>
    </w:p>
    <w:p>
      <w:pPr>
        <w:spacing w:after="0" w:line="243"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2006</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r>
      <w:tr>
        <w:trPr>
          <w:trHeight w:val="243"/>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$1,393,552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$1,253,684</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Audit Related Fees</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39,942</w:t>
            </w:r>
          </w:p>
        </w:tc>
        <w:tc>
          <w:tcPr>
            <w:tcW w:w="1060" w:type="dxa"/>
            <w:vAlign w:val="bottom"/>
          </w:tcPr>
          <w:p>
            <w:pPr>
              <w:jc w:val="right"/>
              <w:spacing w:after="0"/>
              <w:rPr>
                <w:sz w:val="20"/>
                <w:szCs w:val="20"/>
                <w:color w:val="auto"/>
              </w:rPr>
            </w:pPr>
            <w:r>
              <w:rPr>
                <w:rFonts w:ascii="Arial" w:cs="Arial" w:eastAsia="Arial" w:hAnsi="Arial"/>
                <w:sz w:val="18"/>
                <w:szCs w:val="18"/>
                <w:color w:val="auto"/>
              </w:rPr>
              <w:t>42,266</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Tax Consulting and Compliance Fees</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318,716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220,307</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All Other Fees</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21,072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18,656</w:t>
            </w: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$1,773,281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$1,534,913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83" w:lineRule="exact"/>
        <w:rPr>
          <w:sz w:val="20"/>
          <w:szCs w:val="20"/>
          <w:color w:val="auto"/>
        </w:rPr>
      </w:pPr>
    </w:p>
    <w:p>
      <w:pPr>
        <w:ind w:right="100" w:firstLine="693"/>
        <w:spacing w:after="0" w:line="276" w:lineRule="auto"/>
        <w:rPr>
          <w:sz w:val="20"/>
          <w:szCs w:val="20"/>
          <w:color w:val="auto"/>
        </w:rPr>
      </w:pPr>
      <w:r>
        <w:rPr>
          <w:rFonts w:ascii="Arial" w:cs="Arial" w:eastAsia="Arial" w:hAnsi="Arial"/>
          <w:sz w:val="17"/>
          <w:szCs w:val="17"/>
          <w:color w:val="auto"/>
        </w:rPr>
        <w:t>The Audit Committee pre-approves all audit and permissible non-audit services to be provided to the Company by its registered independent public accounting firm prior to commencement of services. The Audit Committee Chairman has the authority to pre-approve such services up to a specified fee amount and these pre-approved decisions are presented to the full Audit Committee at its next scheduled meeting. Since the effective date of the Securities and Exchange Commission’s rules regarding strengthening auditor independence, all of the audit, audit-related, and tax services by PricewaterhouseCoopers LLP were pre-approved in accordance with the Audit Committee’s policies and procedures.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as described below, the Company did not engage in any transaction with a related person as defined under the rules of the Securities and Exchange Commission. While the Board of Directors currently does not have a written policy with respect to approval of transactions with related parties, it is the policy of the Board to approve any transactions with related persons. Any approvals would be reflected in the minutes of the meeting of the Board of Directors at which the Board approved the transaction. Other than the transaction described below, the Company has not engaged in a related party transaction in the last six years.</w:t>
      </w:r>
    </w:p>
    <w:p>
      <w:pPr>
        <w:spacing w:after="0" w:line="24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part of the board-approved acquisition of Whirlaway Corporation on November 30, 2006, the Company incurred a $21.3 million short-term note payable to the former shareholder of Whirlaway, Thomas Zupan, who is now Vice President - President of Whirlaway Corporation, our wholly owned subsidiary. Additionally, on November 30, 2006 the Company entered into operating leases covering two of the Whirlaway manufacturing facilities with a company owned by Mr. Zupan. The terms of the leases are at prevailing market rates of the rental market in which the facilities are located. The rent payments in 2006 to Mr. Zupan, were $0.1 million. The total future rental payments will be $3.2 million over 5 years or $0.6 million per year.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28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2006 Annual Report to Shareholders, which includes its Annual Report on Form 10-K for the year ended December 31, 2006, is being mailed together with this Proxy Statement. Exhibits to the Annual Report on Form 10-K may be obtained by contacting the Secretary of the company at 2000 Waters Edge Drive, Johnson City, Tennessee 37604.</w:t>
      </w:r>
    </w:p>
    <w:p>
      <w:pPr>
        <w:spacing w:after="0" w:line="23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2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Order of the Board of Directors,</w:t>
      </w:r>
    </w:p>
    <w:p>
      <w:pPr>
        <w:spacing w:after="0" w:line="320"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/s/ William C. Kelly, Jr.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Secretary and Chief Administrative Officer</w:t>
      </w:r>
    </w:p>
    <w:p>
      <w:pPr>
        <w:spacing w:after="0" w:line="261"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SHAREHOLDERS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2000 Waters Edge Drive, Bldg. C., Ste. 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Johnson City, TN 37604</w:t>
      </w:r>
    </w:p>
    <w:p>
      <w:pPr>
        <w:spacing w:after="0" w:line="26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SOLICITED BY THE BOARD OF DIRECTORS FOR THE ANNUAL MEETING OF STOCKHOLDERS TO BE HELD ON MAY 17, 2007, AT THE RENAISSANCE CHARLESTON HOTEL, 68 WENTWORTH STREET, CHARLESTON, SC 29401.</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undersigned stockholder hereby appoints Roderick R. Baty and James H. Dorton,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23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THE SHARES REPRESENTED BY THIS PROXY WILL BE VOTED AS DIRECTED BY THE STOCKHOLDER. IF NO DIRECTION IS GIVEN, SHARES WILL BE VOTED FOR EACH OF THE DIRECTOR NOMINEES AND FOR THE PROPOSAL LISTED BELOW.</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A VOTE FOR EACH OF THE DIRECTOR NOMINEES AND FOR THE PROPOSAL LISTED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Please mark your votes as indicated in the example 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Election of Directors.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Nominees:</w:t>
      </w:r>
    </w:p>
    <w:p>
      <w:pPr>
        <w:sectPr>
          <w:pgSz w:w="11900" w:h="16838" w:orient="portrait"/>
          <w:cols w:equalWidth="0" w:num="1">
            <w:col w:w="11360"/>
          </w:cols>
          <w:pgMar w:left="240" w:top="661" w:right="299" w:bottom="1440" w:gutter="0" w:footer="0" w:header="0"/>
        </w:sectPr>
      </w:pPr>
    </w:p>
    <w:p>
      <w:pPr>
        <w:spacing w:after="0" w:line="32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Michael E. Werner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Withheld</w:t>
      </w:r>
    </w:p>
    <w:p>
      <w:pPr>
        <w:spacing w:after="0" w:line="50" w:lineRule="exact"/>
        <w:rPr>
          <w:sz w:val="20"/>
          <w:szCs w:val="20"/>
          <w:color w:val="auto"/>
        </w:rPr>
      </w:pPr>
    </w:p>
    <w:p>
      <w:pPr>
        <w:sectPr>
          <w:pgSz w:w="11900" w:h="16838" w:orient="portrait"/>
          <w:cols w:equalWidth="0" w:num="3">
            <w:col w:w="4880" w:space="720"/>
            <w:col w:w="780" w:space="720"/>
            <w:col w:w="4260"/>
          </w:cols>
          <w:pgMar w:left="240" w:top="661" w:right="29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Richard G. Fanelli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Withheld</w:t>
      </w:r>
    </w:p>
    <w:p>
      <w:pPr>
        <w:spacing w:after="0" w:line="200" w:lineRule="exact"/>
        <w:rPr>
          <w:sz w:val="20"/>
          <w:szCs w:val="20"/>
          <w:color w:val="auto"/>
        </w:rPr>
      </w:pPr>
    </w:p>
    <w:p>
      <w:pPr>
        <w:sectPr>
          <w:pgSz w:w="11900" w:h="16838" w:orient="portrait"/>
          <w:cols w:equalWidth="0" w:num="3">
            <w:col w:w="4600" w:space="720"/>
            <w:col w:w="400" w:space="680"/>
            <w:col w:w="4960"/>
          </w:cols>
          <w:pgMar w:left="240" w:top="661" w:right="299" w:bottom="1440" w:gutter="0" w:footer="0" w:header="0"/>
          <w:type w:val="continuous"/>
        </w:sect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For ratification of the selection of PRICEWATERHOUSECOOPERS LLP as registered independent public accounting firm.</w:t>
      </w:r>
    </w:p>
    <w:p>
      <w:pPr>
        <w:spacing w:after="0" w:line="339" w:lineRule="exact"/>
        <w:rPr>
          <w:sz w:val="20"/>
          <w:szCs w:val="20"/>
          <w:color w:val="auto"/>
        </w:rPr>
      </w:pPr>
    </w:p>
    <w:p>
      <w:pPr>
        <w:ind w:left="1300"/>
        <w:spacing w:after="0"/>
        <w:tabs>
          <w:tab w:leader="none" w:pos="3320" w:val="left"/>
          <w:tab w:leader="none" w:pos="4640" w:val="left"/>
        </w:tabs>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type w:val="continuous"/>
        </w:sectPr>
      </w:pPr>
    </w:p>
    <w:bookmarkStart w:id="23" w:name="page24"/>
    <w:bookmarkEnd w:id="23"/>
    <w:p>
      <w:pPr>
        <w:spacing w:after="0" w:line="26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THIS PROXY WILL BE VOTED FOR EACH OF THE DIRECTOR NOMINEES AND FOR THE RATIFICATION OF THE SELECTION OF PRICEWATERHOUSE LLP AS THE COMPANY'S REGISTERED INDEPENDENT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their discretion, the proxies are authorized to vote upon such other matters as may properly come before the meeting.</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Note: 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01"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SIGNATURE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p>
    <w:p>
      <w:pPr>
        <w:spacing w:after="0" w:line="200" w:lineRule="exact"/>
        <w:rPr>
          <w:sz w:val="20"/>
          <w:szCs w:val="20"/>
          <w:color w:val="auto"/>
        </w:rPr>
      </w:pPr>
    </w:p>
    <w:p>
      <w:pPr>
        <w:spacing w:after="0" w:line="34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DATE:</w:t>
      </w:r>
    </w:p>
    <w:p>
      <w:pPr>
        <w:spacing w:after="0" w:line="293"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SIGNATURE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p>
    <w:p>
      <w:pPr>
        <w:spacing w:after="0" w:line="200" w:lineRule="exact"/>
        <w:rPr>
          <w:sz w:val="20"/>
          <w:szCs w:val="20"/>
          <w:color w:val="auto"/>
        </w:rPr>
      </w:pPr>
    </w:p>
    <w:p>
      <w:pPr>
        <w:spacing w:after="0" w:line="34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DATE:</w:t>
      </w:r>
    </w:p>
    <w:sectPr>
      <w:pgSz w:w="11900" w:h="16838" w:orient="portrait"/>
      <w:cols w:equalWidth="0" w:num="1">
        <w:col w:w="11280"/>
      </w:cols>
      <w:pgMar w:left="240" w:top="6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o"/>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lvl w:ilvl="1">
      <w:lvlJc w:val="left"/>
      <w:lvlText w:val="(%2)"/>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2019-12-14T03:16:52Z</dcterms:created>
  <dcterms:modified xsi:type="dcterms:W3CDTF">2019-12-14T03:16:52Z</dcterms:modified>
</cp:coreProperties>
</file>