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840" w:right="2180" w:hanging="3742"/>
        <w:spacing w:after="0" w:line="532" w:lineRule="auto"/>
        <w:tabs>
          <w:tab w:leader="none" w:pos="273"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2007</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100"/>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52"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transition period from _________ to _________</w:t>
      </w:r>
    </w:p>
    <w:p>
      <w:pPr>
        <w:spacing w:after="0" w:line="252"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169545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tbl>
      <w:tblPr>
        <w:tblLayout w:type="fixed"/>
        <w:tblInd w:w="960" w:type="dxa"/>
        <w:tblCellMar>
          <w:top w:w="0" w:type="dxa"/>
          <w:left w:w="0" w:type="dxa"/>
          <w:bottom w:w="0" w:type="dxa"/>
          <w:right w:w="0" w:type="dxa"/>
        </w:tblCellMar>
      </w:tblPr>
      <w:tr>
        <w:trPr>
          <w:trHeight w:val="529"/>
        </w:trPr>
        <w:tc>
          <w:tcPr>
            <w:tcW w:w="2420" w:type="dxa"/>
            <w:vAlign w:val="bottom"/>
          </w:tcPr>
          <w:p>
            <w:pPr>
              <w:spacing w:after="0"/>
              <w:rPr>
                <w:sz w:val="24"/>
                <w:szCs w:val="24"/>
                <w:color w:val="auto"/>
              </w:rPr>
            </w:pPr>
          </w:p>
        </w:tc>
        <w:tc>
          <w:tcPr>
            <w:tcW w:w="6980" w:type="dxa"/>
            <w:vAlign w:val="bottom"/>
          </w:tcPr>
          <w:p>
            <w:pPr>
              <w:jc w:val="center"/>
              <w:ind w:right="2219"/>
              <w:spacing w:after="0"/>
              <w:rPr>
                <w:sz w:val="20"/>
                <w:szCs w:val="20"/>
                <w:color w:val="auto"/>
              </w:rPr>
            </w:pPr>
            <w:r>
              <w:rPr>
                <w:rFonts w:ascii="Arial" w:cs="Arial" w:eastAsia="Arial" w:hAnsi="Arial"/>
                <w:sz w:val="43"/>
                <w:szCs w:val="43"/>
                <w:b w:val="1"/>
                <w:bCs w:val="1"/>
                <w:color w:val="auto"/>
                <w:w w:val="96"/>
              </w:rPr>
              <w:t>NN, Inc.</w:t>
            </w:r>
          </w:p>
        </w:tc>
      </w:tr>
      <w:tr>
        <w:trPr>
          <w:trHeight w:val="230"/>
        </w:trPr>
        <w:tc>
          <w:tcPr>
            <w:tcW w:w="2420" w:type="dxa"/>
            <w:vAlign w:val="bottom"/>
          </w:tcPr>
          <w:p>
            <w:pPr>
              <w:spacing w:after="0"/>
              <w:rPr>
                <w:sz w:val="20"/>
                <w:szCs w:val="20"/>
                <w:color w:val="auto"/>
              </w:rPr>
            </w:pPr>
          </w:p>
        </w:tc>
        <w:tc>
          <w:tcPr>
            <w:tcW w:w="6980" w:type="dxa"/>
            <w:vAlign w:val="bottom"/>
          </w:tcPr>
          <w:p>
            <w:pPr>
              <w:jc w:val="center"/>
              <w:ind w:right="219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45"/>
        </w:trPr>
        <w:tc>
          <w:tcPr>
            <w:tcW w:w="2420" w:type="dxa"/>
            <w:vAlign w:val="bottom"/>
          </w:tcPr>
          <w:p>
            <w:pPr>
              <w:ind w:left="80"/>
              <w:spacing w:after="0"/>
              <w:rPr>
                <w:sz w:val="20"/>
                <w:szCs w:val="20"/>
                <w:color w:val="auto"/>
              </w:rPr>
            </w:pPr>
            <w:r>
              <w:rPr>
                <w:rFonts w:ascii="Arial" w:cs="Arial" w:eastAsia="Arial" w:hAnsi="Arial"/>
                <w:sz w:val="18"/>
                <w:szCs w:val="18"/>
                <w:b w:val="1"/>
                <w:bCs w:val="1"/>
                <w:color w:val="auto"/>
              </w:rPr>
              <w:t>Delaware</w:t>
            </w:r>
          </w:p>
        </w:tc>
        <w:tc>
          <w:tcPr>
            <w:tcW w:w="6980" w:type="dxa"/>
            <w:vAlign w:val="bottom"/>
          </w:tcPr>
          <w:p>
            <w:pPr>
              <w:jc w:val="right"/>
              <w:ind w:right="499"/>
              <w:spacing w:after="0"/>
              <w:rPr>
                <w:sz w:val="20"/>
                <w:szCs w:val="20"/>
                <w:color w:val="auto"/>
              </w:rPr>
            </w:pPr>
            <w:r>
              <w:rPr>
                <w:rFonts w:ascii="Arial" w:cs="Arial" w:eastAsia="Arial" w:hAnsi="Arial"/>
                <w:sz w:val="18"/>
                <w:szCs w:val="18"/>
                <w:b w:val="1"/>
                <w:bCs w:val="1"/>
                <w:color w:val="auto"/>
              </w:rPr>
              <w:t>62-1096725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6980" w:type="dxa"/>
            <w:vAlign w:val="bottom"/>
          </w:tcPr>
          <w:p>
            <w:pPr>
              <w:jc w:val="right"/>
              <w:ind w:right="219"/>
              <w:spacing w:after="0"/>
              <w:rPr>
                <w:sz w:val="20"/>
                <w:szCs w:val="20"/>
                <w:color w:val="auto"/>
              </w:rPr>
            </w:pPr>
            <w:r>
              <w:rPr>
                <w:rFonts w:ascii="Arial" w:cs="Arial" w:eastAsia="Arial" w:hAnsi="Arial"/>
                <w:sz w:val="18"/>
                <w:szCs w:val="18"/>
                <w:color w:val="auto"/>
              </w:rPr>
              <w:t>(I.R.S. Employer</w:t>
            </w: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incorporation or organization)</w:t>
            </w:r>
          </w:p>
        </w:tc>
        <w:tc>
          <w:tcPr>
            <w:tcW w:w="6980" w:type="dxa"/>
            <w:vAlign w:val="bottom"/>
          </w:tcPr>
          <w:p>
            <w:pPr>
              <w:jc w:val="right"/>
              <w:spacing w:after="0"/>
              <w:rPr>
                <w:sz w:val="20"/>
                <w:szCs w:val="20"/>
                <w:color w:val="auto"/>
              </w:rPr>
            </w:pPr>
            <w:r>
              <w:rPr>
                <w:rFonts w:ascii="Arial" w:cs="Arial" w:eastAsia="Arial" w:hAnsi="Arial"/>
                <w:sz w:val="18"/>
                <w:szCs w:val="18"/>
                <w:color w:val="auto"/>
              </w:rPr>
              <w:t>Identification Number)</w:t>
            </w:r>
          </w:p>
        </w:tc>
      </w:tr>
      <w:tr>
        <w:trPr>
          <w:trHeight w:val="441"/>
        </w:trPr>
        <w:tc>
          <w:tcPr>
            <w:tcW w:w="2420" w:type="dxa"/>
            <w:vAlign w:val="bottom"/>
          </w:tcPr>
          <w:p>
            <w:pPr>
              <w:spacing w:after="0"/>
              <w:rPr>
                <w:sz w:val="24"/>
                <w:szCs w:val="24"/>
                <w:color w:val="auto"/>
              </w:rPr>
            </w:pPr>
          </w:p>
        </w:tc>
        <w:tc>
          <w:tcPr>
            <w:tcW w:w="6980" w:type="dxa"/>
            <w:vAlign w:val="bottom"/>
          </w:tcPr>
          <w:p>
            <w:pPr>
              <w:jc w:val="center"/>
              <w:ind w:right="2219"/>
              <w:spacing w:after="0"/>
              <w:rPr>
                <w:sz w:val="20"/>
                <w:szCs w:val="20"/>
                <w:color w:val="auto"/>
              </w:rPr>
            </w:pPr>
            <w:r>
              <w:rPr>
                <w:rFonts w:ascii="Arial" w:cs="Arial" w:eastAsia="Arial" w:hAnsi="Arial"/>
                <w:sz w:val="18"/>
                <w:szCs w:val="18"/>
                <w:b w:val="1"/>
                <w:bCs w:val="1"/>
                <w:color w:val="auto"/>
                <w:w w:val="91"/>
              </w:rPr>
              <w:t>2000 Waters Edge Drive</w:t>
            </w:r>
          </w:p>
        </w:tc>
      </w:tr>
      <w:tr>
        <w:trPr>
          <w:trHeight w:val="216"/>
        </w:trPr>
        <w:tc>
          <w:tcPr>
            <w:tcW w:w="2420" w:type="dxa"/>
            <w:vAlign w:val="bottom"/>
          </w:tcPr>
          <w:p>
            <w:pPr>
              <w:spacing w:after="0"/>
              <w:rPr>
                <w:sz w:val="18"/>
                <w:szCs w:val="18"/>
                <w:color w:val="auto"/>
              </w:rPr>
            </w:pPr>
          </w:p>
        </w:tc>
        <w:tc>
          <w:tcPr>
            <w:tcW w:w="6980" w:type="dxa"/>
            <w:vAlign w:val="bottom"/>
          </w:tcPr>
          <w:p>
            <w:pPr>
              <w:jc w:val="center"/>
              <w:ind w:right="2219"/>
              <w:spacing w:after="0"/>
              <w:rPr>
                <w:sz w:val="20"/>
                <w:szCs w:val="20"/>
                <w:color w:val="auto"/>
              </w:rPr>
            </w:pPr>
            <w:r>
              <w:rPr>
                <w:rFonts w:ascii="Arial" w:cs="Arial" w:eastAsia="Arial" w:hAnsi="Arial"/>
                <w:sz w:val="18"/>
                <w:szCs w:val="18"/>
                <w:b w:val="1"/>
                <w:bCs w:val="1"/>
                <w:color w:val="auto"/>
                <w:w w:val="91"/>
              </w:rPr>
              <w:t>Building C, Suite 12</w:t>
            </w:r>
          </w:p>
        </w:tc>
      </w:tr>
      <w:tr>
        <w:trPr>
          <w:trHeight w:val="220"/>
        </w:trPr>
        <w:tc>
          <w:tcPr>
            <w:tcW w:w="2420" w:type="dxa"/>
            <w:vAlign w:val="bottom"/>
          </w:tcPr>
          <w:p>
            <w:pPr>
              <w:spacing w:after="0"/>
              <w:rPr>
                <w:sz w:val="19"/>
                <w:szCs w:val="19"/>
                <w:color w:val="auto"/>
              </w:rPr>
            </w:pPr>
          </w:p>
        </w:tc>
        <w:tc>
          <w:tcPr>
            <w:tcW w:w="6980" w:type="dxa"/>
            <w:vAlign w:val="bottom"/>
          </w:tcPr>
          <w:p>
            <w:pPr>
              <w:jc w:val="center"/>
              <w:ind w:right="2199"/>
              <w:spacing w:after="0"/>
              <w:rPr>
                <w:sz w:val="20"/>
                <w:szCs w:val="20"/>
                <w:color w:val="auto"/>
              </w:rPr>
            </w:pPr>
            <w:r>
              <w:rPr>
                <w:rFonts w:ascii="Arial" w:cs="Arial" w:eastAsia="Arial" w:hAnsi="Arial"/>
                <w:sz w:val="18"/>
                <w:szCs w:val="18"/>
                <w:b w:val="1"/>
                <w:bCs w:val="1"/>
                <w:color w:val="auto"/>
                <w:w w:val="88"/>
              </w:rPr>
              <w:t>Johnson City, Tennessee 37604</w:t>
            </w:r>
          </w:p>
        </w:tc>
      </w:tr>
      <w:tr>
        <w:trPr>
          <w:trHeight w:val="230"/>
        </w:trPr>
        <w:tc>
          <w:tcPr>
            <w:tcW w:w="2420" w:type="dxa"/>
            <w:vAlign w:val="bottom"/>
          </w:tcPr>
          <w:p>
            <w:pPr>
              <w:spacing w:after="0"/>
              <w:rPr>
                <w:sz w:val="20"/>
                <w:szCs w:val="20"/>
                <w:color w:val="auto"/>
              </w:rPr>
            </w:pPr>
          </w:p>
        </w:tc>
        <w:tc>
          <w:tcPr>
            <w:tcW w:w="6980" w:type="dxa"/>
            <w:vAlign w:val="bottom"/>
          </w:tcPr>
          <w:p>
            <w:pPr>
              <w:jc w:val="center"/>
              <w:ind w:right="2159"/>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445"/>
        </w:trPr>
        <w:tc>
          <w:tcPr>
            <w:tcW w:w="2420" w:type="dxa"/>
            <w:vAlign w:val="bottom"/>
          </w:tcPr>
          <w:p>
            <w:pPr>
              <w:spacing w:after="0"/>
              <w:rPr>
                <w:sz w:val="24"/>
                <w:szCs w:val="24"/>
                <w:color w:val="auto"/>
              </w:rPr>
            </w:pPr>
          </w:p>
        </w:tc>
        <w:tc>
          <w:tcPr>
            <w:tcW w:w="6980" w:type="dxa"/>
            <w:vAlign w:val="bottom"/>
          </w:tcPr>
          <w:p>
            <w:pPr>
              <w:jc w:val="center"/>
              <w:ind w:right="2159"/>
              <w:spacing w:after="0"/>
              <w:rPr>
                <w:sz w:val="20"/>
                <w:szCs w:val="20"/>
                <w:color w:val="auto"/>
              </w:rPr>
            </w:pPr>
            <w:r>
              <w:rPr>
                <w:rFonts w:ascii="Arial" w:cs="Arial" w:eastAsia="Arial" w:hAnsi="Arial"/>
                <w:sz w:val="18"/>
                <w:szCs w:val="18"/>
                <w:b w:val="1"/>
                <w:bCs w:val="1"/>
                <w:color w:val="auto"/>
                <w:w w:val="90"/>
              </w:rPr>
              <w:t>(423) 743-9151</w:t>
            </w:r>
          </w:p>
        </w:tc>
      </w:tr>
      <w:tr>
        <w:trPr>
          <w:trHeight w:val="230"/>
        </w:trPr>
        <w:tc>
          <w:tcPr>
            <w:tcW w:w="2420" w:type="dxa"/>
            <w:vAlign w:val="bottom"/>
          </w:tcPr>
          <w:p>
            <w:pPr>
              <w:spacing w:after="0"/>
              <w:rPr>
                <w:sz w:val="20"/>
                <w:szCs w:val="20"/>
                <w:color w:val="auto"/>
              </w:rPr>
            </w:pPr>
          </w:p>
        </w:tc>
        <w:tc>
          <w:tcPr>
            <w:tcW w:w="6980" w:type="dxa"/>
            <w:vAlign w:val="bottom"/>
          </w:tcPr>
          <w:p>
            <w:pPr>
              <w:jc w:val="center"/>
              <w:ind w:right="2219"/>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0" w:lineRule="exact"/>
        <w:rPr>
          <w:sz w:val="24"/>
          <w:szCs w:val="24"/>
          <w:color w:val="auto"/>
        </w:rPr>
      </w:pPr>
    </w:p>
    <w:p>
      <w:pPr>
        <w:spacing w:after="0" w:line="272"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36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7"/>
          <w:szCs w:val="17"/>
          <w:color w:val="auto"/>
        </w:rPr>
        <w:t>Yes x No o</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w:t>
      </w:r>
    </w:p>
    <w:p>
      <w:pPr>
        <w:sectPr>
          <w:pgSz w:w="11900" w:h="16838" w:orient="portrait"/>
          <w:cols w:equalWidth="0" w:num="1">
            <w:col w:w="11140"/>
          </w:cols>
          <w:pgMar w:left="240" w:top="549" w:right="519" w:bottom="1440" w:gutter="0" w:footer="0" w:header="0"/>
        </w:sectPr>
      </w:pP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and large accelerated filer” in Rule 12b-2 of the Exchange Act. (Check one):</w:t>
      </w:r>
    </w:p>
    <w:p>
      <w:pPr>
        <w:spacing w:after="0" w:line="21" w:lineRule="exact"/>
        <w:rPr>
          <w:sz w:val="24"/>
          <w:szCs w:val="24"/>
          <w:color w:val="auto"/>
        </w:rPr>
      </w:pPr>
    </w:p>
    <w:p>
      <w:pPr>
        <w:spacing w:after="0"/>
        <w:tabs>
          <w:tab w:leader="none" w:pos="46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37" w:lineRule="exact"/>
        <w:rPr>
          <w:sz w:val="24"/>
          <w:szCs w:val="24"/>
          <w:color w:val="auto"/>
        </w:rPr>
      </w:pPr>
    </w:p>
    <w:p>
      <w:pPr>
        <w:sectPr>
          <w:pgSz w:w="11900" w:h="16838" w:orient="portrait"/>
          <w:cols w:equalWidth="0" w:num="2">
            <w:col w:w="7180" w:space="720"/>
            <w:col w:w="3240"/>
          </w:cols>
          <w:pgMar w:left="240" w:top="549" w:right="519" w:bottom="1440" w:gutter="0" w:footer="0" w:header="0"/>
          <w:type w:val="continuous"/>
        </w:sectPr>
      </w:pPr>
    </w:p>
    <w:p>
      <w:pPr>
        <w:spacing w:after="0" w:line="38"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2007, there were 16,279,997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49" w:right="519" w:bottom="1440" w:gutter="0" w:footer="0" w:header="0"/>
          <w:type w:val="continuous"/>
        </w:sectPr>
      </w:pPr>
    </w:p>
    <w:bookmarkStart w:id="1" w:name="page2"/>
    <w:bookmarkEnd w:id="1"/>
    <w:p>
      <w:pPr>
        <w:ind w:left="4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INDEX</w:t>
      </w:r>
    </w:p>
    <w:p>
      <w:pPr>
        <w:spacing w:after="0" w:line="398" w:lineRule="exact"/>
        <w:rPr>
          <w:sz w:val="20"/>
          <w:szCs w:val="20"/>
          <w:color w:val="auto"/>
        </w:rPr>
      </w:pPr>
    </w:p>
    <w:p>
      <w:pPr>
        <w:ind w:left="40"/>
        <w:spacing w:after="0"/>
        <w:tabs>
          <w:tab w:leader="none" w:pos="9040" w:val="left"/>
        </w:tabs>
        <w:rPr>
          <w:sz w:val="20"/>
          <w:szCs w:val="20"/>
          <w:color w:val="auto"/>
        </w:rPr>
      </w:pPr>
      <w:r>
        <w:rPr>
          <w:rFonts w:ascii="Arial" w:cs="Arial" w:eastAsia="Arial" w:hAnsi="Arial"/>
          <w:sz w:val="18"/>
          <w:szCs w:val="18"/>
          <w:b w:val="1"/>
          <w:bCs w:val="1"/>
          <w:color w:val="auto"/>
        </w:rPr>
        <w:t>Part</w:t>
      </w:r>
      <w:r>
        <w:rPr>
          <w:sz w:val="20"/>
          <w:szCs w:val="20"/>
          <w:color w:val="auto"/>
        </w:rPr>
        <w:tab/>
      </w:r>
      <w:r>
        <w:rPr>
          <w:rFonts w:ascii="Arial" w:cs="Arial" w:eastAsia="Arial" w:hAnsi="Arial"/>
          <w:sz w:val="15"/>
          <w:szCs w:val="15"/>
          <w:b w:val="1"/>
          <w:bCs w:val="1"/>
          <w:color w:val="auto"/>
        </w:rPr>
        <w:t>Page</w:t>
      </w:r>
    </w:p>
    <w:p>
      <w:pPr>
        <w:ind w:left="860"/>
        <w:spacing w:after="0" w:line="187" w:lineRule="auto"/>
        <w:rPr>
          <w:sz w:val="20"/>
          <w:szCs w:val="20"/>
          <w:color w:val="auto"/>
        </w:rPr>
      </w:pPr>
      <w:r>
        <w:rPr>
          <w:rFonts w:ascii="Arial" w:cs="Arial" w:eastAsia="Arial" w:hAnsi="Arial"/>
          <w:sz w:val="12"/>
          <w:szCs w:val="12"/>
          <w:b w:val="1"/>
          <w:bCs w:val="1"/>
          <w:color w:val="auto"/>
        </w:rPr>
        <w:t>Financial Information</w:t>
      </w:r>
    </w:p>
    <w:p>
      <w:pPr>
        <w:spacing w:after="0" w:line="1"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7"/>
          <w:szCs w:val="17"/>
          <w:b w:val="1"/>
          <w:bCs w:val="1"/>
          <w:color w:val="auto"/>
        </w:rPr>
        <w:t>No.</w:t>
      </w:r>
    </w:p>
    <w:p>
      <w:pPr>
        <w:spacing w:after="0" w:line="7"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Consolidated Statements of Income and Comprehensive Income for the three and nine months ended September</w:t>
      </w:r>
    </w:p>
    <w:p>
      <w:pPr>
        <w:spacing w:after="0" w:line="34" w:lineRule="exact"/>
        <w:rPr>
          <w:sz w:val="20"/>
          <w:szCs w:val="20"/>
          <w:color w:val="auto"/>
        </w:rPr>
      </w:pPr>
    </w:p>
    <w:p>
      <w:pPr>
        <w:ind w:left="860"/>
        <w:spacing w:after="0"/>
        <w:tabs>
          <w:tab w:leader="dot" w:pos="9160" w:val="left"/>
        </w:tabs>
        <w:rPr>
          <w:sz w:val="20"/>
          <w:szCs w:val="20"/>
          <w:color w:val="auto"/>
        </w:rPr>
      </w:pPr>
      <w:r>
        <w:rPr>
          <w:rFonts w:ascii="Arial" w:cs="Arial" w:eastAsia="Arial" w:hAnsi="Arial"/>
          <w:sz w:val="18"/>
          <w:szCs w:val="18"/>
          <w:color w:val="auto"/>
        </w:rPr>
        <w:t>30, 2007 and 2006 (unaudited)</w:t>
      </w:r>
      <w:r>
        <w:rPr>
          <w:sz w:val="20"/>
          <w:szCs w:val="20"/>
          <w:color w:val="auto"/>
        </w:rPr>
        <w:tab/>
      </w:r>
      <w:r>
        <w:rPr>
          <w:rFonts w:ascii="Arial" w:cs="Arial" w:eastAsia="Arial" w:hAnsi="Arial"/>
          <w:sz w:val="14"/>
          <w:szCs w:val="14"/>
          <w:color w:val="auto"/>
        </w:rPr>
        <w:t>2</w:t>
      </w:r>
    </w:p>
    <w:p>
      <w:pPr>
        <w:spacing w:after="0" w:line="21" w:lineRule="exact"/>
        <w:rPr>
          <w:sz w:val="20"/>
          <w:szCs w:val="20"/>
          <w:color w:val="auto"/>
        </w:rPr>
      </w:pPr>
    </w:p>
    <w:p>
      <w:pPr>
        <w:ind w:left="860"/>
        <w:spacing w:after="0"/>
        <w:tabs>
          <w:tab w:leader="dot" w:pos="9180" w:val="left"/>
        </w:tabs>
        <w:rPr>
          <w:sz w:val="20"/>
          <w:szCs w:val="20"/>
          <w:color w:val="auto"/>
        </w:rPr>
      </w:pPr>
      <w:r>
        <w:rPr>
          <w:rFonts w:ascii="Arial" w:cs="Arial" w:eastAsia="Arial" w:hAnsi="Arial"/>
          <w:sz w:val="18"/>
          <w:szCs w:val="18"/>
          <w:color w:val="auto"/>
        </w:rPr>
        <w:t>Condensed Consolidated Balance Sheets at September 30, 2007 and December 31, 2006 (unaudited)</w:t>
      </w:r>
      <w:r>
        <w:rPr>
          <w:sz w:val="20"/>
          <w:szCs w:val="20"/>
          <w:color w:val="auto"/>
        </w:rPr>
        <w:tab/>
      </w:r>
      <w:r>
        <w:rPr>
          <w:rFonts w:ascii="Arial" w:cs="Arial" w:eastAsia="Arial" w:hAnsi="Arial"/>
          <w:sz w:val="14"/>
          <w:szCs w:val="14"/>
          <w:color w:val="auto"/>
        </w:rPr>
        <w:t>3</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Consolidated Statements of Changes in Stockholders’ Equity for the nine months ended September 30, 2007</w:t>
      </w:r>
    </w:p>
    <w:p>
      <w:pPr>
        <w:spacing w:after="0" w:line="21" w:lineRule="exact"/>
        <w:rPr>
          <w:sz w:val="20"/>
          <w:szCs w:val="20"/>
          <w:color w:val="auto"/>
        </w:rPr>
      </w:pPr>
    </w:p>
    <w:p>
      <w:pPr>
        <w:ind w:left="860"/>
        <w:spacing w:after="0"/>
        <w:tabs>
          <w:tab w:leader="dot" w:pos="9160" w:val="left"/>
        </w:tabs>
        <w:rPr>
          <w:sz w:val="20"/>
          <w:szCs w:val="20"/>
          <w:color w:val="auto"/>
        </w:rPr>
      </w:pPr>
      <w:r>
        <w:rPr>
          <w:rFonts w:ascii="Arial" w:cs="Arial" w:eastAsia="Arial" w:hAnsi="Arial"/>
          <w:sz w:val="18"/>
          <w:szCs w:val="18"/>
          <w:color w:val="auto"/>
        </w:rPr>
        <w:t>(unaudited)</w:t>
      </w:r>
      <w:r>
        <w:rPr>
          <w:sz w:val="20"/>
          <w:szCs w:val="20"/>
          <w:color w:val="auto"/>
        </w:rPr>
        <w:tab/>
      </w:r>
      <w:r>
        <w:rPr>
          <w:rFonts w:ascii="Arial" w:cs="Arial" w:eastAsia="Arial" w:hAnsi="Arial"/>
          <w:sz w:val="14"/>
          <w:szCs w:val="14"/>
          <w:color w:val="auto"/>
        </w:rPr>
        <w:t>4</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Consolidated Statements of Cash Flows for the nine months ended September 30, 2007 and 2006</w:t>
      </w:r>
    </w:p>
    <w:p>
      <w:pPr>
        <w:spacing w:after="0" w:line="9" w:lineRule="exact"/>
        <w:rPr>
          <w:sz w:val="20"/>
          <w:szCs w:val="20"/>
          <w:color w:val="auto"/>
        </w:rPr>
      </w:pPr>
    </w:p>
    <w:p>
      <w:pPr>
        <w:ind w:left="860"/>
        <w:spacing w:after="0"/>
        <w:tabs>
          <w:tab w:leader="dot" w:pos="9180" w:val="left"/>
        </w:tabs>
        <w:rPr>
          <w:sz w:val="20"/>
          <w:szCs w:val="20"/>
          <w:color w:val="auto"/>
        </w:rPr>
      </w:pPr>
      <w:r>
        <w:rPr>
          <w:rFonts w:ascii="Arial" w:cs="Arial" w:eastAsia="Arial" w:hAnsi="Arial"/>
          <w:sz w:val="18"/>
          <w:szCs w:val="18"/>
          <w:color w:val="auto"/>
        </w:rPr>
        <w:t>(unaudited)</w:t>
      </w:r>
      <w:r>
        <w:rPr>
          <w:sz w:val="20"/>
          <w:szCs w:val="20"/>
          <w:color w:val="auto"/>
        </w:rPr>
        <w:tab/>
      </w:r>
      <w:r>
        <w:rPr>
          <w:rFonts w:ascii="Arial" w:cs="Arial" w:eastAsia="Arial" w:hAnsi="Arial"/>
          <w:sz w:val="14"/>
          <w:szCs w:val="14"/>
          <w:color w:val="auto"/>
        </w:rPr>
        <w:t>5</w:t>
      </w:r>
    </w:p>
    <w:p>
      <w:pPr>
        <w:spacing w:after="0" w:line="9" w:lineRule="exact"/>
        <w:rPr>
          <w:sz w:val="20"/>
          <w:szCs w:val="20"/>
          <w:color w:val="auto"/>
        </w:rPr>
      </w:pPr>
    </w:p>
    <w:p>
      <w:pPr>
        <w:ind w:left="860"/>
        <w:spacing w:after="0"/>
        <w:tabs>
          <w:tab w:leader="dot" w:pos="9180" w:val="left"/>
        </w:tabs>
        <w:rPr>
          <w:sz w:val="20"/>
          <w:szCs w:val="20"/>
          <w:color w:val="auto"/>
        </w:rPr>
      </w:pPr>
      <w:r>
        <w:rPr>
          <w:rFonts w:ascii="Arial" w:cs="Arial" w:eastAsia="Arial" w:hAnsi="Arial"/>
          <w:sz w:val="18"/>
          <w:szCs w:val="18"/>
          <w:color w:val="auto"/>
        </w:rPr>
        <w:t>Notes to Consolidated Financial Statements (unaudited)</w:t>
      </w:r>
      <w:r>
        <w:rPr>
          <w:sz w:val="20"/>
          <w:szCs w:val="20"/>
          <w:color w:val="auto"/>
        </w:rPr>
        <w:tab/>
      </w:r>
      <w:r>
        <w:rPr>
          <w:rFonts w:ascii="Arial" w:cs="Arial" w:eastAsia="Arial" w:hAnsi="Arial"/>
          <w:sz w:val="14"/>
          <w:szCs w:val="14"/>
          <w:color w:val="auto"/>
        </w:rPr>
        <w:t>6</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r>
        <w:rPr>
          <w:sz w:val="20"/>
          <w:szCs w:val="20"/>
          <w:color w:val="auto"/>
        </w:rPr>
        <w:tab/>
      </w:r>
      <w:r>
        <w:rPr>
          <w:rFonts w:ascii="Arial" w:cs="Arial" w:eastAsia="Arial" w:hAnsi="Arial"/>
          <w:sz w:val="16"/>
          <w:szCs w:val="16"/>
          <w:color w:val="auto"/>
        </w:rPr>
        <w:t>17</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Quantitative and Qualitative Disclosures about Market Risk</w:t>
      </w:r>
      <w:r>
        <w:rPr>
          <w:sz w:val="20"/>
          <w:szCs w:val="20"/>
          <w:color w:val="auto"/>
        </w:rPr>
        <w:tab/>
      </w:r>
      <w:r>
        <w:rPr>
          <w:rFonts w:ascii="Arial" w:cs="Arial" w:eastAsia="Arial" w:hAnsi="Arial"/>
          <w:sz w:val="16"/>
          <w:szCs w:val="16"/>
          <w:color w:val="auto"/>
        </w:rPr>
        <w:t>25</w:t>
      </w:r>
    </w:p>
    <w:p>
      <w:pPr>
        <w:spacing w:after="0" w:line="23"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Controls and Procedures</w:t>
      </w:r>
      <w:r>
        <w:rPr>
          <w:sz w:val="20"/>
          <w:szCs w:val="20"/>
          <w:color w:val="auto"/>
        </w:rPr>
        <w:tab/>
      </w:r>
      <w:r>
        <w:rPr>
          <w:rFonts w:ascii="Arial" w:cs="Arial" w:eastAsia="Arial" w:hAnsi="Arial"/>
          <w:sz w:val="16"/>
          <w:szCs w:val="16"/>
          <w:color w:val="auto"/>
        </w:rPr>
        <w:t>25</w:t>
      </w:r>
    </w:p>
    <w:p>
      <w:pPr>
        <w:spacing w:after="0" w:line="220"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7"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Legal Proceedings</w:t>
      </w:r>
      <w:r>
        <w:rPr>
          <w:sz w:val="20"/>
          <w:szCs w:val="20"/>
          <w:color w:val="auto"/>
        </w:rPr>
        <w:tab/>
      </w:r>
      <w:r>
        <w:rPr>
          <w:rFonts w:ascii="Arial" w:cs="Arial" w:eastAsia="Arial" w:hAnsi="Arial"/>
          <w:sz w:val="16"/>
          <w:szCs w:val="16"/>
          <w:color w:val="auto"/>
        </w:rPr>
        <w:t>25</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1A.</w:t>
        <w:tab/>
        <w:t>Risk Factors</w:t>
      </w:r>
      <w:r>
        <w:rPr>
          <w:sz w:val="20"/>
          <w:szCs w:val="20"/>
          <w:color w:val="auto"/>
        </w:rPr>
        <w:tab/>
      </w:r>
      <w:r>
        <w:rPr>
          <w:rFonts w:ascii="Arial" w:cs="Arial" w:eastAsia="Arial" w:hAnsi="Arial"/>
          <w:sz w:val="16"/>
          <w:szCs w:val="16"/>
          <w:color w:val="auto"/>
        </w:rPr>
        <w:t>25</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Unregistered Sales of Equity Securities and Use of Proceeds</w:t>
      </w:r>
      <w:r>
        <w:rPr>
          <w:sz w:val="20"/>
          <w:szCs w:val="20"/>
          <w:color w:val="auto"/>
        </w:rPr>
        <w:tab/>
      </w:r>
      <w:r>
        <w:rPr>
          <w:rFonts w:ascii="Arial" w:cs="Arial" w:eastAsia="Arial" w:hAnsi="Arial"/>
          <w:sz w:val="16"/>
          <w:szCs w:val="16"/>
          <w:color w:val="auto"/>
        </w:rPr>
        <w:t>26</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Defaults Upon Senior Securities</w:t>
      </w:r>
      <w:r>
        <w:rPr>
          <w:sz w:val="20"/>
          <w:szCs w:val="20"/>
          <w:color w:val="auto"/>
        </w:rPr>
        <w:tab/>
      </w:r>
      <w:r>
        <w:rPr>
          <w:rFonts w:ascii="Arial" w:cs="Arial" w:eastAsia="Arial" w:hAnsi="Arial"/>
          <w:sz w:val="16"/>
          <w:szCs w:val="16"/>
          <w:color w:val="auto"/>
        </w:rPr>
        <w:t>26</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Submission of Matters to a Vote of Security Holders</w:t>
      </w:r>
      <w:r>
        <w:rPr>
          <w:sz w:val="20"/>
          <w:szCs w:val="20"/>
          <w:color w:val="auto"/>
        </w:rPr>
        <w:tab/>
      </w:r>
      <w:r>
        <w:rPr>
          <w:rFonts w:ascii="Arial" w:cs="Arial" w:eastAsia="Arial" w:hAnsi="Arial"/>
          <w:sz w:val="16"/>
          <w:szCs w:val="16"/>
          <w:color w:val="auto"/>
        </w:rPr>
        <w:t>26</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Other Information</w:t>
      </w:r>
      <w:r>
        <w:rPr>
          <w:sz w:val="20"/>
          <w:szCs w:val="20"/>
          <w:color w:val="auto"/>
        </w:rPr>
        <w:tab/>
      </w:r>
      <w:r>
        <w:rPr>
          <w:rFonts w:ascii="Arial" w:cs="Arial" w:eastAsia="Arial" w:hAnsi="Arial"/>
          <w:sz w:val="16"/>
          <w:szCs w:val="16"/>
          <w:color w:val="auto"/>
        </w:rPr>
        <w:t>26</w:t>
      </w:r>
    </w:p>
    <w:p>
      <w:pPr>
        <w:spacing w:after="0" w:line="9" w:lineRule="exact"/>
        <w:rPr>
          <w:sz w:val="20"/>
          <w:szCs w:val="20"/>
          <w:color w:val="auto"/>
        </w:rPr>
      </w:pPr>
    </w:p>
    <w:p>
      <w:pPr>
        <w:ind w:left="40"/>
        <w:spacing w:after="0"/>
        <w:tabs>
          <w:tab w:leader="none" w:pos="840" w:val="left"/>
          <w:tab w:leader="dot" w:pos="9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Exhibits</w:t>
      </w:r>
      <w:r>
        <w:rPr>
          <w:sz w:val="20"/>
          <w:szCs w:val="20"/>
          <w:color w:val="auto"/>
        </w:rPr>
        <w:tab/>
      </w:r>
      <w:r>
        <w:rPr>
          <w:rFonts w:ascii="Arial" w:cs="Arial" w:eastAsia="Arial" w:hAnsi="Arial"/>
          <w:sz w:val="16"/>
          <w:szCs w:val="16"/>
          <w:color w:val="auto"/>
        </w:rPr>
        <w:t>26</w:t>
      </w:r>
    </w:p>
    <w:p>
      <w:pPr>
        <w:spacing w:after="0" w:line="9" w:lineRule="exact"/>
        <w:rPr>
          <w:sz w:val="20"/>
          <w:szCs w:val="20"/>
          <w:color w:val="auto"/>
        </w:rPr>
      </w:pPr>
    </w:p>
    <w:p>
      <w:pPr>
        <w:ind w:left="40"/>
        <w:spacing w:after="0"/>
        <w:tabs>
          <w:tab w:leader="dot" w:pos="9140" w:val="left"/>
        </w:tabs>
        <w:rPr>
          <w:sz w:val="20"/>
          <w:szCs w:val="20"/>
          <w:color w:val="auto"/>
        </w:rPr>
      </w:pPr>
      <w:r>
        <w:rPr>
          <w:rFonts w:ascii="Arial" w:cs="Arial" w:eastAsia="Arial" w:hAnsi="Arial"/>
          <w:sz w:val="18"/>
          <w:szCs w:val="18"/>
          <w:color w:val="auto"/>
        </w:rPr>
        <w:t>Signatures</w:t>
      </w:r>
      <w:r>
        <w:rPr>
          <w:sz w:val="20"/>
          <w:szCs w:val="20"/>
          <w:color w:val="auto"/>
        </w:rPr>
        <w:tab/>
      </w:r>
      <w:r>
        <w:rPr>
          <w:rFonts w:ascii="Arial" w:cs="Arial" w:eastAsia="Arial" w:hAnsi="Arial"/>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62230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20"/>
          </w:cols>
          <w:pgMar w:left="1240" w:top="364" w:right="1239" w:bottom="1440" w:gutter="0" w:footer="0" w:header="0"/>
        </w:sectPr>
      </w:pPr>
    </w:p>
    <w:bookmarkStart w:id="2" w:name="page3"/>
    <w:bookmarkEnd w:id="2"/>
    <w:p>
      <w:pPr>
        <w:ind w:left="12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60" w:type="dxa"/>
            <w:vAlign w:val="bottom"/>
            <w:gridSpan w:val="7"/>
          </w:tcPr>
          <w:p>
            <w:pPr>
              <w:ind w:left="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(Thousands of Dollars, Except Per Share Data)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99,021</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314,267</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and amortization shown separately below)</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80,264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251,274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189,597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27,406</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22,338</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 on disposal of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62230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00"/>
          </w:cols>
          <w:pgMar w:left="920" w:top="337"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w:t>
            </w: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60" w:type="dxa"/>
            <w:vAlign w:val="bottom"/>
            <w:gridSpan w:val="2"/>
          </w:tcPr>
          <w:p>
            <w:pPr>
              <w:spacing w:after="0"/>
              <w:rPr>
                <w:sz w:val="20"/>
                <w:szCs w:val="20"/>
                <w:color w:val="auto"/>
              </w:rPr>
            </w:pPr>
            <w:r>
              <w:rPr>
                <w:rFonts w:ascii="Arial" w:cs="Arial" w:eastAsia="Arial" w:hAnsi="Arial"/>
                <w:sz w:val="18"/>
                <w:szCs w:val="18"/>
                <w:color w:val="auto"/>
              </w:rPr>
              <w:t>(Thousands of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Accounts receivable, net of allowances of $1,331 and $1,278, respectively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44,952</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Accrued salaries, wages and benefits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79,886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Non-current deferred tax liability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Related party debt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pension and other</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215,058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123,741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338,799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342,701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62230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37"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b w:val="1"/>
                <w:bCs w:val="1"/>
                <w:color w:val="auto"/>
                <w:w w:val="98"/>
              </w:rPr>
              <w:t>(Thousands of Dollars and</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Number Of</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Paid in</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Retained</w:t>
            </w: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tcPr>
          <w:p>
            <w:pPr>
              <w:ind w:left="9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Par Value</w:t>
            </w:r>
          </w:p>
        </w:tc>
        <w:tc>
          <w:tcPr>
            <w:tcW w:w="1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Earnings</w:t>
            </w:r>
          </w:p>
        </w:tc>
        <w:tc>
          <w:tcPr>
            <w:tcW w:w="2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ind w:right="4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Shares issued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Amortization of restricted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stock awards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Forfeiture of restricted stock</w:t>
            </w: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88"/>
              </w:rPr>
              <w:t>Repurchase of outstanding shares</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Dividends declared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adoption</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of FIN 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Cumulative translation gain</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2007</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16,554</w:t>
            </w:r>
          </w:p>
        </w:tc>
        <w:tc>
          <w:tcPr>
            <w:tcW w:w="16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ind w:right="4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48,261</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24,020</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62230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37"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(Thousands of Dollars)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(11,272)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Adjustments to reconcile net income (loss) to net cash provided by operating activities: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(2,689)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(12,841)</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Acquisition of intangibles and goodwill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(13,092)</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Increase in cash from book overdraft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short-term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 on capital lease</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(3,156)</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long term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 paid</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(4,045)</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related party debt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8,481</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62230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37" w:right="1379" w:bottom="1440" w:gutter="0" w:footer="0" w:header="0"/>
        </w:sectPr>
      </w:pPr>
    </w:p>
    <w:bookmarkStart w:id="6" w:name="page7"/>
    <w:bookmarkEnd w:id="6"/>
    <w:p>
      <w:pPr>
        <w:ind w:left="54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consolidated financial statements of NN, Inc. (the “Company”) have not been audited, except that the balance sheet at December 31, 2006 is derived from the Company’s consolidated audited financial statements. In the opinion of the Company’s management, the financial statements reflect all adjustments necessary to fairly state the results of operations for the three and nine month periods ended September 30, 2007 and 2006, the Company’s financial position at September 30, 2007 and December 31, 2006, and the cash flows for the nine month periods ended September 30, 2007 and 2006.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2006 which we filed with the Securities and Exchange Commission on March 16, 2007.</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for the three and nine month periods ended September 30, 2007 are not necessarily indicative of results for the year ending December 31, 2007 or any other future periods.</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and Impairment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 Restructuring, Impairment and Other Cost Reduction Actions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July 25, 2007, we announced several actions intended to improve corporate financial performance that resulted in the recognition of certain restructuring, impairment and other non-recurring charges. The most significant action is a restructuring of the European precision ball plants operations of the Metal Bearing Components Segment of the company. As we have increased capacity at our two newest ball plants in China and Slovakia, we now need to align our capacity across our worldwide system of six ball plants, both in assets currently in service and in production assets that have been held in reserve. Earlier in July 2007, management made a decision that, at this time, reducing output at four of the six ball plants would be the best financial and logistical solution to align capacity. Reducing capacity will necessitate changes in employment levels resulting in certain costs and charges, as well as a reduction in cash flow from each of the plants. Since the reporting value of tangible and intangible assets must be supported by cash flow from the operations, the changes resulted in reduction in value of certain tangible and intangible assets at the affected ball plants.</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second quarter of 2007, we recorded approximately $15,269 ($14,076 after-tax) of non-cash impairment costs. These charges include the write-down to estimated fair market value of certain excess production equipment of $3,320 ($3,212 after tax), the full impairment of goodwill at one European reporting unit of $10,016 ($9,412 after tax) and the impairment of a customer relationship intangible asset of $1,932 ($1,452 after tax) to levels supported by projected cash flows after the restructuring. These impairments were calculated using present value of expected future cash flows methods pursuant to Statement of Financial Accounting Standards (“SFAS”) 142 and SFAS 144 for the goodwill and intangible assets, respectively, and estimates of fair value pursuant to SFAS 144 for the fixed assets.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third quarter of 2007, we recorded approximately $1,272 ($1,196 after tax) of cash restructuring charges and approximately $197 ($154 after tax) of non-cash impairment charges related to the write-down to estimated fair value of certain excess production equipment and customer intangible assets as part of the Metal Bearings Components Segment restructuring. The $1,272 was for severance charges booked in accordance with SFAS 146, that will be paid out upon completion of the required legal notification period which is approximately one year. No further restructuring or impairment charges are expected for 2007.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left="54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summarizes the charges related to the 2007 restructuring plan within the Metal Bearing Components Segment for the nine months ended September 30, 2007 reported under accrued salaries and wages.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940" w:type="dxa"/>
            <w:vAlign w:val="bottom"/>
            <w:gridSpan w:val="3"/>
          </w:tcPr>
          <w:p>
            <w:pPr>
              <w:ind w:left="860"/>
              <w:spacing w:after="0"/>
              <w:rPr>
                <w:sz w:val="20"/>
                <w:szCs w:val="20"/>
                <w:color w:val="auto"/>
              </w:rPr>
            </w:pPr>
            <w:r>
              <w:rPr>
                <w:rFonts w:ascii="Arial" w:cs="Arial" w:eastAsia="Arial" w:hAnsi="Arial"/>
                <w:sz w:val="18"/>
                <w:szCs w:val="18"/>
                <w:b w:val="1"/>
                <w:bCs w:val="1"/>
                <w:color w:val="auto"/>
                <w:w w:val="89"/>
              </w:rPr>
              <w:t>Nine months ended September 30, 2007</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8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Reserve Balance at</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Currency</w:t>
            </w:r>
          </w:p>
        </w:tc>
        <w:tc>
          <w:tcPr>
            <w:tcW w:w="2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Reserve Balance at</w:t>
            </w: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r>
              <w:rPr>
                <w:rFonts w:ascii="Arial" w:cs="Arial" w:eastAsia="Arial" w:hAnsi="Arial"/>
                <w:sz w:val="18"/>
                <w:szCs w:val="18"/>
                <w:color w:val="auto"/>
              </w:rPr>
              <w:t>(In Thousands of Dollars)</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01/01/07</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4"/>
              </w:rPr>
              <w:t>Charges</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Paid in 2007</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Impacts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09/30/07</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0"/>
                <w:szCs w:val="20"/>
                <w:color w:val="auto"/>
              </w:rPr>
            </w:pPr>
            <w:r>
              <w:rPr>
                <w:rFonts w:ascii="Arial" w:cs="Arial" w:eastAsia="Arial" w:hAnsi="Arial"/>
                <w:sz w:val="18"/>
                <w:szCs w:val="18"/>
                <w:color w:val="auto"/>
              </w:rPr>
              <w:t>Severance and other</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1,272</w:t>
            </w: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 --</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7"/>
              </w:rPr>
              <w:t>1,272</w:t>
            </w:r>
          </w:p>
        </w:tc>
        <w:tc>
          <w:tcPr>
            <w:tcW w:w="0" w:type="dxa"/>
            <w:vAlign w:val="bottom"/>
          </w:tcPr>
          <w:p>
            <w:pPr>
              <w:spacing w:after="0"/>
              <w:rPr>
                <w:sz w:val="1"/>
                <w:szCs w:val="1"/>
                <w:color w:val="auto"/>
              </w:rPr>
            </w:pPr>
          </w:p>
        </w:tc>
      </w:tr>
      <w:tr>
        <w:trPr>
          <w:trHeight w:val="215"/>
        </w:trPr>
        <w:tc>
          <w:tcPr>
            <w:tcW w:w="2100" w:type="dxa"/>
            <w:vAlign w:val="bottom"/>
          </w:tcPr>
          <w:p>
            <w:pPr>
              <w:spacing w:after="0" w:line="203" w:lineRule="exact"/>
              <w:rPr>
                <w:sz w:val="20"/>
                <w:szCs w:val="20"/>
                <w:color w:val="auto"/>
              </w:rPr>
            </w:pPr>
            <w:r>
              <w:rPr>
                <w:rFonts w:ascii="Arial" w:cs="Arial" w:eastAsia="Arial" w:hAnsi="Arial"/>
                <w:sz w:val="18"/>
                <w:szCs w:val="18"/>
                <w:color w:val="auto"/>
              </w:rPr>
              <w:t>employee costs</w:t>
            </w:r>
          </w:p>
        </w:tc>
        <w:tc>
          <w:tcPr>
            <w:tcW w:w="15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1,272</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third quarter of 2007, we recorded approximately $5,600 ($3,696 after tax) to impair a customer relationship intangible asset recorded on the Whirlaway opening balance sheet as part of the purchase on November 30, 2006. Given the recent volatility of customer orders and lower than expected sales in 2007, we impaired the customer relationship intangible to levels supported by updated expected future cash flows pursuant to SFAS 144.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72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60" w:type="dxa"/>
            <w:vAlign w:val="bottom"/>
            <w:gridSpan w:val="3"/>
          </w:tcPr>
          <w:p>
            <w:pPr>
              <w:spacing w:after="0"/>
              <w:rPr>
                <w:sz w:val="20"/>
                <w:szCs w:val="20"/>
                <w:color w:val="auto"/>
              </w:rPr>
            </w:pPr>
            <w:r>
              <w:rPr>
                <w:rFonts w:ascii="Arial" w:cs="Arial" w:eastAsia="Arial" w:hAnsi="Arial"/>
                <w:sz w:val="18"/>
                <w:szCs w:val="18"/>
                <w:color w:val="auto"/>
                <w:w w:val="94"/>
              </w:rPr>
              <w:t>Inventories are stated at the lower of cost or market. Cost is determined using the first-in, first-out method.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960" w:type="dxa"/>
            <w:vAlign w:val="bottom"/>
            <w:gridSpan w:val="3"/>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41"/>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8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10,427</w:t>
            </w:r>
          </w:p>
        </w:tc>
        <w:tc>
          <w:tcPr>
            <w:tcW w:w="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23,596</w:t>
            </w:r>
          </w:p>
        </w:tc>
        <w:tc>
          <w:tcPr>
            <w:tcW w:w="8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(2,045)</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(2,313)</w:t>
            </w:r>
          </w:p>
        </w:tc>
      </w:tr>
      <w:tr>
        <w:trPr>
          <w:trHeight w:val="27"/>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47,836</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43,538</w:t>
            </w:r>
          </w:p>
        </w:tc>
        <w:tc>
          <w:tcPr>
            <w:tcW w:w="80" w:type="dxa"/>
            <w:vAlign w:val="bottom"/>
            <w:shd w:val="clear" w:color="auto" w:fill="CCEEFF"/>
          </w:tcPr>
          <w:p>
            <w:pPr>
              <w:spacing w:after="0"/>
              <w:rPr>
                <w:sz w:val="20"/>
                <w:szCs w:val="20"/>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2007 and December 31, 2006 totaled $5,425 and $4,554,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48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6"/>
              </w:rPr>
              <w:t>Three Months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0" w:type="dxa"/>
            <w:vAlign w:val="bottom"/>
          </w:tcPr>
          <w:p>
            <w:pPr>
              <w:spacing w:after="0"/>
              <w:rPr>
                <w:sz w:val="20"/>
                <w:szCs w:val="20"/>
                <w:color w:val="auto"/>
              </w:rPr>
            </w:pPr>
          </w:p>
        </w:tc>
        <w:tc>
          <w:tcPr>
            <w:tcW w:w="4860" w:type="dxa"/>
            <w:vAlign w:val="bottom"/>
            <w:gridSpan w:val="2"/>
          </w:tcPr>
          <w:p>
            <w:pPr>
              <w:ind w:left="380"/>
              <w:spacing w:after="0"/>
              <w:rPr>
                <w:sz w:val="20"/>
                <w:szCs w:val="20"/>
                <w:color w:val="auto"/>
              </w:rPr>
            </w:pPr>
            <w:r>
              <w:rPr>
                <w:rFonts w:ascii="Arial" w:cs="Arial" w:eastAsia="Arial" w:hAnsi="Arial"/>
                <w:sz w:val="18"/>
                <w:szCs w:val="18"/>
                <w:b w:val="1"/>
                <w:bCs w:val="1"/>
                <w:color w:val="auto"/>
                <w:w w:val="90"/>
              </w:rPr>
              <w:t>(Thousands of Dollars, Except Share and Per Share Data)</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vMerge w:val="restart"/>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400" w:type="dxa"/>
            <w:vAlign w:val="bottom"/>
            <w:vMerge w:val="continue"/>
          </w:tcPr>
          <w:p>
            <w:pPr>
              <w:spacing w:after="0"/>
              <w:rPr>
                <w:sz w:val="22"/>
                <w:szCs w:val="2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16,764,695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17,104,621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16,807,975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17,147,359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234,009</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242,108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16,903,639</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17,338,630</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16,985,759</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17,389,467</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4"/>
                <w:szCs w:val="14"/>
                <w:color w:val="auto"/>
              </w:rPr>
              <w:t>7</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Excluded from the shares outstanding for the three and nine months ended September 30, 2007 were 858,000 anti-dilutive options which had exercise prices from $10.67 to $12.62. Excluded from shares outstanding for the three and nine month periods ended September 30, 2006 were 478,250 anti-dilutive options which had exercise prices of $11.50 and $12.62.</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segment information and the accounting policies of each segment are the same as those described in the “Segment Information” footnote and the “Summary of Significant Accounting Policies” footnote, respectively, in our annual report on Form 10-K for the year ended December 31, 2006. We evaluate segment performance based on net income or loss after income taxes. For the three and nine month periods ended September 30, 2007, we have reported segment profit excluding restructuring and impairment charges, a non-GAAP accounting measure, as this information is utilized by our chief operating decision maker to examine segment profitability. Additionally, this new line item was added to show only operational performance and to enhance comparability to the prior periods. We account for inter-segment sales and transfers at current market prices. We did not have any significant inter-segment transactions during the three and nine month periods ended September 30, 2007 and 2006. As discussed in our annual report on Form 10-K for the year ended December 31, 2006, we changed our segment reporting during the fourth quarter of 2006. The three and nine month periods ended September 30, 2006 have been restated to conform to the current presentation.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6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gridSpan w:val="2"/>
          </w:tcPr>
          <w:p>
            <w:pPr>
              <w:jc w:val="center"/>
              <w:ind w:right="33"/>
              <w:spacing w:after="0" w:line="198" w:lineRule="exact"/>
              <w:rPr>
                <w:sz w:val="20"/>
                <w:szCs w:val="20"/>
                <w:color w:val="auto"/>
              </w:rPr>
            </w:pPr>
            <w:r>
              <w:rPr>
                <w:rFonts w:ascii="Arial" w:cs="Arial" w:eastAsia="Arial" w:hAnsi="Arial"/>
                <w:sz w:val="18"/>
                <w:szCs w:val="18"/>
                <w:b w:val="1"/>
                <w:bCs w:val="1"/>
                <w:color w:val="auto"/>
                <w:w w:val="90"/>
              </w:rPr>
              <w:t>Plastic and</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Plastic and</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Metal</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Precision</w:t>
            </w:r>
          </w:p>
        </w:tc>
        <w:tc>
          <w:tcPr>
            <w:tcW w:w="980" w:type="dxa"/>
            <w:vAlign w:val="bottom"/>
            <w:gridSpan w:val="2"/>
          </w:tcPr>
          <w:p>
            <w:pPr>
              <w:jc w:val="center"/>
              <w:ind w:right="33"/>
              <w:spacing w:after="0"/>
              <w:rPr>
                <w:sz w:val="20"/>
                <w:szCs w:val="20"/>
                <w:color w:val="auto"/>
              </w:rPr>
            </w:pPr>
            <w:r>
              <w:rPr>
                <w:rFonts w:ascii="Arial" w:cs="Arial" w:eastAsia="Arial" w:hAnsi="Arial"/>
                <w:sz w:val="18"/>
                <w:szCs w:val="18"/>
                <w:b w:val="1"/>
                <w:bCs w:val="1"/>
                <w:color w:val="auto"/>
                <w:w w:val="91"/>
              </w:rPr>
              <w:t>Rubber</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Metal</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6"/>
              </w:rPr>
              <w:t>Precision</w:t>
            </w: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Rubber</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Bearing</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Metal</w:t>
            </w:r>
          </w:p>
        </w:tc>
        <w:tc>
          <w:tcPr>
            <w:tcW w:w="980" w:type="dxa"/>
            <w:vAlign w:val="bottom"/>
            <w:gridSpan w:val="2"/>
          </w:tcPr>
          <w:p>
            <w:pPr>
              <w:jc w:val="center"/>
              <w:ind w:right="33"/>
              <w:spacing w:after="0"/>
              <w:rPr>
                <w:sz w:val="20"/>
                <w:szCs w:val="20"/>
                <w:color w:val="auto"/>
              </w:rPr>
            </w:pPr>
            <w:r>
              <w:rPr>
                <w:rFonts w:ascii="Arial" w:cs="Arial" w:eastAsia="Arial" w:hAnsi="Arial"/>
                <w:sz w:val="18"/>
                <w:szCs w:val="18"/>
                <w:b w:val="1"/>
                <w:bCs w:val="1"/>
                <w:color w:val="auto"/>
                <w:w w:val="91"/>
              </w:rPr>
              <w:t>Com-</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Bearing</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5"/>
              </w:rPr>
              <w:t>Metal</w:t>
            </w: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Com-</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(In Thousands of</w:t>
            </w: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Components Components</w:t>
            </w:r>
          </w:p>
        </w:tc>
        <w:tc>
          <w:tcPr>
            <w:tcW w:w="980" w:type="dxa"/>
            <w:vAlign w:val="bottom"/>
            <w:gridSpan w:val="2"/>
          </w:tcPr>
          <w:p>
            <w:pPr>
              <w:jc w:val="center"/>
              <w:ind w:right="53"/>
              <w:spacing w:after="0"/>
              <w:rPr>
                <w:sz w:val="20"/>
                <w:szCs w:val="20"/>
                <w:color w:val="auto"/>
              </w:rPr>
            </w:pPr>
            <w:r>
              <w:rPr>
                <w:rFonts w:ascii="Arial" w:cs="Arial" w:eastAsia="Arial" w:hAnsi="Arial"/>
                <w:sz w:val="18"/>
                <w:szCs w:val="18"/>
                <w:b w:val="1"/>
                <w:bCs w:val="1"/>
                <w:color w:val="auto"/>
                <w:w w:val="85"/>
              </w:rPr>
              <w:t>ponents</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All</w:t>
            </w: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w w:val="87"/>
              </w:rPr>
              <w:t>ComponentsComponents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5"/>
              </w:rPr>
              <w:t>ponents</w:t>
            </w:r>
          </w:p>
        </w:tc>
        <w:tc>
          <w:tcPr>
            <w:tcW w:w="7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All</w:t>
            </w:r>
          </w:p>
        </w:tc>
        <w:tc>
          <w:tcPr>
            <w:tcW w:w="114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w:t>
            </w:r>
          </w:p>
        </w:tc>
        <w:tc>
          <w:tcPr>
            <w:tcW w:w="11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Segment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9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8"/>
                <w:szCs w:val="18"/>
                <w:b w:val="1"/>
                <w:bCs w:val="1"/>
                <w:color w:val="auto"/>
                <w:w w:val="86"/>
              </w:rPr>
              <w:t>Segment</w:t>
            </w:r>
          </w:p>
        </w:tc>
        <w:tc>
          <w:tcPr>
            <w:tcW w:w="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Other</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1140" w:type="dxa"/>
            <w:vAlign w:val="bottom"/>
          </w:tcPr>
          <w:p>
            <w:pPr>
              <w:spacing w:after="0"/>
              <w:rPr>
                <w:sz w:val="20"/>
                <w:szCs w:val="20"/>
                <w:color w:val="auto"/>
              </w:rPr>
            </w:pPr>
          </w:p>
        </w:tc>
      </w:tr>
      <w:tr>
        <w:trPr>
          <w:trHeight w:val="202"/>
        </w:trPr>
        <w:tc>
          <w:tcPr>
            <w:tcW w:w="1140" w:type="dxa"/>
            <w:vAlign w:val="bottom"/>
          </w:tcPr>
          <w:p>
            <w:pPr>
              <w:spacing w:after="0"/>
              <w:rPr>
                <w:sz w:val="17"/>
                <w:szCs w:val="17"/>
                <w:color w:val="auto"/>
              </w:rPr>
            </w:pPr>
          </w:p>
        </w:tc>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rPr>
              <w:t>Revenues from</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external customers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70,814</w:t>
            </w:r>
          </w:p>
        </w:tc>
        <w:tc>
          <w:tcPr>
            <w:tcW w:w="920" w:type="dxa"/>
            <w:vAlign w:val="bottom"/>
          </w:tcPr>
          <w:p>
            <w:pPr>
              <w:jc w:val="right"/>
              <w:spacing w:after="0"/>
              <w:rPr>
                <w:sz w:val="20"/>
                <w:szCs w:val="20"/>
                <w:color w:val="auto"/>
              </w:rPr>
            </w:pPr>
            <w:r>
              <w:rPr>
                <w:rFonts w:ascii="Arial" w:cs="Arial" w:eastAsia="Arial" w:hAnsi="Arial"/>
                <w:sz w:val="18"/>
                <w:szCs w:val="18"/>
                <w:color w:val="auto"/>
              </w:rPr>
              <w:t>$ 15,594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12,613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62,228</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$ 12,642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w w:val="98"/>
              </w:rPr>
              <w:t>Segment profit (loss),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w w:val="92"/>
              </w:rPr>
              <w:t>excluding restructuring</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and impairment</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changes</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3,252</w:t>
            </w:r>
          </w:p>
        </w:tc>
        <w:tc>
          <w:tcPr>
            <w:tcW w:w="920" w:type="dxa"/>
            <w:vAlign w:val="bottom"/>
          </w:tcPr>
          <w:p>
            <w:pPr>
              <w:jc w:val="right"/>
              <w:spacing w:after="0"/>
              <w:rPr>
                <w:sz w:val="20"/>
                <w:szCs w:val="20"/>
                <w:color w:val="auto"/>
              </w:rPr>
            </w:pPr>
            <w:r>
              <w:rPr>
                <w:rFonts w:ascii="Arial" w:cs="Arial" w:eastAsia="Arial" w:hAnsi="Arial"/>
                <w:sz w:val="18"/>
                <w:szCs w:val="18"/>
                <w:color w:val="auto"/>
              </w:rPr>
              <w:t>(574)</w:t>
            </w:r>
          </w:p>
        </w:tc>
        <w:tc>
          <w:tcPr>
            <w:tcW w:w="360" w:type="dxa"/>
            <w:vAlign w:val="bottom"/>
          </w:tcPr>
          <w:p>
            <w:pPr>
              <w:spacing w:after="0"/>
              <w:rPr>
                <w:sz w:val="20"/>
                <w:szCs w:val="20"/>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567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(1,431)</w:t>
            </w: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3,563</w:t>
            </w:r>
          </w:p>
        </w:tc>
        <w:tc>
          <w:tcPr>
            <w:tcW w:w="7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(1,604)</w:t>
            </w:r>
          </w:p>
        </w:tc>
        <w:tc>
          <w:tcPr>
            <w:tcW w:w="114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Restructuring and</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impairment charges</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(1,259)</w:t>
            </w:r>
          </w:p>
        </w:tc>
        <w:tc>
          <w:tcPr>
            <w:tcW w:w="920" w:type="dxa"/>
            <w:vAlign w:val="bottom"/>
          </w:tcPr>
          <w:p>
            <w:pPr>
              <w:jc w:val="right"/>
              <w:spacing w:after="0"/>
              <w:rPr>
                <w:sz w:val="20"/>
                <w:szCs w:val="20"/>
                <w:color w:val="auto"/>
              </w:rPr>
            </w:pPr>
            <w:r>
              <w:rPr>
                <w:rFonts w:ascii="Arial" w:cs="Arial" w:eastAsia="Arial" w:hAnsi="Arial"/>
                <w:sz w:val="18"/>
                <w:szCs w:val="18"/>
                <w:color w:val="auto"/>
              </w:rPr>
              <w:t>(5,600)</w:t>
            </w:r>
          </w:p>
        </w:tc>
        <w:tc>
          <w:tcPr>
            <w:tcW w:w="360" w:type="dxa"/>
            <w:vAlign w:val="bottom"/>
          </w:tcPr>
          <w:p>
            <w:pPr>
              <w:spacing w:after="0"/>
              <w:rPr>
                <w:sz w:val="20"/>
                <w:szCs w:val="20"/>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(210)</w:t>
            </w: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impacts</w:t>
            </w: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(4,270)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567</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(1,565)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674</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 (1,604)</w:t>
            </w:r>
          </w:p>
        </w:tc>
        <w:tc>
          <w:tcPr>
            <w:tcW w:w="114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229,210</w:t>
            </w:r>
          </w:p>
        </w:tc>
        <w:tc>
          <w:tcPr>
            <w:tcW w:w="920" w:type="dxa"/>
            <w:vAlign w:val="bottom"/>
          </w:tcPr>
          <w:p>
            <w:pPr>
              <w:jc w:val="right"/>
              <w:spacing w:after="0"/>
              <w:rPr>
                <w:sz w:val="20"/>
                <w:szCs w:val="20"/>
                <w:color w:val="auto"/>
              </w:rPr>
            </w:pPr>
            <w:r>
              <w:rPr>
                <w:rFonts w:ascii="Arial" w:cs="Arial" w:eastAsia="Arial" w:hAnsi="Arial"/>
                <w:sz w:val="18"/>
                <w:szCs w:val="18"/>
                <w:color w:val="auto"/>
              </w:rPr>
              <w:t>$ 50,295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52,259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7,035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$226,324</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$ 52,966</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5,985</w:t>
            </w:r>
          </w:p>
        </w:tc>
        <w:tc>
          <w:tcPr>
            <w:tcW w:w="1140" w:type="dxa"/>
            <w:vAlign w:val="bottom"/>
          </w:tcPr>
          <w:p>
            <w:pPr>
              <w:spacing w:after="0"/>
              <w:rPr>
                <w:sz w:val="24"/>
                <w:szCs w:val="24"/>
                <w:color w:val="auto"/>
              </w:rPr>
            </w:pPr>
          </w:p>
        </w:tc>
      </w:tr>
      <w:tr>
        <w:trPr>
          <w:trHeight w:val="59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0"/>
        </w:trPr>
        <w:tc>
          <w:tcPr>
            <w:tcW w:w="1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312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w w:val="90"/>
              </w:rPr>
              <w:t>Nine Months Ended September 30,</w:t>
            </w:r>
          </w:p>
        </w:tc>
        <w:tc>
          <w:tcPr>
            <w:tcW w:w="70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w w:val="84"/>
              </w:rPr>
              <w:t>2006</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9"/>
              </w:rPr>
              <w:t>Metal</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Metal</w:t>
            </w:r>
          </w:p>
        </w:tc>
        <w:tc>
          <w:tcPr>
            <w:tcW w:w="9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6"/>
              </w:rPr>
              <w:t>Precision</w:t>
            </w:r>
          </w:p>
        </w:tc>
        <w:tc>
          <w:tcPr>
            <w:tcW w:w="10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Plastic and</w:t>
            </w:r>
          </w:p>
        </w:tc>
        <w:tc>
          <w:tcPr>
            <w:tcW w:w="8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Bearing</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Precision</w:t>
            </w:r>
          </w:p>
        </w:tc>
        <w:tc>
          <w:tcPr>
            <w:tcW w:w="10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Plastic and</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Bearing</w:t>
            </w:r>
          </w:p>
        </w:tc>
        <w:tc>
          <w:tcPr>
            <w:tcW w:w="9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9"/>
              </w:rPr>
              <w:t>Metal</w:t>
            </w:r>
          </w:p>
        </w:tc>
        <w:tc>
          <w:tcPr>
            <w:tcW w:w="10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1"/>
              </w:rPr>
              <w:t>Rubber</w:t>
            </w:r>
          </w:p>
        </w:tc>
        <w:tc>
          <w:tcPr>
            <w:tcW w:w="8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Com-</w:t>
            </w:r>
          </w:p>
        </w:tc>
        <w:tc>
          <w:tcPr>
            <w:tcW w:w="8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Metal</w:t>
            </w:r>
          </w:p>
        </w:tc>
        <w:tc>
          <w:tcPr>
            <w:tcW w:w="240" w:type="dxa"/>
            <w:vAlign w:val="bottom"/>
          </w:tcPr>
          <w:p>
            <w:pPr>
              <w:spacing w:after="0"/>
              <w:rPr>
                <w:sz w:val="18"/>
                <w:szCs w:val="18"/>
                <w:color w:val="auto"/>
              </w:rPr>
            </w:pPr>
          </w:p>
        </w:tc>
        <w:tc>
          <w:tcPr>
            <w:tcW w:w="10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5"/>
              </w:rPr>
              <w:t>Rubber</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8"/>
          </w:tcPr>
          <w:p>
            <w:pPr>
              <w:spacing w:after="0"/>
              <w:rPr>
                <w:sz w:val="20"/>
                <w:szCs w:val="20"/>
                <w:color w:val="auto"/>
              </w:rPr>
            </w:pPr>
            <w:r>
              <w:rPr>
                <w:rFonts w:ascii="Arial" w:cs="Arial" w:eastAsia="Arial" w:hAnsi="Arial"/>
                <w:sz w:val="18"/>
                <w:szCs w:val="18"/>
                <w:color w:val="auto"/>
                <w:w w:val="93"/>
              </w:rPr>
              <w:t xml:space="preserve">(In Thousands of   </w:t>
            </w:r>
            <w:r>
              <w:rPr>
                <w:rFonts w:ascii="Arial" w:cs="Arial" w:eastAsia="Arial" w:hAnsi="Arial"/>
                <w:sz w:val="18"/>
                <w:szCs w:val="18"/>
                <w:b w:val="1"/>
                <w:bCs w:val="1"/>
                <w:color w:val="auto"/>
                <w:w w:val="93"/>
              </w:rPr>
              <w:t>Components Components Components</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All</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ponents</w:t>
            </w:r>
          </w:p>
        </w:tc>
        <w:tc>
          <w:tcPr>
            <w:tcW w:w="21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7"/>
              </w:rPr>
              <w:t>Components Components</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All</w:t>
            </w:r>
          </w:p>
        </w:tc>
        <w:tc>
          <w:tcPr>
            <w:tcW w:w="0" w:type="dxa"/>
            <w:vAlign w:val="bottom"/>
          </w:tcPr>
          <w:p>
            <w:pPr>
              <w:spacing w:after="0"/>
              <w:rPr>
                <w:sz w:val="1"/>
                <w:szCs w:val="1"/>
                <w:color w:val="auto"/>
              </w:rPr>
            </w:pPr>
          </w:p>
        </w:tc>
      </w:tr>
      <w:tr>
        <w:trPr>
          <w:trHeight w:val="241"/>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9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6"/>
              </w:rPr>
              <w:t>Segment</w:t>
            </w:r>
          </w:p>
        </w:tc>
        <w:tc>
          <w:tcPr>
            <w:tcW w:w="10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Segment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Revenues from</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w w:val="94"/>
              </w:rPr>
              <w:t>external customers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224,373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50,730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39,164</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203,533</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40,908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Segment</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profit (loss)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excluding</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restructuring and</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impairment</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changes</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12,995</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(1,035)</w:t>
            </w:r>
          </w:p>
        </w:tc>
        <w:tc>
          <w:tcPr>
            <w:tcW w:w="4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800" w:type="dxa"/>
            <w:vAlign w:val="bottom"/>
          </w:tcPr>
          <w:p>
            <w:pPr>
              <w:jc w:val="right"/>
              <w:spacing w:after="0"/>
              <w:rPr>
                <w:sz w:val="20"/>
                <w:szCs w:val="20"/>
                <w:color w:val="auto"/>
              </w:rPr>
            </w:pPr>
            <w:r>
              <w:rPr>
                <w:rFonts w:ascii="Arial" w:cs="Arial" w:eastAsia="Arial" w:hAnsi="Arial"/>
                <w:sz w:val="18"/>
                <w:szCs w:val="18"/>
                <w:color w:val="auto"/>
              </w:rPr>
              <w:t>(5,023)</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13,502</w:t>
            </w: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2,380</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(4,534)</w:t>
            </w:r>
          </w:p>
        </w:tc>
        <w:tc>
          <w:tcPr>
            <w:tcW w:w="0" w:type="dxa"/>
            <w:vAlign w:val="bottom"/>
          </w:tcPr>
          <w:p>
            <w:pPr>
              <w:spacing w:after="0"/>
              <w:rPr>
                <w:sz w:val="1"/>
                <w:szCs w:val="1"/>
                <w:color w:val="auto"/>
              </w:rPr>
            </w:pP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Restructuring and</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w w:val="91"/>
              </w:rPr>
              <w:t>impairment charges</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(16,528)</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(5,600)</w:t>
            </w:r>
          </w:p>
        </w:tc>
        <w:tc>
          <w:tcPr>
            <w:tcW w:w="4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40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38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1,904</w:t>
            </w:r>
          </w:p>
        </w:tc>
        <w:tc>
          <w:tcPr>
            <w:tcW w:w="420" w:type="dxa"/>
            <w:vAlign w:val="bottom"/>
          </w:tcPr>
          <w:p>
            <w:pPr>
              <w:spacing w:after="0"/>
              <w:rPr>
                <w:sz w:val="24"/>
                <w:szCs w:val="24"/>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60" w:type="dxa"/>
            <w:vAlign w:val="bottom"/>
            <w:gridSpan w:val="2"/>
          </w:tcPr>
          <w:p>
            <w:pPr>
              <w:spacing w:after="0" w:line="203" w:lineRule="exact"/>
              <w:rPr>
                <w:sz w:val="20"/>
                <w:szCs w:val="20"/>
                <w:color w:val="auto"/>
              </w:rPr>
            </w:pPr>
            <w:r>
              <w:rPr>
                <w:rFonts w:ascii="Arial" w:cs="Arial" w:eastAsia="Arial" w:hAnsi="Arial"/>
                <w:sz w:val="18"/>
                <w:szCs w:val="18"/>
                <w:color w:val="auto"/>
              </w:rPr>
              <w:t>tax impacts</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80"/>
              <w:spacing w:after="0" w:line="196" w:lineRule="exact"/>
              <w:rPr>
                <w:sz w:val="20"/>
                <w:szCs w:val="20"/>
                <w:color w:val="auto"/>
              </w:rPr>
            </w:pPr>
            <w:r>
              <w:rPr>
                <w:rFonts w:ascii="Arial" w:cs="Arial" w:eastAsia="Arial" w:hAnsi="Arial"/>
                <w:sz w:val="18"/>
                <w:szCs w:val="18"/>
                <w:color w:val="auto"/>
                <w:w w:val="95"/>
              </w:rPr>
              <w:t>Net income (loss)</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(3,070)</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(4,731)</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1,686</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(5,157)</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13,502</w:t>
            </w:r>
          </w:p>
        </w:tc>
        <w:tc>
          <w:tcPr>
            <w:tcW w:w="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2,380</w:t>
            </w:r>
          </w:p>
        </w:tc>
        <w:tc>
          <w:tcPr>
            <w:tcW w:w="2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(4,534)</w:t>
            </w:r>
          </w:p>
        </w:tc>
        <w:tc>
          <w:tcPr>
            <w:tcW w:w="0" w:type="dxa"/>
            <w:vAlign w:val="bottom"/>
          </w:tcPr>
          <w:p>
            <w:pPr>
              <w:spacing w:after="0"/>
              <w:rPr>
                <w:sz w:val="1"/>
                <w:szCs w:val="1"/>
                <w:color w:val="auto"/>
              </w:rPr>
            </w:pPr>
          </w:p>
        </w:tc>
      </w:tr>
      <w:tr>
        <w:trPr>
          <w:trHeight w:val="21"/>
        </w:trPr>
        <w:tc>
          <w:tcPr>
            <w:tcW w:w="146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4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229,210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50,295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52,259</w:t>
            </w:r>
          </w:p>
        </w:tc>
        <w:tc>
          <w:tcPr>
            <w:tcW w:w="800" w:type="dxa"/>
            <w:vAlign w:val="bottom"/>
          </w:tcPr>
          <w:p>
            <w:pPr>
              <w:jc w:val="right"/>
              <w:spacing w:after="0"/>
              <w:rPr>
                <w:sz w:val="20"/>
                <w:szCs w:val="20"/>
                <w:color w:val="auto"/>
              </w:rPr>
            </w:pPr>
            <w:r>
              <w:rPr>
                <w:rFonts w:ascii="Arial" w:cs="Arial" w:eastAsia="Arial" w:hAnsi="Arial"/>
                <w:sz w:val="18"/>
                <w:szCs w:val="18"/>
                <w:color w:val="auto"/>
              </w:rPr>
              <w:t>$  7,035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226,324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52,966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Recent Investing Activity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opening balance sheet for the Whirlaway Corporation (“Whirlaway”) acquisition on November 30, 2006 was adjusted during the third quarter. For the nine month period ended September 30, 2007, Goodwill increased by a net $1,246. The increase was from recording a deferred tax liability of $4,047 related to the differences in book and tax basis of fixed assets. This increase was offset by the elimination of tax indemnity liability of $2,667 to the former Whirlaway shareholder related to the tax basis of the fixed assets. Finally, Goodwill decreased by $134 as certain opening balance sheet liabilities were reduced to their proper values partially offset by legal costs related to the acquisition paid during 2007.</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pro-forma financial information shows the net sales, net income, and net income per share for the nine month period ended September 30, 2006, as though the acquisition of Whirlaway occurred at the beginning of 2006.</w:t>
      </w:r>
    </w:p>
    <w:p>
      <w:pPr>
        <w:spacing w:after="0" w:line="16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Nine Months</w:t>
            </w:r>
          </w:p>
        </w:tc>
        <w:tc>
          <w:tcPr>
            <w:tcW w:w="640" w:type="dxa"/>
            <w:vAlign w:val="bottom"/>
          </w:tcPr>
          <w:p>
            <w:pPr>
              <w:spacing w:after="0"/>
              <w:rPr>
                <w:sz w:val="18"/>
                <w:szCs w:val="18"/>
                <w:color w:val="auto"/>
              </w:rPr>
            </w:pPr>
          </w:p>
        </w:tc>
      </w:tr>
      <w:tr>
        <w:trPr>
          <w:trHeight w:val="241"/>
        </w:trPr>
        <w:tc>
          <w:tcPr>
            <w:tcW w:w="3140" w:type="dxa"/>
            <w:vAlign w:val="bottom"/>
          </w:tcPr>
          <w:p>
            <w:pPr>
              <w:spacing w:after="0"/>
              <w:rPr>
                <w:sz w:val="20"/>
                <w:szCs w:val="20"/>
                <w:color w:val="auto"/>
              </w:rPr>
            </w:pPr>
          </w:p>
        </w:tc>
        <w:tc>
          <w:tcPr>
            <w:tcW w:w="25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9"/>
              </w:rPr>
              <w:t>Ended September 30, 2006</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19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2"/>
              </w:rPr>
              <w:t>304,515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12,583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0.72</w:t>
            </w:r>
          </w:p>
        </w:tc>
      </w:tr>
    </w:tbl>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Pensions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 defined benefit pension plan covering the employees at our Eltmann, Germany facility. The benefits are based on the expected years of service; however, as the plan was curtailed in 2006, the plan will no longer incur service costs. The plan is unfunded. There were no prior service costs recognized in the three and nine month periods ended September 30, 2007 and 2006.</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 w:name="page11"/>
    <w:bookmarkEnd w:id="10"/>
    <w:p>
      <w:pPr>
        <w:jc w:val="center"/>
        <w:ind w:right="-1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Pension Cost:</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22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5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18"/>
                <w:szCs w:val="18"/>
                <w:color w:val="auto"/>
              </w:rPr>
            </w:pPr>
          </w:p>
        </w:tc>
        <w:tc>
          <w:tcPr>
            <w:tcW w:w="22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 of Dollars)</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auto"/>
            </w:tcBorders>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Service cost</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27</w:t>
            </w:r>
          </w:p>
        </w:tc>
        <w:tc>
          <w:tcPr>
            <w:tcW w:w="800" w:type="dxa"/>
            <w:vAlign w:val="bottom"/>
          </w:tcPr>
          <w:p>
            <w:pPr>
              <w:spacing w:after="0"/>
              <w:rPr>
                <w:sz w:val="17"/>
                <w:szCs w:val="17"/>
                <w:color w:val="auto"/>
              </w:rPr>
            </w:pPr>
          </w:p>
        </w:tc>
        <w:tc>
          <w:tcPr>
            <w:tcW w:w="60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79</w:t>
            </w:r>
          </w:p>
        </w:tc>
      </w:tr>
      <w:tr>
        <w:trPr>
          <w:trHeight w:val="216"/>
        </w:trPr>
        <w:tc>
          <w:tcPr>
            <w:tcW w:w="4660" w:type="dxa"/>
            <w:vAlign w:val="bottom"/>
            <w:gridSpan w:val="2"/>
          </w:tcPr>
          <w:p>
            <w:pPr>
              <w:ind w:left="114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18"/>
                <w:szCs w:val="18"/>
                <w:color w:val="auto"/>
              </w:rPr>
            </w:pP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60</w:t>
            </w:r>
          </w:p>
        </w:tc>
        <w:tc>
          <w:tcPr>
            <w:tcW w:w="840" w:type="dxa"/>
            <w:vAlign w:val="bottom"/>
          </w:tcPr>
          <w:p>
            <w:pPr>
              <w:spacing w:after="0"/>
              <w:rPr>
                <w:sz w:val="18"/>
                <w:szCs w:val="18"/>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800" w:type="dxa"/>
            <w:vAlign w:val="bottom"/>
          </w:tcPr>
          <w:p>
            <w:pPr>
              <w:spacing w:after="0"/>
              <w:rPr>
                <w:sz w:val="18"/>
                <w:szCs w:val="18"/>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176</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194</w:t>
            </w:r>
          </w:p>
        </w:tc>
      </w:tr>
      <w:tr>
        <w:trPr>
          <w:trHeight w:val="237"/>
        </w:trPr>
        <w:tc>
          <w:tcPr>
            <w:tcW w:w="466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w:t>
            </w: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6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Net periodic pension cost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61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106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310</w:t>
            </w:r>
          </w:p>
        </w:tc>
      </w:tr>
      <w:tr>
        <w:trPr>
          <w:trHeight w:val="21"/>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to contribute approximately $240 to the Eltmann, Germany pension plan in 2007. As of September 30, 2007, approximately $180 of contributions had been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nine months ended September 30, 2007 and 2006:</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1820" w:type="dxa"/>
            <w:vAlign w:val="bottom"/>
          </w:tcPr>
          <w:p>
            <w:pPr>
              <w:spacing w:after="0"/>
              <w:rPr>
                <w:sz w:val="19"/>
                <w:szCs w:val="19"/>
                <w:color w:val="auto"/>
              </w:rPr>
            </w:pPr>
          </w:p>
        </w:tc>
        <w:tc>
          <w:tcPr>
            <w:tcW w:w="30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2740" w:type="dxa"/>
            <w:vAlign w:val="bottom"/>
            <w:gridSpan w:val="3"/>
          </w:tcPr>
          <w:p>
            <w:pPr>
              <w:ind w:left="74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(In Thousands of</w:t>
            </w:r>
          </w:p>
        </w:tc>
        <w:tc>
          <w:tcPr>
            <w:tcW w:w="12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w w:val="86"/>
              </w:rPr>
              <w:t>September 30,</w:t>
            </w:r>
          </w:p>
        </w:tc>
        <w:tc>
          <w:tcPr>
            <w:tcW w:w="6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940" w:type="dxa"/>
            <w:vAlign w:val="bottom"/>
          </w:tcPr>
          <w:p>
            <w:pPr>
              <w:spacing w:after="0"/>
              <w:rPr>
                <w:sz w:val="19"/>
                <w:szCs w:val="19"/>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September 30,</w:t>
            </w:r>
          </w:p>
        </w:tc>
        <w:tc>
          <w:tcPr>
            <w:tcW w:w="6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8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w:t>
            </w:r>
          </w:p>
        </w:tc>
        <w:tc>
          <w:tcPr>
            <w:tcW w:w="1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Beginning balance</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50"/>
              <w:spacing w:after="0" w:line="201" w:lineRule="exact"/>
              <w:rPr>
                <w:sz w:val="20"/>
                <w:szCs w:val="20"/>
                <w:color w:val="auto"/>
              </w:rPr>
            </w:pPr>
            <w:r>
              <w:rPr>
                <w:rFonts w:ascii="Arial" w:cs="Arial" w:eastAsia="Arial" w:hAnsi="Arial"/>
                <w:sz w:val="18"/>
                <w:szCs w:val="18"/>
                <w:color w:val="auto"/>
                <w:w w:val="91"/>
              </w:rPr>
              <w:t>(8,431)</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70"/>
              <w:spacing w:after="0" w:line="201" w:lineRule="exact"/>
              <w:rPr>
                <w:sz w:val="20"/>
                <w:szCs w:val="20"/>
                <w:color w:val="auto"/>
              </w:rPr>
            </w:pPr>
            <w:r>
              <w:rPr>
                <w:rFonts w:ascii="Arial" w:cs="Arial" w:eastAsia="Arial" w:hAnsi="Arial"/>
                <w:sz w:val="18"/>
                <w:szCs w:val="18"/>
                <w:color w:val="auto"/>
                <w:w w:val="98"/>
              </w:rPr>
              <w:t>(7,369)</w:t>
            </w:r>
          </w:p>
        </w:tc>
        <w:tc>
          <w:tcPr>
            <w:tcW w:w="900" w:type="dxa"/>
            <w:vAlign w:val="bottom"/>
          </w:tcPr>
          <w:p>
            <w:pPr>
              <w:ind w:left="760"/>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50"/>
              <w:spacing w:after="0" w:line="201" w:lineRule="exact"/>
              <w:rPr>
                <w:sz w:val="20"/>
                <w:szCs w:val="20"/>
                <w:color w:val="auto"/>
              </w:rPr>
            </w:pPr>
            <w:r>
              <w:rPr>
                <w:rFonts w:ascii="Arial" w:cs="Arial" w:eastAsia="Arial" w:hAnsi="Arial"/>
                <w:sz w:val="18"/>
                <w:szCs w:val="18"/>
                <w:color w:val="auto"/>
                <w:w w:val="94"/>
              </w:rPr>
              <w:t>(8,020)</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91"/>
              </w:rPr>
              <w:t>(6,644)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Amounts accrued</w:t>
            </w:r>
          </w:p>
        </w:tc>
        <w:tc>
          <w:tcPr>
            <w:tcW w:w="1260" w:type="dxa"/>
            <w:vAlign w:val="bottom"/>
          </w:tcPr>
          <w:p>
            <w:pPr>
              <w:spacing w:after="0"/>
              <w:rPr>
                <w:sz w:val="18"/>
                <w:szCs w:val="18"/>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(300)</w:t>
            </w:r>
          </w:p>
        </w:tc>
        <w:tc>
          <w:tcPr>
            <w:tcW w:w="60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(245)</w:t>
            </w:r>
          </w:p>
        </w:tc>
        <w:tc>
          <w:tcPr>
            <w:tcW w:w="900" w:type="dxa"/>
            <w:vAlign w:val="bottom"/>
          </w:tcPr>
          <w:p>
            <w:pPr>
              <w:spacing w:after="0"/>
              <w:rPr>
                <w:sz w:val="18"/>
                <w:szCs w:val="18"/>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(885)</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Payments</w:t>
            </w:r>
          </w:p>
        </w:tc>
        <w:tc>
          <w:tcPr>
            <w:tcW w:w="1260" w:type="dxa"/>
            <w:vAlign w:val="bottom"/>
          </w:tcPr>
          <w:p>
            <w:pPr>
              <w:spacing w:after="0"/>
              <w:rPr>
                <w:sz w:val="18"/>
                <w:szCs w:val="18"/>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729</w:t>
            </w:r>
          </w:p>
        </w:tc>
        <w:tc>
          <w:tcPr>
            <w:tcW w:w="60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(196)</w:t>
            </w:r>
          </w:p>
        </w:tc>
        <w:tc>
          <w:tcPr>
            <w:tcW w:w="900" w:type="dxa"/>
            <w:vAlign w:val="bottom"/>
          </w:tcPr>
          <w:p>
            <w:pPr>
              <w:spacing w:after="0"/>
              <w:rPr>
                <w:sz w:val="18"/>
                <w:szCs w:val="18"/>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1,110</w:t>
            </w: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r>
              <w:rPr>
                <w:rFonts w:ascii="Arial" w:cs="Arial" w:eastAsia="Arial" w:hAnsi="Arial"/>
                <w:sz w:val="18"/>
                <w:szCs w:val="18"/>
                <w:color w:val="auto"/>
              </w:rPr>
              <w:t>Currency impacts</w:t>
            </w:r>
          </w:p>
        </w:tc>
        <w:tc>
          <w:tcPr>
            <w:tcW w:w="1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(423)</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w:t>
            </w: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(630)</w:t>
            </w: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Ending balance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1"/>
              </w:rPr>
              <w:t>(8,425)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(7,748)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4"/>
              </w:rPr>
              <w:t>(8,425)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2006, the Financial Accounting Standards Board (“FASB”) issued Interpretation No. 48 ("FIN 48"), "Accounting for Uncertainty in Income Taxes— 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We adopted FIN 48 on January 1, 2007, and the effects on our consolidated financial position, liquidity, and results of operations were not material. See Note 15 for additional information.</w:t>
      </w:r>
    </w:p>
    <w:p>
      <w:pPr>
        <w:spacing w:after="0" w:line="167"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provides guidance on how to measure assets and liabilities that use fair value. SFAS 157 will apply whenever another US generally accepted accounting principal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may have on our consolidated financial position and results of operations, but do not believe the impact of the adoption will be material.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ind w:left="54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We are currently evaluating the effect SFAS No. 159 will have on our consolidated financial position, liquidity, or results of operations.</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Long-Term Debt and Short-Term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September 30, 2007 and December 31, 2006 consisted of the following:</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September 30, 2007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5715</wp:posOffset>
            </wp:positionV>
            <wp:extent cx="20066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660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ind w:left="1480" w:right="580" w:hanging="323"/>
        <w:spacing w:after="0" w:line="286" w:lineRule="auto"/>
        <w:rPr>
          <w:sz w:val="20"/>
          <w:szCs w:val="20"/>
          <w:color w:val="auto"/>
        </w:rPr>
      </w:pPr>
      <w:r>
        <w:rPr>
          <w:rFonts w:ascii="Arial" w:cs="Arial" w:eastAsia="Arial" w:hAnsi="Arial"/>
          <w:sz w:val="17"/>
          <w:szCs w:val="17"/>
          <w:color w:val="auto"/>
        </w:rPr>
        <w:t>Borrowings under our $135,000 revolving credit facility bearing interest at a floating rate equal to LIBOR (5.23% at September 30, 2007) plus an applicable margin of 0.60 to 0.925, expiring September 20, 2011.</w:t>
      </w:r>
    </w:p>
    <w:p>
      <w:pPr>
        <w:spacing w:after="0" w:line="166" w:lineRule="exact"/>
        <w:rPr>
          <w:sz w:val="20"/>
          <w:szCs w:val="20"/>
          <w:color w:val="auto"/>
        </w:rPr>
      </w:pPr>
    </w:p>
    <w:p>
      <w:pPr>
        <w:ind w:left="1480" w:right="140" w:hanging="323"/>
        <w:spacing w:after="0" w:line="259" w:lineRule="auto"/>
        <w:rPr>
          <w:sz w:val="20"/>
          <w:szCs w:val="20"/>
          <w:color w:val="auto"/>
        </w:rPr>
      </w:pPr>
      <w:r>
        <w:rPr>
          <w:rFonts w:ascii="Arial" w:cs="Arial" w:eastAsia="Arial" w:hAnsi="Arial"/>
          <w:sz w:val="18"/>
          <w:szCs w:val="18"/>
          <w:color w:val="auto"/>
        </w:rPr>
        <w:t>Borrowings under our $40,000 aggregate principal amount of senior notes bearing interest at a fixed rate of 4.89% maturing on April 26, 2014. Annual principal payments of $5,714 begin on April 26, 2008 and extend through the date of maturity.</w:t>
      </w:r>
    </w:p>
    <w:p>
      <w:pPr>
        <w:spacing w:after="0" w:line="187" w:lineRule="exact"/>
        <w:rPr>
          <w:sz w:val="20"/>
          <w:szCs w:val="20"/>
          <w:color w:val="auto"/>
        </w:rPr>
      </w:pPr>
    </w:p>
    <w:p>
      <w:pPr>
        <w:ind w:left="1480" w:right="400" w:hanging="323"/>
        <w:spacing w:after="0" w:line="302" w:lineRule="auto"/>
        <w:rPr>
          <w:sz w:val="20"/>
          <w:szCs w:val="20"/>
          <w:color w:val="auto"/>
        </w:rPr>
      </w:pPr>
      <w:r>
        <w:rPr>
          <w:rFonts w:ascii="Arial" w:cs="Arial" w:eastAsia="Arial" w:hAnsi="Arial"/>
          <w:sz w:val="16"/>
          <w:szCs w:val="16"/>
          <w:color w:val="auto"/>
        </w:rPr>
        <w:t>Long term note payable with customer related to acquiring equipment from customer as part of long term supply agreement. Note carries a 0% rate of interest. Interest on this note has been imputed at a rate of 5.41%. Note is paid down by applying a fixed amount per piece purchased by customer.</w:t>
      </w:r>
    </w:p>
    <w:p>
      <w:pPr>
        <w:spacing w:after="0" w:line="15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debt</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Less current maturities of long-term debt</w:t>
      </w:r>
    </w:p>
    <w:p>
      <w:pPr>
        <w:spacing w:after="0" w:line="225" w:lineRule="exact"/>
        <w:rPr>
          <w:sz w:val="20"/>
          <w:szCs w:val="20"/>
          <w:color w:val="auto"/>
        </w:rPr>
      </w:pPr>
    </w:p>
    <w:p>
      <w:pPr>
        <w:ind w:left="1800" w:right="220" w:hanging="161"/>
        <w:spacing w:after="0" w:line="277" w:lineRule="auto"/>
        <w:rPr>
          <w:sz w:val="20"/>
          <w:szCs w:val="20"/>
          <w:color w:val="auto"/>
        </w:rPr>
      </w:pPr>
      <w:r>
        <w:rPr>
          <w:rFonts w:ascii="Arial" w:cs="Arial" w:eastAsia="Arial" w:hAnsi="Arial"/>
          <w:sz w:val="18"/>
          <w:szCs w:val="18"/>
          <w:color w:val="auto"/>
        </w:rPr>
        <w:t>Long-term debt, excluding current maturities of long-term debt and related party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  64,452</w:t>
      </w:r>
      <w:r>
        <w:rPr>
          <w:sz w:val="20"/>
          <w:szCs w:val="20"/>
          <w:color w:val="auto"/>
        </w:rPr>
        <w:tab/>
      </w:r>
      <w:r>
        <w:rPr>
          <w:rFonts w:ascii="Arial" w:cs="Arial" w:eastAsia="Arial" w:hAnsi="Arial"/>
          <w:sz w:val="17"/>
          <w:szCs w:val="17"/>
          <w:color w:val="auto"/>
        </w:rPr>
        <w:t>$  39,466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6"/>
          <w:szCs w:val="16"/>
          <w:color w:val="auto"/>
        </w:rPr>
        <w:t>40,000</w:t>
      </w:r>
      <w:r>
        <w:rPr>
          <w:sz w:val="20"/>
          <w:szCs w:val="20"/>
          <w:color w:val="auto"/>
        </w:rPr>
        <w:tab/>
      </w:r>
      <w:r>
        <w:rPr>
          <w:rFonts w:ascii="Arial" w:cs="Arial" w:eastAsia="Arial" w:hAnsi="Arial"/>
          <w:sz w:val="16"/>
          <w:szCs w:val="16"/>
          <w:color w:val="auto"/>
        </w:rPr>
        <w:t>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spacing w:after="0"/>
        <w:tabs>
          <w:tab w:leader="none" w:pos="1900" w:val="left"/>
        </w:tabs>
        <w:rPr>
          <w:sz w:val="20"/>
          <w:szCs w:val="20"/>
          <w:color w:val="auto"/>
        </w:rPr>
      </w:pPr>
      <w:r>
        <w:rPr>
          <w:rFonts w:ascii="Arial" w:cs="Arial" w:eastAsia="Arial" w:hAnsi="Arial"/>
          <w:sz w:val="15"/>
          <w:szCs w:val="15"/>
          <w:color w:val="auto"/>
        </w:rPr>
        <w:t>1,213</w:t>
      </w:r>
      <w:r>
        <w:rPr>
          <w:sz w:val="20"/>
          <w:szCs w:val="20"/>
          <w:color w:val="auto"/>
        </w:rPr>
        <w:tab/>
      </w:r>
      <w:r>
        <w:rPr>
          <w:rFonts w:ascii="Arial" w:cs="Arial" w:eastAsia="Arial" w:hAnsi="Arial"/>
          <w:sz w:val="15"/>
          <w:szCs w:val="15"/>
          <w:color w:val="auto"/>
        </w:rPr>
        <w:t>2,096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36830</wp:posOffset>
            </wp:positionV>
            <wp:extent cx="20066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6600" cy="17145"/>
                    </a:xfrm>
                    <a:prstGeom prst="rect">
                      <a:avLst/>
                    </a:prstGeom>
                    <a:noFill/>
                  </pic:spPr>
                </pic:pic>
              </a:graphicData>
            </a:graphic>
          </wp:anchor>
        </w:drawing>
      </w:r>
    </w:p>
    <w:p>
      <w:pPr>
        <w:spacing w:after="0" w:line="267"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16"/>
          <w:szCs w:val="16"/>
          <w:color w:val="auto"/>
        </w:rPr>
        <w:t>105,665</w:t>
      </w:r>
      <w:r>
        <w:rPr>
          <w:sz w:val="20"/>
          <w:szCs w:val="20"/>
          <w:color w:val="auto"/>
        </w:rPr>
        <w:tab/>
      </w:r>
      <w:r>
        <w:rPr>
          <w:rFonts w:ascii="Arial" w:cs="Arial" w:eastAsia="Arial" w:hAnsi="Arial"/>
          <w:sz w:val="16"/>
          <w:szCs w:val="16"/>
          <w:color w:val="auto"/>
        </w:rPr>
        <w:t>81,562</w:t>
      </w:r>
    </w:p>
    <w:p>
      <w:pPr>
        <w:spacing w:after="0" w:line="248" w:lineRule="exact"/>
        <w:rPr>
          <w:sz w:val="20"/>
          <w:szCs w:val="20"/>
          <w:color w:val="auto"/>
        </w:rPr>
      </w:pPr>
    </w:p>
    <w:p>
      <w:pPr>
        <w:ind w:left="300"/>
        <w:spacing w:after="0"/>
        <w:tabs>
          <w:tab w:leader="none" w:pos="2020" w:val="left"/>
        </w:tabs>
        <w:rPr>
          <w:sz w:val="20"/>
          <w:szCs w:val="20"/>
          <w:color w:val="auto"/>
        </w:rPr>
      </w:pPr>
      <w:r>
        <w:rPr>
          <w:rFonts w:ascii="Arial" w:cs="Arial" w:eastAsia="Arial" w:hAnsi="Arial"/>
          <w:sz w:val="16"/>
          <w:szCs w:val="16"/>
          <w:color w:val="auto"/>
        </w:rPr>
        <w:t>8,151</w:t>
      </w:r>
      <w:r>
        <w:rPr>
          <w:sz w:val="20"/>
          <w:szCs w:val="20"/>
          <w:color w:val="auto"/>
        </w:rPr>
        <w:tab/>
      </w:r>
      <w:r>
        <w:rPr>
          <w:rFonts w:ascii="Arial" w:cs="Arial" w:eastAsia="Arial" w:hAnsi="Arial"/>
          <w:sz w:val="16"/>
          <w:szCs w:val="16"/>
          <w:color w:val="auto"/>
        </w:rPr>
        <w:t>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29210</wp:posOffset>
            </wp:positionV>
            <wp:extent cx="20066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660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97,514</w:t>
      </w:r>
      <w:r>
        <w:rPr>
          <w:sz w:val="20"/>
          <w:szCs w:val="20"/>
          <w:color w:val="auto"/>
        </w:rPr>
        <w:tab/>
      </w:r>
      <w:r>
        <w:rPr>
          <w:rFonts w:ascii="Arial" w:cs="Arial" w:eastAsia="Arial" w:hAnsi="Arial"/>
          <w:sz w:val="16"/>
          <w:szCs w:val="16"/>
          <w:color w:val="auto"/>
        </w:rPr>
        <w:t>$ 80,711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14605</wp:posOffset>
            </wp:positionV>
            <wp:extent cx="2006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06600"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40640</wp:posOffset>
            </wp:positionV>
            <wp:extent cx="2006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7240" w:space="720"/>
            <w:col w:w="3460"/>
          </w:cols>
          <w:pgMar w:left="240" w:top="121" w:right="239" w:bottom="1440" w:gutter="0" w:footer="0" w:header="0"/>
          <w:type w:val="continuous"/>
        </w:sectPr>
      </w:pPr>
    </w:p>
    <w:p>
      <w:pPr>
        <w:jc w:val="both"/>
        <w:ind w:right="40"/>
        <w:spacing w:after="0" w:line="264" w:lineRule="auto"/>
        <w:rPr>
          <w:sz w:val="20"/>
          <w:szCs w:val="20"/>
          <w:color w:val="auto"/>
        </w:rPr>
      </w:pPr>
      <w:r>
        <w:rPr>
          <w:rFonts w:ascii="Arial" w:cs="Arial" w:eastAsia="Arial" w:hAnsi="Arial"/>
          <w:sz w:val="18"/>
          <w:szCs w:val="18"/>
          <w:color w:val="auto"/>
        </w:rPr>
        <w:t>On May 30, 2007, we entered into an agreement to amend our $90,000 credit facility to increase the total commitment from $90,000 to $135,000. Other than the increase in the total commitment, the other terms of the credit facility remained substantially the same. The Company incurred $114 of cost related to this amendment which has been capitalized.</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increase in borrowings under the $135,000 credit facility is related primarily to the payment of $18,600 in related party notes payable in connection with the Whirlaway acquisition. As of September 30, 2007, $1,222 of capitalized loan origination cost, net of amortization, for both facilities was recorded on the balance sheet within other assets and additions are presented in the Financing Activities section of the Statements of Cash Flows.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received an amendment to the $135,000 credit facility, retroactive to June 30, 2007, that amends the definitions of certain components of the financial covenant calculations to exclude the negative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ind w:left="54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impact of non-cash restructuring and impairment charges.</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As a result of the Company’s cash management system including all U.S. operations, checks issued but not presented to the banks for payment may create negative book cash balances. Such negative balances are included in accounts payable and totaled $878 and $784 as of September 30, 2007 and December 31, 2006, respectively, with the change in the balances reported in the Financing Activities section of the Consolidated Statements of Cash Flows.</w:t>
      </w:r>
    </w:p>
    <w:p>
      <w:pPr>
        <w:spacing w:after="0" w:line="14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changes in the carrying amount of goodwill for the nine month period ended September 30, 2007 and the twelve month period ended December 31, 2006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1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Plastic and</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Precision Metal</w:t>
            </w:r>
          </w:p>
        </w:tc>
        <w:tc>
          <w:tcPr>
            <w:tcW w:w="14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1"/>
              </w:rPr>
              <w:t>Rubber</w:t>
            </w:r>
          </w:p>
        </w:tc>
        <w:tc>
          <w:tcPr>
            <w:tcW w:w="14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3"/>
              </w:rPr>
              <w:t>Metal Bearing</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7"/>
              </w:rPr>
              <w:t>Components</w:t>
            </w:r>
          </w:p>
        </w:tc>
        <w:tc>
          <w:tcPr>
            <w:tcW w:w="14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Components</w:t>
            </w:r>
          </w:p>
        </w:tc>
        <w:tc>
          <w:tcPr>
            <w:tcW w:w="14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9"/>
              </w:rPr>
              <w:t>Components</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of Dollars)</w:t>
            </w:r>
          </w:p>
        </w:tc>
        <w:tc>
          <w:tcPr>
            <w:tcW w:w="15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6"/>
              </w:rPr>
              <w:t>Segment</w:t>
            </w:r>
          </w:p>
        </w:tc>
        <w:tc>
          <w:tcPr>
            <w:tcW w:w="14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6"/>
              </w:rPr>
              <w:t>Segment</w:t>
            </w:r>
          </w:p>
        </w:tc>
        <w:tc>
          <w:tcPr>
            <w:tcW w:w="14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86"/>
              </w:rPr>
              <w:t>Segment</w:t>
            </w:r>
          </w:p>
        </w:tc>
        <w:tc>
          <w:tcPr>
            <w:tcW w:w="10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Balance as of January 1, 2006</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center"/>
              <w:ind w:left="430"/>
              <w:spacing w:after="0" w:line="201"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25,755</w:t>
            </w:r>
          </w:p>
        </w:tc>
        <w:tc>
          <w:tcPr>
            <w:tcW w:w="480" w:type="dxa"/>
            <w:vAlign w:val="bottom"/>
          </w:tcPr>
          <w:p>
            <w:pPr>
              <w:spacing w:after="0"/>
              <w:rPr>
                <w:sz w:val="17"/>
                <w:szCs w:val="17"/>
                <w:color w:val="auto"/>
              </w:rPr>
            </w:pPr>
          </w:p>
        </w:tc>
        <w:tc>
          <w:tcPr>
            <w:tcW w:w="180" w:type="dxa"/>
            <w:vAlign w:val="bottom"/>
          </w:tcPr>
          <w:p>
            <w:pPr>
              <w:jc w:val="center"/>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15,893</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41,648</w:t>
            </w: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Goodwill acquired</w:t>
            </w: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2,352</w:t>
            </w: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2,352</w:t>
            </w:r>
          </w:p>
        </w:tc>
      </w:tr>
      <w:tr>
        <w:trPr>
          <w:trHeight w:val="237"/>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Currency impacts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2,147</w:t>
            </w: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Balance as of December 31, 2006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2,352</w:t>
            </w:r>
          </w:p>
        </w:tc>
        <w:tc>
          <w:tcPr>
            <w:tcW w:w="7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25,755</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18,040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46,147</w:t>
            </w:r>
          </w:p>
        </w:tc>
      </w:tr>
      <w:tr>
        <w:trPr>
          <w:trHeight w:val="21"/>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11"/>
        </w:trPr>
        <w:tc>
          <w:tcPr>
            <w:tcW w:w="3700" w:type="dxa"/>
            <w:vAlign w:val="bottom"/>
            <w:gridSpan w:val="2"/>
          </w:tcPr>
          <w:p>
            <w:pPr>
              <w:spacing w:after="0"/>
              <w:rPr>
                <w:sz w:val="20"/>
                <w:szCs w:val="20"/>
                <w:color w:val="auto"/>
              </w:rPr>
            </w:pPr>
            <w:r>
              <w:rPr>
                <w:rFonts w:ascii="Arial" w:cs="Arial" w:eastAsia="Arial" w:hAnsi="Arial"/>
                <w:sz w:val="18"/>
                <w:szCs w:val="18"/>
                <w:color w:val="auto"/>
              </w:rPr>
              <w:t>Balance as of January 1, 2007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2,352</w:t>
            </w:r>
          </w:p>
        </w:tc>
        <w:tc>
          <w:tcPr>
            <w:tcW w:w="740" w:type="dxa"/>
            <w:vAlign w:val="bottom"/>
          </w:tcPr>
          <w:p>
            <w:pPr>
              <w:jc w:val="center"/>
              <w:ind w:left="3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25,755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50"/>
              <w:spacing w:after="0"/>
              <w:rPr>
                <w:sz w:val="20"/>
                <w:szCs w:val="20"/>
                <w:color w:val="auto"/>
              </w:rPr>
            </w:pPr>
            <w:r>
              <w:rPr>
                <w:rFonts w:ascii="Arial" w:cs="Arial" w:eastAsia="Arial" w:hAnsi="Arial"/>
                <w:sz w:val="18"/>
                <w:szCs w:val="18"/>
                <w:color w:val="auto"/>
              </w:rPr>
              <w:t>18,040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46,147</w:t>
            </w: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Adjustment to the purchase price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700" w:type="dxa"/>
            <w:vAlign w:val="bottom"/>
            <w:gridSpan w:val="2"/>
          </w:tcPr>
          <w:p>
            <w:pPr>
              <w:ind w:left="400"/>
              <w:spacing w:after="0"/>
              <w:rPr>
                <w:sz w:val="20"/>
                <w:szCs w:val="20"/>
                <w:color w:val="auto"/>
              </w:rPr>
            </w:pPr>
            <w:r>
              <w:rPr>
                <w:rFonts w:ascii="Arial" w:cs="Arial" w:eastAsia="Arial" w:hAnsi="Arial"/>
                <w:sz w:val="18"/>
                <w:szCs w:val="18"/>
                <w:color w:val="auto"/>
              </w:rPr>
              <w:t>allocation</w:t>
            </w:r>
          </w:p>
        </w:tc>
        <w:tc>
          <w:tcPr>
            <w:tcW w:w="9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1,246</w:t>
            </w: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Goodwill impaired</w:t>
            </w:r>
          </w:p>
        </w:tc>
        <w:tc>
          <w:tcPr>
            <w:tcW w:w="9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18"/>
                <w:szCs w:val="18"/>
                <w:color w:val="auto"/>
                <w:w w:val="89"/>
              </w:rPr>
              <w:t>(10,016)</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(10,016)</w:t>
            </w:r>
          </w:p>
        </w:tc>
      </w:tr>
      <w:tr>
        <w:trPr>
          <w:trHeight w:val="237"/>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Currency impacts</w:t>
            </w:r>
          </w:p>
        </w:tc>
        <w:tc>
          <w:tcPr>
            <w:tcW w:w="9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w w:val="93"/>
              </w:rPr>
              <w:t>1,133</w:t>
            </w: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Balance as of September 30, 2007</w:t>
            </w:r>
          </w:p>
        </w:tc>
        <w:tc>
          <w:tcPr>
            <w:tcW w:w="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3,598</w:t>
            </w:r>
          </w:p>
        </w:tc>
        <w:tc>
          <w:tcPr>
            <w:tcW w:w="740" w:type="dxa"/>
            <w:vAlign w:val="bottom"/>
            <w:tcBorders>
              <w:top w:val="single" w:sz="8" w:color="auto"/>
              <w:bottom w:val="single" w:sz="8" w:color="auto"/>
            </w:tcBorders>
          </w:tcPr>
          <w:p>
            <w:pPr>
              <w:jc w:val="center"/>
              <w:ind w:left="3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25,755</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9,157</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38,510</w:t>
            </w:r>
          </w:p>
        </w:tc>
      </w:tr>
      <w:tr>
        <w:trPr>
          <w:trHeight w:val="21"/>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$1,246 adjustment to the purchase price allocation in the Precision Metal Components Segment during the nine months ended September 30, 2007 related to recording a deferred tax liability for the difference in book and tax basis of fixed assets ($4,047) offset by the elimination of a tax indemnity to the former shareholder of Whirlaway related to the tax basis of the fixed assets ($2,667). Additionally, there were legal costs paid subsequent to the year ended December 31, 2006 for the acquisition of Whirlaway offset by adjustments to certain beginning liability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goodwill impairment at our Metal Bearing Components Segment related to the decision to restructure the European operations of this segment (see Note 2). Accordingly, the goodwill was tested for impairment at locations affected by the planned restructuring using a present value of future expected cash flows method performed pursuant to the provision of SFAS 142. The implied fair value of the goodwill was less than the carrying amount of the goodwill at one European reporting unit and an impairment charge of $10,016 was included within the restructuring and impairment charges of the Consolidated Statements of Income.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4700" w:type="dxa"/>
            <w:vAlign w:val="bottom"/>
            <w:gridSpan w:val="2"/>
          </w:tcPr>
          <w:p>
            <w:pPr>
              <w:ind w:left="260"/>
              <w:spacing w:after="0"/>
              <w:rPr>
                <w:sz w:val="20"/>
                <w:szCs w:val="20"/>
                <w:color w:val="auto"/>
              </w:rPr>
            </w:pPr>
            <w:r>
              <w:rPr>
                <w:rFonts w:ascii="Arial" w:cs="Arial" w:eastAsia="Arial" w:hAnsi="Arial"/>
                <w:sz w:val="18"/>
                <w:szCs w:val="18"/>
                <w:b w:val="1"/>
                <w:bCs w:val="1"/>
                <w:color w:val="auto"/>
              </w:rPr>
              <w:t>Intangible assets, net of amortization</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57"/>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Precision Metal</w:t>
            </w:r>
          </w:p>
        </w:tc>
        <w:tc>
          <w:tcPr>
            <w:tcW w:w="560" w:type="dxa"/>
            <w:vAlign w:val="bottom"/>
          </w:tcPr>
          <w:p>
            <w:pPr>
              <w:spacing w:after="0"/>
              <w:rPr>
                <w:sz w:val="24"/>
                <w:szCs w:val="24"/>
                <w:color w:val="auto"/>
              </w:rPr>
            </w:pPr>
          </w:p>
        </w:tc>
        <w:tc>
          <w:tcPr>
            <w:tcW w:w="174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93"/>
              </w:rPr>
              <w:t>Metal Bearing</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Components</w:t>
            </w:r>
          </w:p>
        </w:tc>
        <w:tc>
          <w:tcPr>
            <w:tcW w:w="560" w:type="dxa"/>
            <w:vAlign w:val="bottom"/>
          </w:tcPr>
          <w:p>
            <w:pPr>
              <w:spacing w:after="0"/>
              <w:rPr>
                <w:sz w:val="18"/>
                <w:szCs w:val="18"/>
                <w:color w:val="auto"/>
              </w:rPr>
            </w:pPr>
          </w:p>
        </w:tc>
        <w:tc>
          <w:tcPr>
            <w:tcW w:w="174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87"/>
              </w:rPr>
              <w:t>Components</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1"/>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Segment</w:t>
            </w: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Total</w:t>
            </w:r>
          </w:p>
        </w:tc>
        <w:tc>
          <w:tcPr>
            <w:tcW w:w="420" w:type="dxa"/>
            <w:vAlign w:val="bottom"/>
            <w:tcBorders>
              <w:bottom w:val="single" w:sz="8" w:color="auto"/>
            </w:tcBorders>
          </w:tcPr>
          <w:p>
            <w:pPr>
              <w:spacing w:after="0"/>
              <w:rPr>
                <w:sz w:val="20"/>
                <w:szCs w:val="20"/>
                <w:color w:val="auto"/>
              </w:rPr>
            </w:pPr>
          </w:p>
        </w:tc>
      </w:tr>
      <w:tr>
        <w:trPr>
          <w:trHeight w:val="202"/>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Balance as of January 1, 2006</w:t>
            </w:r>
          </w:p>
        </w:tc>
        <w:tc>
          <w:tcPr>
            <w:tcW w:w="134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7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  474</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474</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Acquisition of intangibles</w:t>
            </w:r>
          </w:p>
        </w:tc>
        <w:tc>
          <w:tcPr>
            <w:tcW w:w="1900" w:type="dxa"/>
            <w:vAlign w:val="bottom"/>
            <w:gridSpan w:val="3"/>
          </w:tcPr>
          <w:p>
            <w:pPr>
              <w:jc w:val="right"/>
              <w:ind w:right="310"/>
              <w:spacing w:after="0"/>
              <w:rPr>
                <w:sz w:val="20"/>
                <w:szCs w:val="20"/>
                <w:color w:val="auto"/>
              </w:rPr>
            </w:pPr>
            <w:r>
              <w:rPr>
                <w:rFonts w:ascii="Arial" w:cs="Arial" w:eastAsia="Arial" w:hAnsi="Arial"/>
                <w:sz w:val="18"/>
                <w:szCs w:val="18"/>
                <w:color w:val="auto"/>
              </w:rPr>
              <w:t>7,180</w:t>
            </w:r>
          </w:p>
        </w:tc>
        <w:tc>
          <w:tcPr>
            <w:tcW w:w="9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1,855</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9,035</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900" w:type="dxa"/>
            <w:vAlign w:val="bottom"/>
            <w:gridSpan w:val="3"/>
          </w:tcPr>
          <w:p>
            <w:pPr>
              <w:jc w:val="right"/>
              <w:ind w:right="310"/>
              <w:spacing w:after="0"/>
              <w:rPr>
                <w:sz w:val="20"/>
                <w:szCs w:val="20"/>
                <w:color w:val="auto"/>
              </w:rPr>
            </w:pPr>
            <w:r>
              <w:rPr>
                <w:rFonts w:ascii="Arial" w:cs="Arial" w:eastAsia="Arial" w:hAnsi="Arial"/>
                <w:sz w:val="18"/>
                <w:szCs w:val="18"/>
                <w:color w:val="auto"/>
              </w:rPr>
              <w:t>(39)</w:t>
            </w:r>
          </w:p>
        </w:tc>
        <w:tc>
          <w:tcPr>
            <w:tcW w:w="9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(402)</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(441)</w:t>
            </w:r>
          </w:p>
        </w:tc>
      </w:tr>
      <w:tr>
        <w:trPr>
          <w:trHeight w:val="237"/>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Currency impacts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163</w:t>
            </w: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Balance as of December 31, 2006</w:t>
            </w:r>
          </w:p>
        </w:tc>
        <w:tc>
          <w:tcPr>
            <w:tcW w:w="19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$ 7,141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2,090</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$ 9,231</w:t>
            </w:r>
          </w:p>
        </w:tc>
      </w:tr>
      <w:tr>
        <w:trPr>
          <w:trHeight w:val="21"/>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411"/>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Balance as of January 1, 2007</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7,141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2,090</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9,231</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Acquisition of intangibles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173</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9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(267)</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(621)</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Currency impacts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(5,600)</w:t>
            </w:r>
          </w:p>
        </w:tc>
        <w:tc>
          <w:tcPr>
            <w:tcW w:w="17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(2,039)</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(7,639)</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Balance as of September 30, 2007</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1,187</w:t>
            </w:r>
          </w:p>
        </w:tc>
      </w:tr>
      <w:tr>
        <w:trPr>
          <w:trHeight w:val="21"/>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intangible assets within the Precision Metal Components Segment, the majority of the value is a customer relationship intangible with an estimated fair value of $1,012. This intangible asset has an estimated useful life of 10 years and $259 of amortization expense was recorded in 2007. The remaining balance is made up of a covenant not to compete of $150 and a favorable leasehold interest of $130. These items are amortizable over two and two and a half years, respectively, and $56 and $39 in amortization expense was recorded in 2007. The accumulated amortization related to all of these intangible assets at September 30, 2007 was $393. Additionally, in the Precision Metal Components Segment is an intangible asset not subject to amortization of $900 related to the value of the trade names of Whirlaway. During the third quarter of 2007, we recorded $5,600 to impair the customer relationship intangible asset. Given the recent volatility of customer orders and lower than expected sales in 2007, we impaired the customer relationship intangible asset to levels supported by updated expected future cash flows pursuant to SFAS 144. The impairment charge was included with Restructuring and impairment charges line of the Consolidated Statements of Income.</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intangible asset within the Metal Bearing Components Segment was a relationship intangible asset related to the SNR purchase agreement and related supply agreement. This intangible asset was originally subject to amortization over approximately 5 years and related amortization expense was originally calculated to approximate $500 for each of the five years. For the nine month period ended September 30, 2007, the amortization expense totaled $267. At June 30, 2007, the net value of this intangible asset of $2,039 was deemed to be fully impaired as a result of the European restructuring (see Note 2). The fair value was determined using a present value of expected future cash flows method pursuant to SFAS 144 and the impairment charge was included within restructuring and impairment charges of the Consolidated Statements of Income.</w:t>
      </w:r>
    </w:p>
    <w:p>
      <w:pPr>
        <w:spacing w:after="0" w:line="1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Stock Compensation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three and nine month periods ended September 30, 2007 and 2006, approximately $317 and $682 for 2007 and $116 and $321 for 2006, respectively, of compensation expense was recognized in selling, general and administrative expense for all share-based awards. On March 1, 2007 and May 25, 2007, we granted 30,000 and 161,500 options, respectively, to directors and certain employees of the Company. The fair value of the options cannot be determined by market value as our options are not traded in an open market. Accordingly, a financial pricing model is utilized to determine fair value. The Company utilizes the Black-Scholes model which relies on certain assumptions to estimate an option's fair value.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2007: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Weighted-</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74"/>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Remaining</w:t>
            </w:r>
          </w:p>
        </w:tc>
        <w:tc>
          <w:tcPr>
            <w:tcW w:w="1260" w:type="dxa"/>
            <w:vAlign w:val="bottom"/>
            <w:gridSpan w:val="2"/>
          </w:tcPr>
          <w:p>
            <w:pPr>
              <w:jc w:val="center"/>
              <w:ind w:right="74"/>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Contractual</w:t>
            </w:r>
          </w:p>
        </w:tc>
        <w:tc>
          <w:tcPr>
            <w:tcW w:w="1260" w:type="dxa"/>
            <w:vAlign w:val="bottom"/>
            <w:gridSpan w:val="2"/>
          </w:tcPr>
          <w:p>
            <w:pPr>
              <w:jc w:val="center"/>
              <w:ind w:right="74"/>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Options</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Shares (000’s)</w:t>
            </w:r>
          </w:p>
        </w:tc>
        <w:tc>
          <w:tcPr>
            <w:tcW w:w="8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0"/>
              </w:rPr>
              <w:t>Price</w:t>
            </w:r>
          </w:p>
        </w:tc>
        <w:tc>
          <w:tcPr>
            <w:tcW w:w="5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5"/>
              </w:rPr>
              <w:t>Term</w:t>
            </w:r>
          </w:p>
        </w:tc>
        <w:tc>
          <w:tcPr>
            <w:tcW w:w="126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8"/>
                <w:szCs w:val="18"/>
                <w:b w:val="1"/>
                <w:bCs w:val="1"/>
                <w:color w:val="auto"/>
                <w:w w:val="92"/>
              </w:rPr>
              <w:t>($000)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Outstanding at January 1, 2007</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1,452</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9.81</w:t>
            </w:r>
          </w:p>
        </w:tc>
        <w:tc>
          <w:tcPr>
            <w:tcW w:w="1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12.05</w:t>
            </w: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10.95</w:t>
            </w: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12.37</w:t>
            </w:r>
          </w:p>
        </w:tc>
        <w:tc>
          <w:tcPr>
            <w:tcW w:w="1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80" w:type="dxa"/>
            <w:vAlign w:val="bottom"/>
            <w:gridSpan w:val="2"/>
          </w:tcPr>
          <w:p>
            <w:pPr>
              <w:spacing w:after="0"/>
              <w:rPr>
                <w:sz w:val="20"/>
                <w:szCs w:val="20"/>
                <w:color w:val="auto"/>
              </w:rPr>
            </w:pPr>
            <w:r>
              <w:rPr>
                <w:rFonts w:ascii="Arial" w:cs="Arial" w:eastAsia="Arial" w:hAnsi="Arial"/>
                <w:sz w:val="18"/>
                <w:szCs w:val="18"/>
                <w:color w:val="auto"/>
              </w:rPr>
              <w:t>Outstanding at September 30, 2007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9.93</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5.76</w:t>
            </w:r>
          </w:p>
        </w:tc>
        <w:tc>
          <w:tcPr>
            <w:tcW w:w="6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8"/>
                <w:szCs w:val="18"/>
                <w:color w:val="auto"/>
                <w:w w:val="91"/>
              </w:rPr>
              <w:t>(176)</w:t>
            </w:r>
            <w:r>
              <w:rPr>
                <w:rFonts w:ascii="Arial" w:cs="Arial" w:eastAsia="Arial" w:hAnsi="Arial"/>
                <w:sz w:val="29"/>
                <w:szCs w:val="29"/>
                <w:color w:val="auto"/>
                <w:w w:val="91"/>
                <w:vertAlign w:val="superscript"/>
              </w:rPr>
              <w:t>(1)</w:t>
            </w:r>
          </w:p>
        </w:tc>
        <w:tc>
          <w:tcPr>
            <w:tcW w:w="0" w:type="dxa"/>
            <w:vAlign w:val="bottom"/>
          </w:tcPr>
          <w:p>
            <w:pPr>
              <w:spacing w:after="0"/>
              <w:rPr>
                <w:sz w:val="1"/>
                <w:szCs w:val="1"/>
                <w:color w:val="auto"/>
              </w:rPr>
            </w:pPr>
          </w:p>
        </w:tc>
      </w:tr>
      <w:tr>
        <w:trPr>
          <w:trHeight w:val="21"/>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2007</w:t>
            </w: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80" w:type="dxa"/>
            <w:vAlign w:val="bottom"/>
            <w:gridSpan w:val="2"/>
            <w:vMerge w:val="continue"/>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9.51</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4.75</w:t>
            </w:r>
          </w:p>
        </w:tc>
        <w:tc>
          <w:tcPr>
            <w:tcW w:w="6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7"/>
                <w:szCs w:val="17"/>
                <w:color w:val="auto"/>
              </w:rPr>
              <w:t>374</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Intrinsic value is the amount by which the market price of the stock exceeds the weighted average exercise price of the options at September 30, 2007.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unrecognized compensation cost before tax for these awards at September 30, 2007 and 2006 total approximately $47 and $215, respectively, to be recognized over approximately one and two years, respectively. As of September 30, 2007, the actual cumulative forfeiture rate of the awards granted was approximately 10%. Below is a summary of the status of the non-vested restricted stock as of September 30, 2007 and changes during the nine month period ended September 30, 2007:</w:t>
      </w:r>
    </w:p>
    <w:p>
      <w:pPr>
        <w:spacing w:after="0" w:line="183"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Weighted-</w:t>
      </w:r>
    </w:p>
    <w:p>
      <w:pPr>
        <w:spacing w:after="0" w:line="27" w:lineRule="exact"/>
        <w:rPr>
          <w:sz w:val="20"/>
          <w:szCs w:val="20"/>
          <w:color w:val="auto"/>
        </w:rPr>
      </w:pPr>
    </w:p>
    <w:p>
      <w:pPr>
        <w:ind w:left="6740"/>
        <w:spacing w:after="0"/>
        <w:tabs>
          <w:tab w:leader="none" w:pos="836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Average Grant-</w:t>
      </w:r>
    </w:p>
    <w:p>
      <w:pPr>
        <w:spacing w:after="0" w:line="9" w:lineRule="exact"/>
        <w:rPr>
          <w:sz w:val="20"/>
          <w:szCs w:val="20"/>
          <w:color w:val="auto"/>
        </w:rPr>
      </w:pPr>
    </w:p>
    <w:p>
      <w:pPr>
        <w:ind w:left="6740"/>
        <w:spacing w:after="0"/>
        <w:tabs>
          <w:tab w:leader="none" w:pos="8360" w:val="left"/>
        </w:tabs>
        <w:rPr>
          <w:sz w:val="20"/>
          <w:szCs w:val="20"/>
          <w:color w:val="auto"/>
        </w:rPr>
      </w:pPr>
      <w:r>
        <w:rPr>
          <w:rFonts w:ascii="Arial" w:cs="Arial" w:eastAsia="Arial" w:hAnsi="Arial"/>
          <w:sz w:val="18"/>
          <w:szCs w:val="18"/>
          <w:b w:val="1"/>
          <w:bCs w:val="1"/>
          <w:color w:val="auto"/>
        </w:rPr>
        <w:t>(000’s)</w:t>
      </w:r>
      <w:r>
        <w:rPr>
          <w:sz w:val="20"/>
          <w:szCs w:val="20"/>
          <w:color w:val="auto"/>
        </w:rPr>
        <w:tab/>
      </w:r>
      <w:r>
        <w:rPr>
          <w:rFonts w:ascii="Arial" w:cs="Arial" w:eastAsia="Arial" w:hAnsi="Arial"/>
          <w:sz w:val="18"/>
          <w:szCs w:val="18"/>
          <w:b w:val="1"/>
          <w:bCs w:val="1"/>
          <w:color w:val="auto"/>
        </w:rPr>
        <w: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Non-vested at January 1, 2007</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Non-vested at September 30, 2007</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jc w:val="right"/>
              <w:ind w:right="930"/>
              <w:spacing w:after="0"/>
              <w:rPr>
                <w:sz w:val="20"/>
                <w:szCs w:val="20"/>
                <w:color w:val="auto"/>
              </w:rPr>
            </w:pPr>
            <w:r>
              <w:rPr>
                <w:rFonts w:ascii="Arial" w:cs="Arial" w:eastAsia="Arial" w:hAnsi="Arial"/>
                <w:sz w:val="18"/>
                <w:szCs w:val="18"/>
                <w:color w:val="auto"/>
              </w:rPr>
              <w:t>33</w:t>
            </w:r>
          </w:p>
        </w:tc>
        <w:tc>
          <w:tcPr>
            <w:tcW w:w="1560" w:type="dxa"/>
            <w:vAlign w:val="bottom"/>
          </w:tcPr>
          <w:p>
            <w:pPr>
              <w:jc w:val="right"/>
              <w:spacing w:after="0"/>
              <w:rPr>
                <w:sz w:val="20"/>
                <w:szCs w:val="20"/>
                <w:color w:val="auto"/>
              </w:rPr>
            </w:pPr>
            <w:r>
              <w:rPr>
                <w:rFonts w:ascii="Arial" w:cs="Arial" w:eastAsia="Arial" w:hAnsi="Arial"/>
                <w:sz w:val="18"/>
                <w:szCs w:val="18"/>
                <w:color w:val="auto"/>
              </w:rPr>
              <w:t>$ 12.70</w:t>
            </w:r>
          </w:p>
        </w:tc>
      </w:tr>
      <w:tr>
        <w:trPr>
          <w:trHeight w:val="216"/>
        </w:trPr>
        <w:tc>
          <w:tcPr>
            <w:tcW w:w="240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tcPr>
          <w:p>
            <w:pPr>
              <w:jc w:val="right"/>
              <w:ind w:right="930"/>
              <w:spacing w:after="0"/>
              <w:rPr>
                <w:sz w:val="20"/>
                <w:szCs w:val="20"/>
                <w:color w:val="auto"/>
              </w:rPr>
            </w:pPr>
            <w:r>
              <w:rPr>
                <w:rFonts w:ascii="Arial" w:cs="Arial" w:eastAsia="Arial" w:hAnsi="Arial"/>
                <w:sz w:val="18"/>
                <w:szCs w:val="18"/>
                <w:color w:val="auto"/>
              </w:rPr>
              <w:t>(15)</w:t>
            </w:r>
          </w:p>
        </w:tc>
        <w:tc>
          <w:tcPr>
            <w:tcW w:w="156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37"/>
        </w:trPr>
        <w:tc>
          <w:tcPr>
            <w:tcW w:w="24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r>
      <w:tr>
        <w:trPr>
          <w:trHeight w:val="216"/>
        </w:trPr>
        <w:tc>
          <w:tcPr>
            <w:tcW w:w="24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$ 12.70</w:t>
            </w:r>
          </w:p>
        </w:tc>
      </w:tr>
      <w:tr>
        <w:trPr>
          <w:trHeight w:val="21"/>
        </w:trPr>
        <w:tc>
          <w:tcPr>
            <w:tcW w:w="2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00" w:space="720"/>
            <w:col w:w="510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Long term Incentive Plan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29, 2007, the Company granted certain directors and other key employees an award of 151,500 performance units pursuant to the NN, Inc. 2005 Incentive Plan. Each unit is equal to one share of NN common stock. The award entitles the grantee to earn in a range from 90% to 150% of the total number of units based upon achieving earnings per share and return on capital employed targets over a defined performance cycle. The value of the performance units is based on the grant date fair value of one share of NN common stock or $11.80 per unit. The performance period is fiscal years 2007, 2008 and 2009 and the shares vest on December 31, 2009. There was $113 of compensation expense recognized during the three and nine months ended September 30, 2007 related to these performance units and $1,018 of unrecognized compensation cost, before tax to be recognized over approximately two years.</w:t>
      </w:r>
    </w:p>
    <w:p>
      <w:pPr>
        <w:spacing w:after="0" w:line="16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2006, we completed a sale of excess land and two buildings at our Pinerolo, Italy facility. The net book value of this land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buildings was $1,013 and was classified as held for sale at December 31, 2005. The proceeds from the sale were $2,804, resulting in a pre-tax gain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$1,791. In addition, the Pinerolo facility disposed of excess machinery in the first quarter of 2006 with a net book value of $1,087, resulting in a pre-tax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$1,062.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ind w:right="380"/>
        <w:spacing w:after="0" w:line="264" w:lineRule="auto"/>
        <w:rPr>
          <w:sz w:val="20"/>
          <w:szCs w:val="20"/>
          <w:color w:val="auto"/>
        </w:rPr>
      </w:pPr>
      <w:r>
        <w:rPr>
          <w:rFonts w:ascii="Arial" w:cs="Arial" w:eastAsia="Arial" w:hAnsi="Arial"/>
          <w:sz w:val="18"/>
          <w:szCs w:val="18"/>
          <w:color w:val="auto"/>
        </w:rPr>
        <w:t>Fixed assets at certain European operations of the Metal Bearing Components Segment were impaired as a result of the European restructuring (see Note 2.) The total reduction in fixed assets from the impairment charge was $3,410 and was reported in the restructuring and impairment charges of the Consolidated Statements of Income.</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During the first quarter of 2007, the Company remitted $18,638 to the former sole shareholder of Whirlaway to partially repay the related party note payable. The payment was financed under our $135,000 credit facility. The remaining $2,667 related party debt at December 31, 2006 related to a tax indemnity was eliminated with a corresponding reduction to goodwill in the third quarter of 2007.</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Provision for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the date of adoption, the total unrecognized benefits were approximately $1,464, all of which, if recognized, would affect the effective tax rate. The amount of unrecognized benefits increased approximately $281 during the nine months ended September 30, 2007. The increase in the unrecognized benefits in 2007 was a result of previous tax planning strategies from operations. During the nine months ended September 30, 2007, this balance was reduced by approximately $220 due to a state tax liability that was paid in the second quarter of 2007.</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statements of income. We recorded an insignificant amount of foreign interest and penalties to the provision for income taxes in the three and nine months ended September 30, 2007.</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2001. The Company is no longer subject to non-U.S. income tax examinations within various European Union countries for years before 2002.</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2007, the difference between the federal statutory tax rate of 34% and our effective tax rate of negative 38% is primarily due to the large impairment and restructuring charges for the European restructuring with only an 8% effective tax rate. The effective tax rate of the impairments is low as the tax benefits created by these impairments have limited ability to be used in the future based on low amounts of expected income to be generated at the locations effected by the impairments.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Excluding the impairment impacts, the effective tax rate would have been 39.3%. The effective rate is 5.1% higher than usual due to a valuation reserve being placed on a deferred tax asset from tax loss carry forwards at a location still incurring losses.</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Contingencies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left="54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Common Stock Repurchases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quarter ended September 30, 2007, the Company repurchased approximately 211,000 shares at an approximate cost of $10.21 per share for a total of $2,156 under the $10 million common stock repurchase program initiated in February 2006. This program expired on September 13, 2007 and was replaced with a new common stock repurchase program.</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new share repurchase program will be in effect for a period of one year beginning on September 13, 2007, and the amount approved for purchase, from this date until the expiration of the program, will be $25 million worth of shares to be purchased in the open market from time to time in accordance with applicable laws and market regulations. During the quarter ended September 30, 2007, the Company repurchased approximately 98,000 shares at an average cost of $10.27 per share for a total of $1,000.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of all share repurchases was approximately 309,000 shares for $3,156.</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year ended December 31, 2006 under Item 1.A. “Risk Factors”. There have been no material changes to these risk factors since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2007 Compared to the Three Months Ended September 30,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1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9"/>
        </w:trPr>
        <w:tc>
          <w:tcPr>
            <w:tcW w:w="624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2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Consolidated NN, Inc.</w:t>
            </w: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2006</w:t>
            </w:r>
          </w:p>
        </w:tc>
        <w:tc>
          <w:tcPr>
            <w:tcW w:w="11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3"/>
              </w:rPr>
              <w:t>Change</w:t>
            </w: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$ 99,021</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$ 74,870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24,151</w:t>
            </w:r>
          </w:p>
        </w:tc>
      </w:tr>
      <w:tr>
        <w:trPr>
          <w:trHeight w:val="202"/>
        </w:trPr>
        <w:tc>
          <w:tcPr>
            <w:tcW w:w="1160" w:type="dxa"/>
            <w:vAlign w:val="bottom"/>
          </w:tcPr>
          <w:p>
            <w:pPr>
              <w:spacing w:after="0"/>
              <w:rPr>
                <w:sz w:val="17"/>
                <w:szCs w:val="17"/>
                <w:color w:val="auto"/>
              </w:rPr>
            </w:pPr>
          </w:p>
        </w:tc>
        <w:tc>
          <w:tcPr>
            <w:tcW w:w="508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80,264</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58,693</w:t>
            </w:r>
          </w:p>
        </w:tc>
        <w:tc>
          <w:tcPr>
            <w:tcW w:w="5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21,571</w:t>
            </w: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8,423</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7,178</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5,542</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4,192</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7,069</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1,496</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916</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240" w:type="dxa"/>
            <w:vAlign w:val="bottom"/>
            <w:gridSpan w:val="2"/>
          </w:tcPr>
          <w:p>
            <w:pPr>
              <w:ind w:left="1140"/>
              <w:spacing w:after="0"/>
              <w:rPr>
                <w:sz w:val="20"/>
                <w:szCs w:val="20"/>
                <w:color w:val="auto"/>
              </w:rPr>
            </w:pPr>
            <w:r>
              <w:rPr>
                <w:rFonts w:ascii="Arial" w:cs="Arial" w:eastAsia="Arial" w:hAnsi="Arial"/>
                <w:sz w:val="18"/>
                <w:szCs w:val="18"/>
                <w:color w:val="auto"/>
              </w:rPr>
              <w:t>Other income, net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(154)</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(550)</w:t>
            </w: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(3,608)</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4,441</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(8,049)</w:t>
            </w:r>
          </w:p>
        </w:tc>
      </w:tr>
      <w:tr>
        <w:trPr>
          <w:trHeight w:val="223"/>
        </w:trPr>
        <w:tc>
          <w:tcPr>
            <w:tcW w:w="6240" w:type="dxa"/>
            <w:vAlign w:val="bottom"/>
            <w:gridSpan w:val="2"/>
          </w:tcPr>
          <w:p>
            <w:pPr>
              <w:ind w:left="1140"/>
              <w:spacing w:after="0"/>
              <w:rPr>
                <w:sz w:val="20"/>
                <w:szCs w:val="20"/>
                <w:color w:val="auto"/>
              </w:rPr>
            </w:pPr>
            <w:r>
              <w:rPr>
                <w:rFonts w:ascii="Arial" w:cs="Arial" w:eastAsia="Arial" w:hAnsi="Arial"/>
                <w:sz w:val="18"/>
                <w:szCs w:val="18"/>
                <w:color w:val="auto"/>
              </w:rPr>
              <w:t>Provision for income taxes</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(400)</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1,808</w:t>
            </w: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(2,208)</w:t>
            </w:r>
          </w:p>
        </w:tc>
      </w:tr>
      <w:tr>
        <w:trPr>
          <w:trHeight w:val="257"/>
        </w:trPr>
        <w:tc>
          <w:tcPr>
            <w:tcW w:w="116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4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 (3,208)</w:t>
            </w:r>
          </w:p>
        </w:tc>
        <w:tc>
          <w:tcPr>
            <w:tcW w:w="142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$ 2,633</w:t>
            </w:r>
          </w:p>
        </w:tc>
        <w:tc>
          <w:tcPr>
            <w:tcW w:w="5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(5,841)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Sales have increased due to the addition of the Precision Metal Components Segment with the acquisition of Whirlaway on November 30, 2006</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($15.6 million), from increases in sales volume primarily in our Metal Bearing Components Segment ($4.0 million), and due to appreciation in value of Euro denominated sales relative to the U.S. Dollar ($3.8 million). In addition, sales have increased due to passing through raw material inflation to customers ($1.8 million). Partially offsetting these increases are reductions from price decreases given to several large customers in agreement with contractual terms ($0.8 million) and unfavorable product mix to existing customers ($0.3 million).</w:t>
      </w:r>
    </w:p>
    <w:p>
      <w:pPr>
        <w:spacing w:after="0" w:line="1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Cost of products sold increased primarily due to the addition of the Precision Metal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Segment on November 30, 2006 ($13.7 million) and due to the increase in the value of Euro denominated costs relative to the U.S. Dollar ($3.1 million). In addition, costs increased related to higher sales volume in our Metal Bearing Components Segment ($3.0 million). Finally, raw material, labor and utility inflation increased ($2.0 million). Offsetting these increases were the impacts of cost reduction projects that reduced cost of manufacturing ($0.3 million).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increase was primarily due to the addition of the Precision Metal Components Segment on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2006 ($1.1 million). In addition, SG&amp;A expense increased due to the appreciation in the value of Euro denominated expenses relative to the U.S. Dollar ($0.2 million).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These costs are higher primarily due to the acquisition of the Precision Metal Components Segment ($1.0 million) and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the value of the Euro based depreciation and amortization relative to the U.S. Dollar ($0.2 million).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is higher due to the additional debt assumed to acquire the Precision Metal Components Segment on November 30, 2006</w:t>
      </w:r>
      <w:r>
        <w:rPr>
          <w:rFonts w:ascii="Arial" w:cs="Arial" w:eastAsia="Arial" w:hAnsi="Arial"/>
          <w:sz w:val="18"/>
          <w:szCs w:val="18"/>
          <w:i w:val="1"/>
          <w:iCs w:val="1"/>
          <w:color w:val="auto"/>
        </w:rPr>
        <w:t xml:space="preserve"> </w:t>
      </w:r>
      <w:r>
        <w:rPr>
          <w:rFonts w:ascii="Arial" w:cs="Arial" w:eastAsia="Arial" w:hAnsi="Arial"/>
          <w:sz w:val="18"/>
          <w:szCs w:val="18"/>
          <w:color w:val="auto"/>
        </w:rPr>
        <w:t>($0.6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Restructuring and Impairment Changes. </w:t>
      </w:r>
      <w:r>
        <w:rPr>
          <w:rFonts w:ascii="Arial" w:cs="Arial" w:eastAsia="Arial" w:hAnsi="Arial"/>
          <w:sz w:val="17"/>
          <w:szCs w:val="17"/>
          <w:color w:val="auto"/>
        </w:rPr>
        <w:t>During the third quarter of 2007, we accrued $1.3 million, in accordance with SFAS 146, for severance cost</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terminate 15 employees at our Eltmann, Germany facility and 1 employee at our Metal Bearing Components Segment headquarters. In addition, during the third quarter of 2007, we recorded approximately $5.6 million ($3.7 million after-tax) of non-cash impairment charges related to impairment of a customer relationship intangible asset in our Precision Metal Components Segment to levels supported by projected cash flows. Finally, during the third quarter of 2007, an additional $0.2 million of non-cash impairment charges were recorded in the Metal Bearing Components Segment.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right="86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third quarter of 2007 effective tax rate of 11.7% is primarily due to the large impairment charges for the European</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without any tax benefit.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4"/>
          </w:tcPr>
          <w:p>
            <w:pPr>
              <w:spacing w:after="0"/>
              <w:rPr>
                <w:sz w:val="20"/>
                <w:szCs w:val="20"/>
                <w:color w:val="auto"/>
              </w:rPr>
            </w:pPr>
            <w:r>
              <w:rPr>
                <w:rFonts w:ascii="Arial" w:cs="Arial" w:eastAsia="Arial" w:hAnsi="Arial"/>
                <w:sz w:val="18"/>
                <w:szCs w:val="18"/>
                <w:b w:val="1"/>
                <w:bCs w:val="1"/>
                <w:color w:val="auto"/>
              </w:rPr>
              <w:t>RESULTS BY SEGMENT</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25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60"/>
        </w:trPr>
        <w:tc>
          <w:tcPr>
            <w:tcW w:w="6380" w:type="dxa"/>
            <w:vAlign w:val="bottom"/>
            <w:gridSpan w:val="4"/>
          </w:tcPr>
          <w:p>
            <w:pPr>
              <w:ind w:left="1140"/>
              <w:spacing w:after="0"/>
              <w:rPr>
                <w:sz w:val="20"/>
                <w:szCs w:val="20"/>
                <w:color w:val="auto"/>
              </w:rPr>
            </w:pPr>
            <w:r>
              <w:rPr>
                <w:rFonts w:ascii="Arial" w:cs="Arial" w:eastAsia="Arial" w:hAnsi="Arial"/>
                <w:sz w:val="18"/>
                <w:szCs w:val="18"/>
                <w:color w:val="auto"/>
              </w:rPr>
              <w:t>(In Thousands of Dollars)</w:t>
            </w:r>
          </w:p>
        </w:tc>
        <w:tc>
          <w:tcPr>
            <w:tcW w:w="390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23"/>
        </w:trPr>
        <w:tc>
          <w:tcPr>
            <w:tcW w:w="1160" w:type="dxa"/>
            <w:vAlign w:val="bottom"/>
          </w:tcPr>
          <w:p>
            <w:pPr>
              <w:spacing w:after="0"/>
              <w:rPr>
                <w:sz w:val="19"/>
                <w:szCs w:val="19"/>
                <w:color w:val="auto"/>
              </w:rPr>
            </w:pPr>
          </w:p>
        </w:tc>
        <w:tc>
          <w:tcPr>
            <w:tcW w:w="4120" w:type="dxa"/>
            <w:vAlign w:val="bottom"/>
            <w:tcBorders>
              <w:top w:val="single" w:sz="8" w:color="auto"/>
            </w:tcBorders>
            <w:gridSpan w:val="2"/>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8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Change</w:t>
            </w:r>
          </w:p>
        </w:tc>
      </w:tr>
      <w:tr>
        <w:trPr>
          <w:trHeight w:val="418"/>
        </w:trPr>
        <w:tc>
          <w:tcPr>
            <w:tcW w:w="6380" w:type="dxa"/>
            <w:vAlign w:val="bottom"/>
            <w:gridSpan w:val="4"/>
          </w:tcPr>
          <w:p>
            <w:pPr>
              <w:ind w:left="1140"/>
              <w:spacing w:after="0"/>
              <w:rPr>
                <w:sz w:val="20"/>
                <w:szCs w:val="20"/>
                <w:color w:val="auto"/>
              </w:rPr>
            </w:pPr>
            <w:r>
              <w:rPr>
                <w:rFonts w:ascii="Arial" w:cs="Arial" w:eastAsia="Arial" w:hAnsi="Arial"/>
                <w:sz w:val="18"/>
                <w:szCs w:val="18"/>
                <w:color w:val="auto"/>
              </w:rPr>
              <w:t>Net sales</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93"/>
              </w:rPr>
              <w:t>$  70,814</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w w:val="90"/>
              </w:rPr>
              <w:t>62,228</w:t>
            </w:r>
          </w:p>
        </w:tc>
        <w:tc>
          <w:tcPr>
            <w:tcW w:w="1400" w:type="dxa"/>
            <w:vAlign w:val="bottom"/>
          </w:tcPr>
          <w:p>
            <w:pPr>
              <w:jc w:val="right"/>
              <w:spacing w:after="0"/>
              <w:rPr>
                <w:sz w:val="20"/>
                <w:szCs w:val="20"/>
                <w:color w:val="auto"/>
              </w:rPr>
            </w:pPr>
            <w:r>
              <w:rPr>
                <w:rFonts w:ascii="Arial" w:cs="Arial" w:eastAsia="Arial" w:hAnsi="Arial"/>
                <w:sz w:val="18"/>
                <w:szCs w:val="18"/>
                <w:color w:val="auto"/>
              </w:rPr>
              <w:t>$   8,586</w:t>
            </w:r>
          </w:p>
        </w:tc>
      </w:tr>
      <w:tr>
        <w:trPr>
          <w:trHeight w:val="216"/>
        </w:trPr>
        <w:tc>
          <w:tcPr>
            <w:tcW w:w="6380" w:type="dxa"/>
            <w:vAlign w:val="bottom"/>
            <w:gridSpan w:val="4"/>
          </w:tcPr>
          <w:p>
            <w:pPr>
              <w:ind w:left="1140"/>
              <w:spacing w:after="0"/>
              <w:rPr>
                <w:sz w:val="20"/>
                <w:szCs w:val="20"/>
                <w:color w:val="auto"/>
              </w:rPr>
            </w:pPr>
            <w:r>
              <w:rPr>
                <w:rFonts w:ascii="Arial" w:cs="Arial" w:eastAsia="Arial" w:hAnsi="Arial"/>
                <w:sz w:val="18"/>
                <w:szCs w:val="18"/>
                <w:color w:val="auto"/>
              </w:rPr>
              <w:t>Segment profit, excluding restructuring and</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380" w:type="dxa"/>
            <w:vAlign w:val="bottom"/>
            <w:gridSpan w:val="4"/>
          </w:tcPr>
          <w:p>
            <w:pPr>
              <w:ind w:left="1140"/>
              <w:spacing w:after="0"/>
              <w:rPr>
                <w:sz w:val="20"/>
                <w:szCs w:val="20"/>
                <w:color w:val="auto"/>
              </w:rPr>
            </w:pPr>
            <w:r>
              <w:rPr>
                <w:rFonts w:ascii="Arial" w:cs="Arial" w:eastAsia="Arial" w:hAnsi="Arial"/>
                <w:sz w:val="18"/>
                <w:szCs w:val="18"/>
                <w:color w:val="auto"/>
              </w:rPr>
              <w:t>impairment charges</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3,252</w:t>
            </w:r>
          </w:p>
        </w:tc>
        <w:tc>
          <w:tcPr>
            <w:tcW w:w="70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3,563</w:t>
            </w:r>
          </w:p>
        </w:tc>
        <w:tc>
          <w:tcPr>
            <w:tcW w:w="14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6380" w:type="dxa"/>
            <w:vAlign w:val="bottom"/>
            <w:gridSpan w:val="4"/>
          </w:tcPr>
          <w:p>
            <w:pPr>
              <w:ind w:left="1140"/>
              <w:spacing w:after="0"/>
              <w:rPr>
                <w:sz w:val="20"/>
                <w:szCs w:val="20"/>
                <w:color w:val="auto"/>
              </w:rPr>
            </w:pPr>
            <w:r>
              <w:rPr>
                <w:rFonts w:ascii="Arial" w:cs="Arial" w:eastAsia="Arial" w:hAnsi="Arial"/>
                <w:sz w:val="18"/>
                <w:szCs w:val="18"/>
                <w:color w:val="auto"/>
              </w:rPr>
              <w:t>Restructuring and impairment charges</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(1,259)</w:t>
            </w:r>
          </w:p>
        </w:tc>
        <w:tc>
          <w:tcPr>
            <w:tcW w:w="70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37"/>
        </w:trPr>
        <w:tc>
          <w:tcPr>
            <w:tcW w:w="5280" w:type="dxa"/>
            <w:vAlign w:val="bottom"/>
            <w:gridSpan w:val="3"/>
          </w:tcPr>
          <w:p>
            <w:pPr>
              <w:ind w:left="1140"/>
              <w:spacing w:after="0"/>
              <w:rPr>
                <w:sz w:val="20"/>
                <w:szCs w:val="20"/>
                <w:color w:val="auto"/>
              </w:rPr>
            </w:pPr>
            <w:r>
              <w:rPr>
                <w:rFonts w:ascii="Arial" w:cs="Arial" w:eastAsia="Arial" w:hAnsi="Arial"/>
                <w:sz w:val="18"/>
                <w:szCs w:val="18"/>
                <w:color w:val="auto"/>
              </w:rPr>
              <w:t>Deferred income tax impacts</w:t>
            </w:r>
          </w:p>
        </w:tc>
        <w:tc>
          <w:tcPr>
            <w:tcW w:w="1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67</w:t>
            </w: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380" w:type="dxa"/>
            <w:vAlign w:val="bottom"/>
            <w:gridSpan w:val="4"/>
          </w:tcPr>
          <w:p>
            <w:pPr>
              <w:ind w:left="1140"/>
              <w:spacing w:after="0" w:line="196" w:lineRule="exact"/>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$ 2,060</w:t>
            </w:r>
          </w:p>
        </w:tc>
        <w:tc>
          <w:tcPr>
            <w:tcW w:w="7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3,563</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 (1,503)</w:t>
            </w:r>
          </w:p>
        </w:tc>
      </w:tr>
      <w:tr>
        <w:trPr>
          <w:trHeight w:val="21"/>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sales increase at the Metal Bearing Components Segment was primarily due to higher volume with existing European customers ($4.5</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million). Additionally, the Metal Bearing Components Segment experienced the positive impacts from the appreciation in value of Euro based sales relative to the U.S. Dollar ($3.8 million). Finally, sales increased related to passing through raw material inflation to customers ($1.4 million). The increases in sales were partially offset by unfavorable product mix to existing customers ($0.3 million) and due to contractual price decreases to certain large customers ($0.8 million).</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segment profit, excluding restructuring and impairment charges, a non-GAAP accounting measure, in the third quarter of 2007 was favorably impacted by higher sales volumes ($0.9 million, net of tax). Euro denominated profits were favorably impacted by the increase in the value of the Euro against the U.S. Dollar ($0.2 million, net of tax). Partially offsetting these positive impacts were the effects of price decreases given to certain customers under contractual terms ($0.5 million, net of tax) and the effects of unfavorable product and customer mix ($0.3 million, net of tax). Raw material cost inflation was offset by price increases under contractual terms to certain customers, resulting in little impact on segment profit. Additionally, the third quarter of 2006 had a favorable effect related to the value of the Slovakian Koruna that did not repeat in 2007 ($0.3 million, net of tax). Finally, net operational inefficiencies primarily related to our China and Slovakia plants not operating at capacity negatively affected segment profit ($0.3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60"/>
        </w:trPr>
        <w:tc>
          <w:tcPr>
            <w:tcW w:w="398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0"/>
              </w:rPr>
              <w:t>Three Months Ended September 30,</w:t>
            </w:r>
          </w:p>
        </w:tc>
        <w:tc>
          <w:tcPr>
            <w:tcW w:w="58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418"/>
        </w:trPr>
        <w:tc>
          <w:tcPr>
            <w:tcW w:w="5560" w:type="dxa"/>
            <w:vAlign w:val="bottom"/>
            <w:gridSpan w:val="3"/>
          </w:tcPr>
          <w:p>
            <w:pPr>
              <w:ind w:left="1140"/>
              <w:spacing w:after="0"/>
              <w:rPr>
                <w:sz w:val="20"/>
                <w:szCs w:val="20"/>
                <w:color w:val="auto"/>
              </w:rPr>
            </w:pPr>
            <w:r>
              <w:rPr>
                <w:rFonts w:ascii="Arial" w:cs="Arial" w:eastAsia="Arial" w:hAnsi="Arial"/>
                <w:sz w:val="18"/>
                <w:szCs w:val="18"/>
                <w:color w:val="auto"/>
              </w:rPr>
              <w:t>Net sales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50"/>
              <w:spacing w:after="0"/>
              <w:rPr>
                <w:sz w:val="20"/>
                <w:szCs w:val="20"/>
                <w:color w:val="auto"/>
              </w:rPr>
            </w:pPr>
            <w:r>
              <w:rPr>
                <w:rFonts w:ascii="Arial" w:cs="Arial" w:eastAsia="Arial" w:hAnsi="Arial"/>
                <w:sz w:val="18"/>
                <w:szCs w:val="18"/>
                <w:color w:val="auto"/>
                <w:w w:val="98"/>
              </w:rPr>
              <w:t>15,594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15,594</w:t>
            </w:r>
          </w:p>
        </w:tc>
      </w:tr>
      <w:tr>
        <w:trPr>
          <w:trHeight w:val="216"/>
        </w:trPr>
        <w:tc>
          <w:tcPr>
            <w:tcW w:w="5560" w:type="dxa"/>
            <w:vAlign w:val="bottom"/>
            <w:gridSpan w:val="3"/>
          </w:tcPr>
          <w:p>
            <w:pPr>
              <w:ind w:left="1140"/>
              <w:spacing w:after="0"/>
              <w:rPr>
                <w:sz w:val="20"/>
                <w:szCs w:val="20"/>
                <w:color w:val="auto"/>
              </w:rPr>
            </w:pPr>
            <w:r>
              <w:rPr>
                <w:rFonts w:ascii="Arial" w:cs="Arial" w:eastAsia="Arial" w:hAnsi="Arial"/>
                <w:sz w:val="18"/>
                <w:szCs w:val="18"/>
                <w:color w:val="auto"/>
              </w:rPr>
              <w:t>Segment profit, excluding restructuring and impairment</w:t>
            </w:r>
          </w:p>
        </w:tc>
        <w:tc>
          <w:tcPr>
            <w:tcW w:w="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60" w:type="dxa"/>
            <w:vAlign w:val="bottom"/>
            <w:gridSpan w:val="3"/>
          </w:tcPr>
          <w:p>
            <w:pPr>
              <w:ind w:left="1140"/>
              <w:spacing w:after="0"/>
              <w:rPr>
                <w:sz w:val="20"/>
                <w:szCs w:val="20"/>
                <w:color w:val="auto"/>
              </w:rPr>
            </w:pPr>
            <w:r>
              <w:rPr>
                <w:rFonts w:ascii="Arial" w:cs="Arial" w:eastAsia="Arial" w:hAnsi="Arial"/>
                <w:sz w:val="18"/>
                <w:szCs w:val="18"/>
                <w:color w:val="auto"/>
              </w:rPr>
              <w:t>charges</w:t>
            </w:r>
          </w:p>
        </w:tc>
        <w:tc>
          <w:tcPr>
            <w:tcW w:w="940" w:type="dxa"/>
            <w:vAlign w:val="bottom"/>
          </w:tcPr>
          <w:p>
            <w:pPr>
              <w:spacing w:after="0"/>
              <w:rPr>
                <w:sz w:val="18"/>
                <w:szCs w:val="18"/>
                <w:color w:val="auto"/>
              </w:rPr>
            </w:pPr>
          </w:p>
        </w:tc>
        <w:tc>
          <w:tcPr>
            <w:tcW w:w="1700" w:type="dxa"/>
            <w:vAlign w:val="bottom"/>
          </w:tcPr>
          <w:p>
            <w:pPr>
              <w:jc w:val="right"/>
              <w:ind w:right="1050"/>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5560" w:type="dxa"/>
            <w:vAlign w:val="bottom"/>
            <w:gridSpan w:val="3"/>
          </w:tcPr>
          <w:p>
            <w:pPr>
              <w:ind w:left="1140"/>
              <w:spacing w:after="0"/>
              <w:rPr>
                <w:sz w:val="20"/>
                <w:szCs w:val="20"/>
                <w:color w:val="auto"/>
              </w:rPr>
            </w:pPr>
            <w:r>
              <w:rPr>
                <w:rFonts w:ascii="Arial" w:cs="Arial" w:eastAsia="Arial" w:hAnsi="Arial"/>
                <w:sz w:val="18"/>
                <w:szCs w:val="18"/>
                <w:color w:val="auto"/>
              </w:rPr>
              <w:t>Restructuring and impairment charges</w:t>
            </w:r>
          </w:p>
        </w:tc>
        <w:tc>
          <w:tcPr>
            <w:tcW w:w="940" w:type="dxa"/>
            <w:vAlign w:val="bottom"/>
          </w:tcPr>
          <w:p>
            <w:pPr>
              <w:spacing w:after="0"/>
              <w:rPr>
                <w:sz w:val="18"/>
                <w:szCs w:val="18"/>
                <w:color w:val="auto"/>
              </w:rPr>
            </w:pPr>
          </w:p>
        </w:tc>
        <w:tc>
          <w:tcPr>
            <w:tcW w:w="1700" w:type="dxa"/>
            <w:vAlign w:val="bottom"/>
          </w:tcPr>
          <w:p>
            <w:pPr>
              <w:jc w:val="right"/>
              <w:ind w:right="1050"/>
              <w:spacing w:after="0"/>
              <w:rPr>
                <w:sz w:val="20"/>
                <w:szCs w:val="20"/>
                <w:color w:val="auto"/>
              </w:rPr>
            </w:pPr>
            <w:r>
              <w:rPr>
                <w:rFonts w:ascii="Arial" w:cs="Arial" w:eastAsia="Arial" w:hAnsi="Arial"/>
                <w:sz w:val="18"/>
                <w:szCs w:val="18"/>
                <w:color w:val="auto"/>
                <w:w w:val="94"/>
              </w:rPr>
              <w:t>(5,600)</w:t>
            </w:r>
          </w:p>
        </w:tc>
        <w:tc>
          <w:tcPr>
            <w:tcW w:w="32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(5,600)</w:t>
            </w:r>
          </w:p>
        </w:tc>
      </w:tr>
      <w:tr>
        <w:trPr>
          <w:trHeight w:val="237"/>
        </w:trPr>
        <w:tc>
          <w:tcPr>
            <w:tcW w:w="5560" w:type="dxa"/>
            <w:vAlign w:val="bottom"/>
            <w:gridSpan w:val="3"/>
          </w:tcPr>
          <w:p>
            <w:pPr>
              <w:ind w:left="1140"/>
              <w:spacing w:after="0"/>
              <w:rPr>
                <w:sz w:val="20"/>
                <w:szCs w:val="20"/>
                <w:color w:val="auto"/>
              </w:rPr>
            </w:pPr>
            <w:r>
              <w:rPr>
                <w:rFonts w:ascii="Arial" w:cs="Arial" w:eastAsia="Arial" w:hAnsi="Arial"/>
                <w:sz w:val="18"/>
                <w:szCs w:val="18"/>
                <w:color w:val="auto"/>
              </w:rPr>
              <w:t>Deferred income tax impacts</w:t>
            </w: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1,904</w:t>
            </w: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r>
      <w:tr>
        <w:trPr>
          <w:trHeight w:val="216"/>
        </w:trPr>
        <w:tc>
          <w:tcPr>
            <w:tcW w:w="5560" w:type="dxa"/>
            <w:vAlign w:val="bottom"/>
            <w:gridSpan w:val="3"/>
          </w:tcPr>
          <w:p>
            <w:pPr>
              <w:ind w:left="11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4"/>
              </w:rPr>
              <w:t>(4,270)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(4,270)</w:t>
            </w:r>
          </w:p>
        </w:tc>
      </w:tr>
      <w:tr>
        <w:trPr>
          <w:trHeight w:val="21"/>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Precision Metal Components Segment was added on November 30, 2006 with the purchase of Whirlaway. Therefore, the segment was not included in the financial statements for the quarter ended September 30, 2006.</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third quarter 2007 results of Whirlaway are not indicative of normalized annual operations. Volume in the third quarter of 2007 was down against historical sales levels due to lower demand of customers that serve the U.S. heavy truck and heating, ventilation, and air conditioning (“HVAC”) equipment markets. The demand in the heavy truck and HVAC markets was abnormally low in the third quarter of 2007 due to large amounts of purchases made in the fourth quarter of 2006 of heavy trucks and HVAC equipment. These purchases were made ahead of required environmental changes to these products on January 1, 2007. Due to continued downturn in sales, in the third quarter of 2007, the customer relationship intangible was impaired to a level supported by future forecasted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PLASTIC AND RUBBER COMPONENTS SEGMENT</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60"/>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9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 September 30,</w:t>
            </w: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23"/>
        </w:trPr>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Change</w:t>
            </w:r>
          </w:p>
        </w:tc>
        <w:tc>
          <w:tcPr>
            <w:tcW w:w="520" w:type="dxa"/>
            <w:vAlign w:val="bottom"/>
            <w:tcBorders>
              <w:bottom w:val="single" w:sz="8" w:color="auto"/>
            </w:tcBorders>
          </w:tcPr>
          <w:p>
            <w:pPr>
              <w:spacing w:after="0"/>
              <w:rPr>
                <w:sz w:val="19"/>
                <w:szCs w:val="19"/>
                <w:color w:val="auto"/>
              </w:rPr>
            </w:pPr>
          </w:p>
        </w:tc>
      </w:tr>
      <w:tr>
        <w:trPr>
          <w:trHeight w:val="459"/>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Net sales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w w:val="90"/>
              </w:rPr>
              <w:t>12,613</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12,642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567</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674</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in the Plastic and Rubber Components Segment were flat as sales increases related to raw material inflation pass through ($0.5 million) were offset by lower sales volume into the automotive market ($0.5 million).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income was negatively affected by the volume decreases in sales of products into the automotive market ($0.1 million, after tax). The increases in sales from raw material pass through were offset by raw material inflation.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Nine Months Ended September 30, 2007 Compared to the Nine Months Ended September 30,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OVERALL RESULTS</w:t>
            </w: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9"/>
        </w:trPr>
        <w:tc>
          <w:tcPr>
            <w:tcW w:w="6320" w:type="dxa"/>
            <w:vAlign w:val="bottom"/>
          </w:tcPr>
          <w:p>
            <w:pPr>
              <w:ind w:left="1140"/>
              <w:spacing w:after="0"/>
              <w:rPr>
                <w:sz w:val="20"/>
                <w:szCs w:val="20"/>
                <w:color w:val="auto"/>
              </w:rPr>
            </w:pPr>
            <w:r>
              <w:rPr>
                <w:rFonts w:ascii="Arial" w:cs="Arial" w:eastAsia="Arial" w:hAnsi="Arial"/>
                <w:sz w:val="18"/>
                <w:szCs w:val="18"/>
                <w:color w:val="auto"/>
              </w:rPr>
              <w:t>(In Thousands of Dollars)</w:t>
            </w:r>
          </w:p>
        </w:tc>
        <w:tc>
          <w:tcPr>
            <w:tcW w:w="2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Consolidated NN, Inc.</w:t>
            </w:r>
          </w:p>
        </w:tc>
        <w:tc>
          <w:tcPr>
            <w:tcW w:w="1040" w:type="dxa"/>
            <w:vAlign w:val="bottom"/>
            <w:tcBorders>
              <w:bottom w:val="single" w:sz="8" w:color="auto"/>
            </w:tcBorders>
          </w:tcPr>
          <w:p>
            <w:pPr>
              <w:spacing w:after="0"/>
              <w:rPr>
                <w:sz w:val="24"/>
                <w:szCs w:val="24"/>
                <w:color w:val="auto"/>
              </w:rPr>
            </w:pPr>
          </w:p>
        </w:tc>
      </w:tr>
      <w:tr>
        <w:trPr>
          <w:trHeight w:val="223"/>
        </w:trPr>
        <w:tc>
          <w:tcPr>
            <w:tcW w:w="6320" w:type="dxa"/>
            <w:vAlign w:val="bottom"/>
          </w:tcPr>
          <w:p>
            <w:pPr>
              <w:spacing w:after="0"/>
              <w:rPr>
                <w:sz w:val="19"/>
                <w:szCs w:val="19"/>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2007</w:t>
            </w: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2006</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r>
      <w:tr>
        <w:trPr>
          <w:trHeight w:val="202"/>
        </w:trPr>
        <w:tc>
          <w:tcPr>
            <w:tcW w:w="6320" w:type="dxa"/>
            <w:vAlign w:val="bottom"/>
          </w:tcPr>
          <w:p>
            <w:pPr>
              <w:ind w:left="1140"/>
              <w:spacing w:after="0" w:line="201" w:lineRule="exact"/>
              <w:rPr>
                <w:sz w:val="20"/>
                <w:szCs w:val="20"/>
                <w:color w:val="auto"/>
              </w:rPr>
            </w:pPr>
            <w:r>
              <w:rPr>
                <w:rFonts w:ascii="Arial" w:cs="Arial" w:eastAsia="Arial" w:hAnsi="Arial"/>
                <w:sz w:val="18"/>
                <w:szCs w:val="18"/>
                <w:color w:val="auto"/>
              </w:rPr>
              <w:t>Net sales</w:t>
            </w:r>
          </w:p>
        </w:tc>
        <w:tc>
          <w:tcPr>
            <w:tcW w:w="15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$314,267</w:t>
            </w:r>
          </w:p>
        </w:tc>
        <w:tc>
          <w:tcPr>
            <w:tcW w:w="136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$ 244,441</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$69,826</w:t>
            </w:r>
          </w:p>
        </w:tc>
      </w:tr>
      <w:tr>
        <w:trPr>
          <w:trHeight w:val="216"/>
        </w:trPr>
        <w:tc>
          <w:tcPr>
            <w:tcW w:w="6320" w:type="dxa"/>
            <w:vAlign w:val="bottom"/>
          </w:tcPr>
          <w:p>
            <w:pPr>
              <w:ind w:left="1140"/>
              <w:spacing w:after="0"/>
              <w:rPr>
                <w:sz w:val="20"/>
                <w:szCs w:val="20"/>
                <w:color w:val="auto"/>
              </w:rPr>
            </w:pPr>
            <w:r>
              <w:rPr>
                <w:rFonts w:ascii="Arial" w:cs="Arial" w:eastAsia="Arial" w:hAnsi="Arial"/>
                <w:sz w:val="18"/>
                <w:szCs w:val="18"/>
                <w:color w:val="auto"/>
              </w:rPr>
              <w:t>Cost of products sold (exclusive of depreciation</w:t>
            </w: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320" w:type="dxa"/>
            <w:vAlign w:val="bottom"/>
          </w:tcPr>
          <w:p>
            <w:pPr>
              <w:ind w:left="1240"/>
              <w:spacing w:after="0"/>
              <w:rPr>
                <w:sz w:val="20"/>
                <w:szCs w:val="20"/>
                <w:color w:val="auto"/>
              </w:rPr>
            </w:pPr>
            <w:r>
              <w:rPr>
                <w:rFonts w:ascii="Arial" w:cs="Arial" w:eastAsia="Arial" w:hAnsi="Arial"/>
                <w:sz w:val="18"/>
                <w:szCs w:val="18"/>
                <w:color w:val="auto"/>
              </w:rPr>
              <w:t>and amortization shown separately below)</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251,274</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189,597</w:t>
            </w:r>
          </w:p>
        </w:tc>
        <w:tc>
          <w:tcPr>
            <w:tcW w:w="1040" w:type="dxa"/>
            <w:vAlign w:val="bottom"/>
          </w:tcPr>
          <w:p>
            <w:pPr>
              <w:jc w:val="right"/>
              <w:spacing w:after="0"/>
              <w:rPr>
                <w:sz w:val="20"/>
                <w:szCs w:val="20"/>
                <w:color w:val="auto"/>
              </w:rPr>
            </w:pPr>
            <w:r>
              <w:rPr>
                <w:rFonts w:ascii="Arial" w:cs="Arial" w:eastAsia="Arial" w:hAnsi="Arial"/>
                <w:sz w:val="18"/>
                <w:szCs w:val="18"/>
                <w:color w:val="auto"/>
              </w:rPr>
              <w:t>61,677</w:t>
            </w:r>
          </w:p>
        </w:tc>
      </w:tr>
      <w:tr>
        <w:trPr>
          <w:trHeight w:val="216"/>
        </w:trPr>
        <w:tc>
          <w:tcPr>
            <w:tcW w:w="6320" w:type="dxa"/>
            <w:vAlign w:val="bottom"/>
          </w:tcPr>
          <w:p>
            <w:pPr>
              <w:ind w:left="114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27,406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21,922</w:t>
            </w:r>
          </w:p>
        </w:tc>
        <w:tc>
          <w:tcPr>
            <w:tcW w:w="1040" w:type="dxa"/>
            <w:vAlign w:val="bottom"/>
          </w:tcPr>
          <w:p>
            <w:pPr>
              <w:jc w:val="right"/>
              <w:spacing w:after="0"/>
              <w:rPr>
                <w:sz w:val="20"/>
                <w:szCs w:val="20"/>
                <w:color w:val="auto"/>
              </w:rPr>
            </w:pPr>
            <w:r>
              <w:rPr>
                <w:rFonts w:ascii="Arial" w:cs="Arial" w:eastAsia="Arial" w:hAnsi="Arial"/>
                <w:sz w:val="18"/>
                <w:szCs w:val="18"/>
                <w:color w:val="auto"/>
              </w:rPr>
              <w:t>5,484</w:t>
            </w:r>
          </w:p>
        </w:tc>
      </w:tr>
      <w:tr>
        <w:trPr>
          <w:trHeight w:val="216"/>
        </w:trPr>
        <w:tc>
          <w:tcPr>
            <w:tcW w:w="6320" w:type="dxa"/>
            <w:vAlign w:val="bottom"/>
          </w:tcPr>
          <w:p>
            <w:pPr>
              <w:ind w:left="114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16,723</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12,779</w:t>
            </w:r>
          </w:p>
        </w:tc>
        <w:tc>
          <w:tcPr>
            <w:tcW w:w="104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16"/>
        </w:trPr>
        <w:tc>
          <w:tcPr>
            <w:tcW w:w="6320" w:type="dxa"/>
            <w:vAlign w:val="bottom"/>
          </w:tcPr>
          <w:p>
            <w:pPr>
              <w:ind w:left="1140"/>
              <w:spacing w:after="0"/>
              <w:rPr>
                <w:sz w:val="20"/>
                <w:szCs w:val="20"/>
                <w:color w:val="auto"/>
              </w:rPr>
            </w:pPr>
            <w:r>
              <w:rPr>
                <w:rFonts w:ascii="Arial" w:cs="Arial" w:eastAsia="Arial" w:hAnsi="Arial"/>
                <w:sz w:val="18"/>
                <w:szCs w:val="18"/>
                <w:color w:val="auto"/>
              </w:rPr>
              <w:t>Restructuring and impairment charges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22,338</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22,338</w:t>
            </w:r>
          </w:p>
        </w:tc>
      </w:tr>
      <w:tr>
        <w:trPr>
          <w:trHeight w:val="216"/>
        </w:trPr>
        <w:tc>
          <w:tcPr>
            <w:tcW w:w="6320" w:type="dxa"/>
            <w:vAlign w:val="bottom"/>
          </w:tcPr>
          <w:p>
            <w:pPr>
              <w:ind w:left="1140"/>
              <w:spacing w:after="0"/>
              <w:rPr>
                <w:sz w:val="20"/>
                <w:szCs w:val="20"/>
                <w:color w:val="auto"/>
              </w:rPr>
            </w:pPr>
            <w:r>
              <w:rPr>
                <w:rFonts w:ascii="Arial" w:cs="Arial" w:eastAsia="Arial" w:hAnsi="Arial"/>
                <w:sz w:val="18"/>
                <w:szCs w:val="18"/>
                <w:color w:val="auto"/>
              </w:rPr>
              <w:t>Interest expense, net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4,821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2,923</w:t>
            </w:r>
          </w:p>
        </w:tc>
        <w:tc>
          <w:tcPr>
            <w:tcW w:w="104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16"/>
        </w:trPr>
        <w:tc>
          <w:tcPr>
            <w:tcW w:w="6320" w:type="dxa"/>
            <w:vAlign w:val="bottom"/>
          </w:tcPr>
          <w:p>
            <w:pPr>
              <w:ind w:left="1140"/>
              <w:spacing w:after="0"/>
              <w:rPr>
                <w:sz w:val="20"/>
                <w:szCs w:val="20"/>
                <w:color w:val="auto"/>
              </w:rPr>
            </w:pPr>
            <w:r>
              <w:rPr>
                <w:rFonts w:ascii="Arial" w:cs="Arial" w:eastAsia="Arial" w:hAnsi="Arial"/>
                <w:sz w:val="18"/>
                <w:szCs w:val="18"/>
                <w:color w:val="auto"/>
              </w:rPr>
              <w:t>Gain on disposal of assets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(726)</w:t>
            </w: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37"/>
        </w:trPr>
        <w:tc>
          <w:tcPr>
            <w:tcW w:w="6320" w:type="dxa"/>
            <w:vAlign w:val="bottom"/>
          </w:tcPr>
          <w:p>
            <w:pPr>
              <w:ind w:left="1140"/>
              <w:spacing w:after="0"/>
              <w:rPr>
                <w:sz w:val="20"/>
                <w:szCs w:val="20"/>
                <w:color w:val="auto"/>
              </w:rPr>
            </w:pPr>
            <w:r>
              <w:rPr>
                <w:rFonts w:ascii="Arial" w:cs="Arial" w:eastAsia="Arial" w:hAnsi="Arial"/>
                <w:sz w:val="18"/>
                <w:szCs w:val="18"/>
                <w:color w:val="auto"/>
              </w:rPr>
              <w:t>Other income, net</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(150)</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02"/>
        </w:trPr>
        <w:tc>
          <w:tcPr>
            <w:tcW w:w="6320" w:type="dxa"/>
            <w:vAlign w:val="bottom"/>
          </w:tcPr>
          <w:p>
            <w:pPr>
              <w:ind w:left="1140"/>
              <w:spacing w:after="0" w:line="201" w:lineRule="exact"/>
              <w:rPr>
                <w:sz w:val="20"/>
                <w:szCs w:val="20"/>
                <w:color w:val="auto"/>
              </w:rPr>
            </w:pPr>
            <w:r>
              <w:rPr>
                <w:rFonts w:ascii="Arial" w:cs="Arial" w:eastAsia="Arial" w:hAnsi="Arial"/>
                <w:sz w:val="18"/>
                <w:szCs w:val="18"/>
                <w:color w:val="auto"/>
              </w:rPr>
              <w:t>Income (loss) before provision for income taxes</w:t>
            </w:r>
          </w:p>
        </w:tc>
        <w:tc>
          <w:tcPr>
            <w:tcW w:w="15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(8,122)</w:t>
            </w:r>
          </w:p>
        </w:tc>
        <w:tc>
          <w:tcPr>
            <w:tcW w:w="136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18,256</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(26,378)</w:t>
            </w:r>
          </w:p>
        </w:tc>
      </w:tr>
      <w:tr>
        <w:trPr>
          <w:trHeight w:val="237"/>
        </w:trPr>
        <w:tc>
          <w:tcPr>
            <w:tcW w:w="6320" w:type="dxa"/>
            <w:vAlign w:val="bottom"/>
          </w:tcPr>
          <w:p>
            <w:pPr>
              <w:ind w:left="1140"/>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3,150</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6,908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r>
      <w:tr>
        <w:trPr>
          <w:trHeight w:val="216"/>
        </w:trPr>
        <w:tc>
          <w:tcPr>
            <w:tcW w:w="6320" w:type="dxa"/>
            <w:vAlign w:val="bottom"/>
          </w:tcPr>
          <w:p>
            <w:pPr>
              <w:ind w:left="1140"/>
              <w:spacing w:after="0" w:line="196" w:lineRule="exact"/>
              <w:rPr>
                <w:sz w:val="20"/>
                <w:szCs w:val="20"/>
                <w:color w:val="auto"/>
              </w:rPr>
            </w:pPr>
            <w:r>
              <w:rPr>
                <w:rFonts w:ascii="Arial" w:cs="Arial" w:eastAsia="Arial" w:hAnsi="Arial"/>
                <w:sz w:val="18"/>
                <w:szCs w:val="18"/>
                <w:color w:val="auto"/>
              </w:rPr>
              <w:t>Net income (loss)</w:t>
            </w:r>
          </w:p>
        </w:tc>
        <w:tc>
          <w:tcPr>
            <w:tcW w:w="15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 (11,272)</w:t>
            </w:r>
          </w:p>
        </w:tc>
        <w:tc>
          <w:tcPr>
            <w:tcW w:w="13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$ 11,348</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(22,620)</w:t>
            </w:r>
          </w:p>
        </w:tc>
      </w:tr>
      <w:tr>
        <w:trPr>
          <w:trHeight w:val="21"/>
        </w:trPr>
        <w:tc>
          <w:tcPr>
            <w:tcW w:w="6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Sales have increased due to the addition of the Precision Metal Components Segment with the acquisition of Whirlaway ($50.7 million) and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in value of Euro denominated sales relative to the U.S. Dollar ($13.1 million). In addition, sales have increased due to the pass through of raw material inflation to customers ($4.4 million) and due to higher volume to existing customers at our European operations ($6.6 million). Partially offsetting these increases are reductions from price decreases given to several large customers in agreement with contractual terms ($3.0 million) and unfavorable product mix to existing customers ($2.0 million).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Cost of products sold increased primarily due to the addition of the Precision Metal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Segment on November 30, 2006 ($43.8 million) and due to the increase in value of Euro denominated costs relative to the U.S. Dollar ($10.4 million). In addition, raw material, labor and utility inflation increased ($6.8 million) and costs increased related to higher sales volume at our European operations ($5.7 million). Offsetting these increases were favorable mix impacts to cost of products sold ($1.1 million) and the impact of projects focused on reducing cost of manufacturing ($3.9 million).</w:t>
      </w:r>
    </w:p>
    <w:p>
      <w:pPr>
        <w:spacing w:after="0" w:line="18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The SG&amp;A expense increase was primarily due to the addition of the Precision Metal Components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30, 2006 ($3.4 million). In addition, SG&amp;A expense increased due to the appreciation in the value of Euro denominated expenses relative to the U.S. Dollar ($0.9 million). Finally, the total was higher due to recognizing stock option expense ($0.3 million), from higher spending on consulting and professional fees ($0.3 million), higher travel and salary cost ($0.3 million) and additional bad debt expense ($0.2 million).</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These costs were higher due to the acquisition of the Precision Metal Components Segment ($3.1 million) and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value of Euro based depreciation and amortization relative to the U.S. Dollar ($0.7 million).</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primarily higher due to the additional debt assumed to acquire the Precision Metal Components Segment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2006 ($1.9 million).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In 2006, we incurred a gain from the sale of excess land at our Pinerolo, Italy facility ($1.8 million) partially offset by a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of excess equipment at the same facility ($1.1 million).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Restructuring and Impairment Changes. </w:t>
      </w:r>
      <w:r>
        <w:rPr>
          <w:rFonts w:ascii="Arial" w:cs="Arial" w:eastAsia="Arial" w:hAnsi="Arial"/>
          <w:sz w:val="18"/>
          <w:szCs w:val="18"/>
          <w:color w:val="auto"/>
        </w:rPr>
        <w:t>We have begun to take steps to appropriately adjust our cost structure and align our plant capacity in our Metal</w:t>
      </w:r>
      <w:r>
        <w:rPr>
          <w:rFonts w:ascii="Arial" w:cs="Arial" w:eastAsia="Arial" w:hAnsi="Arial"/>
          <w:sz w:val="18"/>
          <w:szCs w:val="18"/>
          <w:i w:val="1"/>
          <w:iCs w:val="1"/>
          <w:color w:val="auto"/>
        </w:rPr>
        <w:t xml:space="preserve"> </w:t>
      </w:r>
      <w:r>
        <w:rPr>
          <w:rFonts w:ascii="Arial" w:cs="Arial" w:eastAsia="Arial" w:hAnsi="Arial"/>
          <w:sz w:val="18"/>
          <w:szCs w:val="18"/>
          <w:color w:val="auto"/>
        </w:rPr>
        <w:t>Bearing Components Segment. This will include restructuring at the European operations of the Metal Bearing Components Segment as we adjust our global precision ball manufacturing capacity to better take advantage of favorable cost structures at our Slovakian and Chinese Metal Bearing Components manufacturing facilities. As a result of this restructuring, certain goodwill, intangible assets, and fixed assets in our European operations are now considered impaired. As a result, during the second quarter, we recorded approximately $15.3 million ($14.1 million after-tax) of non-cash impairment costs. These costs include the write-down of certain excess production equipment and the impairment of goodwill and other intangible assets to levels supported by projected cash flows after the restructuring.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right="20"/>
        <w:spacing w:after="0" w:line="257" w:lineRule="auto"/>
        <w:rPr>
          <w:sz w:val="20"/>
          <w:szCs w:val="20"/>
          <w:color w:val="auto"/>
        </w:rPr>
      </w:pPr>
      <w:r>
        <w:rPr>
          <w:rFonts w:ascii="Arial" w:cs="Arial" w:eastAsia="Arial" w:hAnsi="Arial"/>
          <w:sz w:val="18"/>
          <w:szCs w:val="18"/>
          <w:color w:val="auto"/>
        </w:rPr>
        <w:t>During the third quarter of 2007, we accrued $1.3 million, in accordance with SFAS 146, for severance cost to terminate employment of 16 employees within our Metal Bearing Components Segment. In addition, during the third quarter of 2007, we recorded approximately $5.6 million ($3.7 million after-tax) of non-cash impairment costs related to the impairment of a customer relationship intangible asset in our Precision Metal Components Segment to levels supported by projected cash flows. Finally, during the third quarter of 2007, an additional $0.2 million of non-cash impairment charges were recorded in the Metal Bearing Components Segment.</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2007 effective tax rate of negative 38% was primarily due to the large impairment charges for the European restructuring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unusually low 8% effective tax rate. Factoring out the impairment impacts, the effective tax rate would have been a more normal 39%. A valuation reserve ($0.8 million) was placed on a loss carry forward deferred tax asset at a location still incurring losses which increased the 2007 effective rate 5%. The 2006 effective rate is lower than the historical effective rate due to the favorable 19% tax rate on the gain from sale of land at our Pinerolo, Italy facility.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RESULTS BY SEGMENT</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60"/>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10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Nine Months Ended September 30,</w:t>
            </w: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23"/>
        </w:trPr>
        <w:tc>
          <w:tcPr>
            <w:tcW w:w="3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w w:val="87"/>
              </w:rPr>
              <w:t>Change</w:t>
            </w:r>
          </w:p>
        </w:tc>
      </w:tr>
      <w:tr>
        <w:trPr>
          <w:trHeight w:val="418"/>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Net sales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w w:val="95"/>
              </w:rPr>
              <w:t>224,373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w w:val="95"/>
              </w:rPr>
              <w:t>203,533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20,840</w:t>
            </w:r>
          </w:p>
        </w:tc>
      </w:tr>
      <w:tr>
        <w:trPr>
          <w:trHeight w:val="216"/>
        </w:trPr>
        <w:tc>
          <w:tcPr>
            <w:tcW w:w="5240" w:type="dxa"/>
            <w:vAlign w:val="bottom"/>
            <w:gridSpan w:val="2"/>
          </w:tcPr>
          <w:p>
            <w:pPr>
              <w:ind w:left="1140"/>
              <w:spacing w:after="0"/>
              <w:rPr>
                <w:sz w:val="20"/>
                <w:szCs w:val="20"/>
                <w:color w:val="auto"/>
              </w:rPr>
            </w:pPr>
            <w:r>
              <w:rPr>
                <w:rFonts w:ascii="Arial" w:cs="Arial" w:eastAsia="Arial" w:hAnsi="Arial"/>
                <w:sz w:val="18"/>
                <w:szCs w:val="18"/>
                <w:color w:val="auto"/>
                <w:w w:val="93"/>
              </w:rPr>
              <w:t>Segment profit, excluding restructuring and impairment</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charges</w:t>
            </w:r>
          </w:p>
        </w:tc>
        <w:tc>
          <w:tcPr>
            <w:tcW w:w="100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12,995</w:t>
            </w:r>
          </w:p>
        </w:tc>
        <w:tc>
          <w:tcPr>
            <w:tcW w:w="720" w:type="dxa"/>
            <w:vAlign w:val="bottom"/>
          </w:tcPr>
          <w:p>
            <w:pPr>
              <w:spacing w:after="0"/>
              <w:rPr>
                <w:sz w:val="18"/>
                <w:szCs w:val="18"/>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13,502</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16"/>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Restructuring and impairment charges</w:t>
            </w:r>
          </w:p>
        </w:tc>
        <w:tc>
          <w:tcPr>
            <w:tcW w:w="100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w w:val="92"/>
              </w:rPr>
              <w:t>(16,528)</w:t>
            </w:r>
          </w:p>
        </w:tc>
        <w:tc>
          <w:tcPr>
            <w:tcW w:w="720" w:type="dxa"/>
            <w:vAlign w:val="bottom"/>
          </w:tcPr>
          <w:p>
            <w:pPr>
              <w:spacing w:after="0"/>
              <w:rPr>
                <w:sz w:val="18"/>
                <w:szCs w:val="18"/>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(16,528)</w:t>
            </w:r>
          </w:p>
        </w:tc>
      </w:tr>
      <w:tr>
        <w:trPr>
          <w:trHeight w:val="237"/>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Deferred income tax impacts</w:t>
            </w:r>
          </w:p>
        </w:tc>
        <w:tc>
          <w:tcPr>
            <w:tcW w:w="1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463</w:t>
            </w:r>
          </w:p>
        </w:tc>
        <w:tc>
          <w:tcPr>
            <w:tcW w:w="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52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(3,070)</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13,502</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(16,572)</w:t>
            </w:r>
          </w:p>
        </w:tc>
      </w:tr>
      <w:tr>
        <w:trPr>
          <w:trHeight w:val="21"/>
        </w:trPr>
        <w:tc>
          <w:tcPr>
            <w:tcW w:w="3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sales increase at the Metal Bearing Components Segment was primarily due to the positive impacts from the rise in value of Euro based sales relative to the U.S. Dollar ($13.1 million). Additionally, the Metal Bearing Components Segment experienced higher volume with existing European customers ($9.7 million) and increases related to the pass through of raw material inflation to customers ($3.2 million). These increases were partially offset by unfavorable product mix to existing customers ($2.0 million) and due to contractual price decreases to certain large customers ($3.1 million).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difference in segment profit, excluding restructuring and impairment charges, a non-GAAP accounting measure, was primarily related to price decreases given to certain customers under contractual terms in 2007 ($1.9 million, net of tax) and a gain on the sale of land, net of loss on disposal of machinery, at our Pinerolo, Italy facility in the first quarter of 2006 that did not repeat in 2007 ($0.8 million, net of tax). Raw material cost inflation was offset by price increases under contractual terms to certain customers, resulting in little impact on segment profit. Partially offsetting the negative impacts stated above were cost reduction projects that offset utility and labor inflation ($0.7 million, net of tax). Additionally, Euro denominated profits were favorably impacted by the appreciation in the value of the Euro against the U.S. Dollar ($0.8 million, net of tax). Finally, the effect from higher sales volumes in Europe favorably impacted 2007 ($0.8 million, net of tax).</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60"/>
        </w:trPr>
        <w:tc>
          <w:tcPr>
            <w:tcW w:w="398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0"/>
              </w:rPr>
              <w:t>Change</w:t>
            </w:r>
          </w:p>
        </w:tc>
      </w:tr>
      <w:tr>
        <w:trPr>
          <w:trHeight w:val="418"/>
        </w:trPr>
        <w:tc>
          <w:tcPr>
            <w:tcW w:w="5280" w:type="dxa"/>
            <w:vAlign w:val="bottom"/>
            <w:gridSpan w:val="3"/>
          </w:tcPr>
          <w:p>
            <w:pPr>
              <w:ind w:left="1140"/>
              <w:spacing w:after="0"/>
              <w:rPr>
                <w:sz w:val="20"/>
                <w:szCs w:val="20"/>
                <w:color w:val="auto"/>
              </w:rPr>
            </w:pPr>
            <w:r>
              <w:rPr>
                <w:rFonts w:ascii="Arial" w:cs="Arial" w:eastAsia="Arial" w:hAnsi="Arial"/>
                <w:sz w:val="18"/>
                <w:szCs w:val="18"/>
                <w:color w:val="auto"/>
              </w:rPr>
              <w:t>Net sales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8"/>
              </w:rPr>
              <w:t>50,730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50,730</w:t>
            </w:r>
          </w:p>
        </w:tc>
      </w:tr>
      <w:tr>
        <w:trPr>
          <w:trHeight w:val="216"/>
        </w:trPr>
        <w:tc>
          <w:tcPr>
            <w:tcW w:w="5280" w:type="dxa"/>
            <w:vAlign w:val="bottom"/>
            <w:gridSpan w:val="3"/>
          </w:tcPr>
          <w:p>
            <w:pPr>
              <w:ind w:left="1140"/>
              <w:spacing w:after="0"/>
              <w:rPr>
                <w:sz w:val="20"/>
                <w:szCs w:val="20"/>
                <w:color w:val="auto"/>
              </w:rPr>
            </w:pPr>
            <w:r>
              <w:rPr>
                <w:rFonts w:ascii="Arial" w:cs="Arial" w:eastAsia="Arial" w:hAnsi="Arial"/>
                <w:sz w:val="18"/>
                <w:szCs w:val="18"/>
                <w:color w:val="auto"/>
                <w:w w:val="95"/>
              </w:rPr>
              <w:t>Segment loss, excluding restructuring and impairment</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280" w:type="dxa"/>
            <w:vAlign w:val="bottom"/>
            <w:gridSpan w:val="3"/>
          </w:tcPr>
          <w:p>
            <w:pPr>
              <w:ind w:left="1140"/>
              <w:spacing w:after="0"/>
              <w:rPr>
                <w:sz w:val="20"/>
                <w:szCs w:val="20"/>
                <w:color w:val="auto"/>
              </w:rPr>
            </w:pPr>
            <w:r>
              <w:rPr>
                <w:rFonts w:ascii="Arial" w:cs="Arial" w:eastAsia="Arial" w:hAnsi="Arial"/>
                <w:sz w:val="18"/>
                <w:szCs w:val="18"/>
                <w:color w:val="auto"/>
              </w:rPr>
              <w:t>charges</w:t>
            </w:r>
          </w:p>
        </w:tc>
        <w:tc>
          <w:tcPr>
            <w:tcW w:w="10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4"/>
              </w:rPr>
              <w:t>(1,035)</w:t>
            </w:r>
          </w:p>
        </w:tc>
        <w:tc>
          <w:tcPr>
            <w:tcW w:w="1180" w:type="dxa"/>
            <w:vAlign w:val="bottom"/>
          </w:tcPr>
          <w:p>
            <w:pPr>
              <w:spacing w:after="0"/>
              <w:rPr>
                <w:sz w:val="18"/>
                <w:szCs w:val="18"/>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(1,035)</w:t>
            </w:r>
          </w:p>
        </w:tc>
      </w:tr>
      <w:tr>
        <w:trPr>
          <w:trHeight w:val="216"/>
        </w:trPr>
        <w:tc>
          <w:tcPr>
            <w:tcW w:w="5280" w:type="dxa"/>
            <w:vAlign w:val="bottom"/>
            <w:gridSpan w:val="3"/>
          </w:tcPr>
          <w:p>
            <w:pPr>
              <w:ind w:left="1140"/>
              <w:spacing w:after="0"/>
              <w:rPr>
                <w:sz w:val="20"/>
                <w:szCs w:val="20"/>
                <w:color w:val="auto"/>
              </w:rPr>
            </w:pPr>
            <w:r>
              <w:rPr>
                <w:rFonts w:ascii="Arial" w:cs="Arial" w:eastAsia="Arial" w:hAnsi="Arial"/>
                <w:sz w:val="18"/>
                <w:szCs w:val="18"/>
                <w:color w:val="auto"/>
              </w:rPr>
              <w:t>Restructuring and impairment charges</w:t>
            </w:r>
          </w:p>
        </w:tc>
        <w:tc>
          <w:tcPr>
            <w:tcW w:w="10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4"/>
              </w:rPr>
              <w:t>(5,600)</w:t>
            </w:r>
          </w:p>
        </w:tc>
        <w:tc>
          <w:tcPr>
            <w:tcW w:w="1180" w:type="dxa"/>
            <w:vAlign w:val="bottom"/>
          </w:tcPr>
          <w:p>
            <w:pPr>
              <w:spacing w:after="0"/>
              <w:rPr>
                <w:sz w:val="18"/>
                <w:szCs w:val="18"/>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(5,600)</w:t>
            </w:r>
          </w:p>
        </w:tc>
      </w:tr>
      <w:tr>
        <w:trPr>
          <w:trHeight w:val="237"/>
        </w:trPr>
        <w:tc>
          <w:tcPr>
            <w:tcW w:w="5280" w:type="dxa"/>
            <w:vAlign w:val="bottom"/>
            <w:gridSpan w:val="3"/>
          </w:tcPr>
          <w:p>
            <w:pPr>
              <w:ind w:left="1140"/>
              <w:spacing w:after="0"/>
              <w:rPr>
                <w:sz w:val="20"/>
                <w:szCs w:val="20"/>
                <w:color w:val="auto"/>
              </w:rPr>
            </w:pPr>
            <w:r>
              <w:rPr>
                <w:rFonts w:ascii="Arial" w:cs="Arial" w:eastAsia="Arial" w:hAnsi="Arial"/>
                <w:sz w:val="18"/>
                <w:szCs w:val="18"/>
                <w:color w:val="auto"/>
              </w:rPr>
              <w:t>Deferred income tax impacts</w:t>
            </w:r>
          </w:p>
        </w:tc>
        <w:tc>
          <w:tcPr>
            <w:tcW w:w="10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1,904</w:t>
            </w: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r>
      <w:tr>
        <w:trPr>
          <w:trHeight w:val="216"/>
        </w:trPr>
        <w:tc>
          <w:tcPr>
            <w:tcW w:w="5280" w:type="dxa"/>
            <w:vAlign w:val="bottom"/>
            <w:gridSpan w:val="3"/>
          </w:tcPr>
          <w:p>
            <w:pPr>
              <w:ind w:left="114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(4,731)</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(4,731)</w:t>
            </w:r>
          </w:p>
        </w:tc>
      </w:tr>
      <w:tr>
        <w:trPr>
          <w:trHeight w:val="21"/>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Precision Metal Components Segment was added on November 30, 2006 with the purchase of Whirlaway. Therefore, the segment was not included in the financial statements for the nine months ended September 30, 2006.</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nine months ended September 30, 2007 results of Whirlaway are not indicative of normalized annual operations. The first quarter for this segment historically has had lower volume than average due to the purchasing patterns of the end markets served. The second and third quarters of 2007 were down due to abnormally low demand in customers that serve U.S. heavy truck and HVAC equipment markets.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demand in the heavy truck and HVAC markets was abnormally low in the second and third quarters of 2007 due to large amounts of purchases made in the fourth quarter of 2006 of heavy trucks and HVAC equipment. These purchases were made ahead of required environmental changes to these products on January 1, 2007.</w:t>
      </w:r>
    </w:p>
    <w:p>
      <w:pPr>
        <w:spacing w:after="0" w:line="18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Due to continued downturn in sales, in the third quarter of 2007, the customer relationship intangible was impaired to a level supported by future forecasted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PLASTIC AND RUBBER COMPONENTS SEGMENT</w:t>
            </w:r>
          </w:p>
        </w:tc>
        <w:tc>
          <w:tcPr>
            <w:tcW w:w="1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460"/>
        </w:trPr>
        <w:tc>
          <w:tcPr>
            <w:tcW w:w="5720" w:type="dxa"/>
            <w:vAlign w:val="bottom"/>
            <w:gridSpan w:val="4"/>
          </w:tcPr>
          <w:p>
            <w:pPr>
              <w:ind w:left="1140"/>
              <w:spacing w:after="0"/>
              <w:rPr>
                <w:sz w:val="20"/>
                <w:szCs w:val="20"/>
                <w:color w:val="auto"/>
              </w:rPr>
            </w:pPr>
            <w:r>
              <w:rPr>
                <w:rFonts w:ascii="Arial" w:cs="Arial" w:eastAsia="Arial" w:hAnsi="Arial"/>
                <w:sz w:val="18"/>
                <w:szCs w:val="18"/>
                <w:color w:val="auto"/>
              </w:rPr>
              <w:t>(In Thousands of Dollars)</w:t>
            </w:r>
          </w:p>
        </w:tc>
        <w:tc>
          <w:tcPr>
            <w:tcW w:w="220" w:type="dxa"/>
            <w:vAlign w:val="bottom"/>
          </w:tcPr>
          <w:p>
            <w:pPr>
              <w:spacing w:after="0"/>
              <w:rPr>
                <w:sz w:val="24"/>
                <w:szCs w:val="24"/>
                <w:color w:val="auto"/>
              </w:rPr>
            </w:pPr>
          </w:p>
        </w:tc>
        <w:tc>
          <w:tcPr>
            <w:tcW w:w="29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2"/>
              </w:rPr>
              <w:t>Nine Months Ended September 30,</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3300" w:type="dxa"/>
            <w:vAlign w:val="bottom"/>
            <w:tcBorders>
              <w:top w:val="single" w:sz="8" w:color="auto"/>
            </w:tcBorders>
            <w:gridSpan w:val="2"/>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1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600" w:type="dxa"/>
            <w:vAlign w:val="bottom"/>
            <w:tcBorders>
              <w:top w:val="single" w:sz="8" w:color="auto"/>
              <w:bottom w:val="single" w:sz="8" w:color="auto"/>
            </w:tcBorders>
          </w:tcPr>
          <w:p>
            <w:pPr>
              <w:spacing w:after="0"/>
              <w:rPr>
                <w:sz w:val="19"/>
                <w:szCs w:val="19"/>
                <w:color w:val="auto"/>
              </w:rPr>
            </w:pPr>
          </w:p>
        </w:tc>
      </w:tr>
      <w:tr>
        <w:trPr>
          <w:trHeight w:val="432"/>
        </w:trPr>
        <w:tc>
          <w:tcPr>
            <w:tcW w:w="5720" w:type="dxa"/>
            <w:vAlign w:val="bottom"/>
            <w:gridSpan w:val="4"/>
          </w:tcPr>
          <w:p>
            <w:pPr>
              <w:ind w:left="11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w w:val="90"/>
              </w:rPr>
              <w:t>39,164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40,908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432"/>
        </w:trPr>
        <w:tc>
          <w:tcPr>
            <w:tcW w:w="5720" w:type="dxa"/>
            <w:vAlign w:val="bottom"/>
            <w:gridSpan w:val="4"/>
          </w:tcPr>
          <w:p>
            <w:pPr>
              <w:ind w:left="1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1,686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2,380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Revenues in the Plastic and Rubber Components Segment were down due to lower sales volume to the automotive market ($2.3 million) and lower sales to certain specialty non-automotive customers ($0.7 million). Partially offsetting the volume decreases were benefits from raw material inflation pass through ($1.3 million).</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Net income was negatively affected by the volume decreases in sales net of cost of goods sold ($1.0 million, after tax). Partially offsetting the volume impacts were cost reduction projects net of inflation ($0.3 million, after tax). The increases in sales from raw material pass through were offset by raw material inflation.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Amounts outstanding under our $135.0 million credit facility and our $40.0 million notes as of September 30, 2007 were $64.5 million and $40.0 million, respectively. See Note 9 of the Notes to Consolidated Financial Statements. We were in compliance with all covenants of our $135.0 million syndicated credit facility and our $40.0 million senior notes as of September 30, 2007. The Company received an amendment to the $135.0 million credit facility, retroactive to June 30, 2007, that amends the definitions of certain components of the financial covenant calculations to exclude the negative impact of non-cash restructuring and impairment charges.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24" w:right="339" w:bottom="1440" w:gutter="0" w:footer="0" w:header="0"/>
        </w:sectPr>
      </w:pPr>
    </w:p>
    <w:bookmarkStart w:id="23" w:name="page24"/>
    <w:bookmarkEnd w:id="23"/>
    <w:p>
      <w:pPr>
        <w:jc w:val="both"/>
        <w:ind w:right="40"/>
        <w:spacing w:after="0" w:line="264" w:lineRule="auto"/>
        <w:rPr>
          <w:sz w:val="20"/>
          <w:szCs w:val="20"/>
          <w:color w:val="auto"/>
        </w:rPr>
      </w:pPr>
      <w:r>
        <w:rPr>
          <w:rFonts w:ascii="Arial" w:cs="Arial" w:eastAsia="Arial" w:hAnsi="Arial"/>
          <w:sz w:val="18"/>
          <w:szCs w:val="18"/>
          <w:color w:val="auto"/>
        </w:rPr>
        <w:t>As of September 30, 2007, we had $70.5 million of availability under the $135.0 million five year revolving credit facility. Our borrowings under the credit facility increased by $18.6 million related to the acquisition of Whirlaway. In addition, our borrowings increased $6.4 million from December 31, 2006 due to short-term cash flow needs from increased receivable and inventory balances.</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Many of our locations use the Euro as their functional currency. In 2007, the fluctuation of the Euro against the U.S. Dollar favorably impacted our revenue and income and increased the value of assets and liabilities, as the average Euro exchange rate was higher for the nine months ended September 30, 2007 compared with the nine months ended September 30, 2006 and the spot rate at September 30, 2007 was higher than the exchange rate at December 31,</w:t>
      </w:r>
    </w:p>
    <w:p>
      <w:pPr>
        <w:spacing w:after="0" w:line="261" w:lineRule="auto"/>
        <w:rPr>
          <w:sz w:val="20"/>
          <w:szCs w:val="20"/>
          <w:color w:val="auto"/>
        </w:rPr>
      </w:pPr>
      <w:r>
        <w:rPr>
          <w:rFonts w:ascii="Arial" w:cs="Arial" w:eastAsia="Arial" w:hAnsi="Arial"/>
          <w:sz w:val="18"/>
          <w:szCs w:val="18"/>
          <w:color w:val="auto"/>
        </w:rPr>
        <w:t>2006. As of September 30, 2007, no currency hedges were in place. Changes in value of the U.S. Dollar and/or Euro against foreign currencies could impair our ability to compete with international competitors for foreign as well as domestic sales.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Working capital, which consists principally of accounts receivable, inventories, and accounts payable, was $55.4 million at September 30, 2007 as compared to $51.0 million at December 31, 2006. The ratio of current assets to current liabilities increased from 1.68:1 at December 31, 2006 to 1.69:1 at September 30, 2007. The increase in working capital was due primarily to the increase in accounts receivable balances ($8.0 million) and inventory balances ($4.3 million) due to higher sales volume in the third quarter of 2007 compared to the fourth quarter of 2006 and appreciation of Euro denominated balances. Partially offsetting these increases was a lower accounts payable balance ($7.6 million).</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flow provided by operations was $10.8 million during the first nine months of 2007, compared with cash flow provided by operations of $22.8 million during the first nine months of 2006. The decrease in cash flow provided by operations is due to accounts receivable having increased in 2007 from higher sales volumes in the nine months of 2007 and due to inventory having increased in 2007 from higher sales volumes and from building a level of customer service safety stock ahead of the European restructuring.</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Total assets and current assets increased approximately $13.0 million and $5.1 million, respectively, from the December 31, 2006 balance due to appreciation of the Euro relative to the U.S. Dollar. Factoring out the foreign exchange effects, accounts receivable was up due to higher sales volume in the third quarter of 2007 than the fourth quarter of 2006 ($5.4 million). Inventories were higher ($2.7 million) due to higher sales volumes and planned stock increases ahead of the European Restructuring. Factoring out foreign exchange effects, property, plant and equipment was lower due to certain fixed assets being impaired ($3.4 million) and from year to date capital spending having been lower than depreciation ($2.7 million).</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Total liabilities and current liabilities increased approximately $5.6 million and $3.7 million, respectively, from the December 31, 2006 balance due to appreciation of the Euro relative to the U.S. Dollar. Factoring out the foreign exchange effects, accounts payable was lower primarily due to the pay-off of certain payables from year end December 31, 2006 ($10.0 million). Our debt increased to finance the growth in working capital from year end. Finally, liabilities increased due to the accrual of taxes on three quarter’s of income and from the adoption of FIN 48 ($1.1 million).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second and third quarters, we recorded approximately $21.0 million ($18.0 million after-tax) of non-cash impairment charges. These charges include the write-down to estimated fair market value of certain excess production equipment, the full impairment of goodwill at one location, and impairment of other intangible assets to levels supported by projected cash flows after the restructuring. These charges did not require the use of any of our existing cash flows from operations or available credit lines.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third quarter of 2007, we recorded additional charges related to the European restructuring for adjustment of employment levels related to the restructuring of European operations of approximately $1.3 million ($1.2 million after-tax). These charges will require use of cash and will be financed from existing cash flows from operations.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2007, we plan to spend approximately $19.0 million on capital expenditures of which $11.3 million is related primarily to equipment, process upgrades, and replacements and approximately $7.7 million is related to geographic expansion of our manufacturing base. Of these amounts, approximately $12.8 million has been spent through September 30, 2007.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and dividend payments through December 2007.</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4" w:name="page25"/>
    <w:bookmarkEnd w:id="24"/>
    <w:p>
      <w:pPr>
        <w:ind w:right="80"/>
        <w:spacing w:after="0" w:line="264" w:lineRule="auto"/>
        <w:rPr>
          <w:sz w:val="20"/>
          <w:szCs w:val="20"/>
          <w:color w:val="auto"/>
        </w:rPr>
      </w:pPr>
      <w:r>
        <w:rPr>
          <w:rFonts w:ascii="Arial" w:cs="Arial" w:eastAsia="Arial" w:hAnsi="Arial"/>
          <w:sz w:val="18"/>
          <w:szCs w:val="18"/>
          <w:color w:val="auto"/>
        </w:rPr>
        <w:t>During the quarter ended September 30, 2007, the Company repurchased approximately 211,000 shares at an approximate cost of $10.21 per share for a total of $2.1 million under the existing $10 million common stock repurchase program initiated in February 2006. This program expired on September 13, 2007 and was replaced with a new common stock repurchase program.</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new share repurchase program will be in effect for a period of one year beginning on September 13, 2007, and the amount approved for purchase, from this date until the expiration of the program, will be $25 million worth of shares to be purchased in the open market from time to time in accordance with applicable laws and market regulations. During the quarter ended September 30, 2007, the Company repurchased approximately 98,000 shares at an average cost of $10.27 per share for a total of $1.0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of all share repurchases was 309,000 shares for $3.1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2007, a dividend declared on August 14, 2007 totaling $1.4 million was paid on September 13,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net sales in the Metal Bearing Components Segment historically have been of a seasonal nature due to the fact that a significant portion of our sales are to European customers that significantly slow production during the month of August. With the addition of the Precision Metal Components Segment, the seasonality of the Company should become less pronounced as sales volumes within this segment are lower in the first and fourth quarters and higher in the second and third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significant accounting policies, including the assumptions and judgments underlying them, are disclosed in our annual report on Form 10-K for the year ended December 31, 2006,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three and nine month periods ended September 30, 2007 was adoption of FIN 48 related to accounting for uncertain tax positions. FIN 48 has had an immaterial effect on the financial statements for the three and nine month periods ended September 30, 2007.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January 2007, we entered into a two-year supply agreement with Schaeffler Group (INA) effective as of July 1, 2006 that replaced the agreement that expired on June 30, 2006. In May 2007, a new multi-year contract was signed with SKF with the terms being retroactively applied back to January 1, 2007 and effective until December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Restructuring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previously mentioned in our annual report on Form 10-K for the year ended December 31, 2006, during 2006 we entered into negotiations with representatives of the Eltmann, Germany plant employees. The negotiations seek significant wage reductions and changes in work rules. These negotiations are still in process as of the date of this report.</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third quarter of 2007, we began the process to shift production to lower cost facilities, thereby incurring costs for the production shifts and further restructuring at the Eltmann facility, including actions leading to downsizing that location. In addition, in the second quarter of 2007, we incurred non-cash impairment charges related to the decision to begin shifting production away from Eltmann. See Note 2 of the Notes to Consolidated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2007, we had $64.5 million outstanding under the domestic credit facilities and $40.0 million aggregate principal amount of senior notes outstanding. See Note 9 of the Notes to Consolidated Financial Statements. At September 30, 2007, a one-percent increase in the interest rate charged on our outstanding borrowings under our credit facilities, which are subject to variable interest rates, would result in interest expense increasing annually by approximately $0.6 million. Translation of our operating cash flows denominated in foreign currencies is impacted by changes in foreign exchange rates. We did not hold a position in any foreign currency hedging instruments as of September 30, 2007.</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management, including the Chief Executive Officer and Chief Financial Officer, concluded that our disclosure controls and procedures are effective as of September 30, 2007, the end of the period covered by this quarterly report.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have been no changes in this fiscal quarter in our internal control over financial reporting or in other factors that have materially affected, or are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1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14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2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not been any material changes in risk factors from those disclosed our annual report on Form 10-K for the year ended December 31, 2006 filed on March 16, 2007.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6" w:name="page27"/>
    <w:bookmarkEnd w:id="26"/>
    <w:p>
      <w:pPr>
        <w:spacing w:after="0"/>
        <w:tabs>
          <w:tab w:leader="none" w:pos="16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7" w:lineRule="exact"/>
        <w:rPr>
          <w:sz w:val="20"/>
          <w:szCs w:val="20"/>
          <w:color w:val="auto"/>
        </w:rPr>
      </w:pPr>
    </w:p>
    <w:p>
      <w:pPr>
        <w:ind w:left="980" w:hanging="2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980" w:hanging="23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980" w:hanging="2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Issuer Purchases of Equity Securities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5"/>
              </w:rPr>
              <w:t>(d) Maximum</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2"/>
              </w:rPr>
              <w:t>Number (or</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color w:val="auto"/>
                <w:w w:val="91"/>
              </w:rPr>
              <w:t>(c) Total Number</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2"/>
              </w:rPr>
              <w:t>Approximate</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(a) Total</w:t>
            </w:r>
          </w:p>
        </w:tc>
        <w:tc>
          <w:tcPr>
            <w:tcW w:w="1820" w:type="dxa"/>
            <w:vAlign w:val="bottom"/>
          </w:tcPr>
          <w:p>
            <w:pPr>
              <w:spacing w:after="0"/>
              <w:rPr>
                <w:sz w:val="18"/>
                <w:szCs w:val="18"/>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color w:val="auto"/>
                <w:w w:val="88"/>
              </w:rPr>
              <w:t>of Shares (or</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5"/>
              </w:rPr>
              <w:t>Dollar Value) of</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820" w:type="dxa"/>
            <w:vAlign w:val="bottom"/>
          </w:tcPr>
          <w:p>
            <w:pPr>
              <w:jc w:val="center"/>
              <w:ind w:right="170"/>
              <w:spacing w:after="0"/>
              <w:rPr>
                <w:sz w:val="20"/>
                <w:szCs w:val="20"/>
                <w:color w:val="auto"/>
              </w:rPr>
            </w:pPr>
            <w:r>
              <w:rPr>
                <w:rFonts w:ascii="Arial" w:cs="Arial" w:eastAsia="Arial" w:hAnsi="Arial"/>
                <w:sz w:val="18"/>
                <w:szCs w:val="18"/>
                <w:color w:val="auto"/>
                <w:w w:val="91"/>
              </w:rPr>
              <w:t>(b) Average Price</w:t>
            </w:r>
          </w:p>
        </w:tc>
        <w:tc>
          <w:tcPr>
            <w:tcW w:w="1840" w:type="dxa"/>
            <w:vAlign w:val="bottom"/>
          </w:tcPr>
          <w:p>
            <w:pPr>
              <w:jc w:val="center"/>
              <w:ind w:right="190"/>
              <w:spacing w:after="0"/>
              <w:rPr>
                <w:sz w:val="20"/>
                <w:szCs w:val="20"/>
                <w:color w:val="auto"/>
              </w:rPr>
            </w:pPr>
            <w:r>
              <w:rPr>
                <w:rFonts w:ascii="Arial" w:cs="Arial" w:eastAsia="Arial" w:hAnsi="Arial"/>
                <w:sz w:val="18"/>
                <w:szCs w:val="18"/>
                <w:color w:val="auto"/>
                <w:w w:val="89"/>
              </w:rPr>
              <w:t>Units) Purchased</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89"/>
              </w:rPr>
              <w:t>Shares that May</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Shares (or</w:t>
            </w:r>
          </w:p>
        </w:tc>
        <w:tc>
          <w:tcPr>
            <w:tcW w:w="1820" w:type="dxa"/>
            <w:vAlign w:val="bottom"/>
          </w:tcPr>
          <w:p>
            <w:pPr>
              <w:jc w:val="center"/>
              <w:ind w:right="170"/>
              <w:spacing w:after="0"/>
              <w:rPr>
                <w:sz w:val="20"/>
                <w:szCs w:val="20"/>
                <w:color w:val="auto"/>
              </w:rPr>
            </w:pPr>
            <w:r>
              <w:rPr>
                <w:rFonts w:ascii="Arial" w:cs="Arial" w:eastAsia="Arial" w:hAnsi="Arial"/>
                <w:sz w:val="18"/>
                <w:szCs w:val="18"/>
                <w:color w:val="auto"/>
                <w:w w:val="89"/>
              </w:rPr>
              <w:t>Paid per Share (or</w:t>
            </w:r>
          </w:p>
        </w:tc>
        <w:tc>
          <w:tcPr>
            <w:tcW w:w="1840" w:type="dxa"/>
            <w:vAlign w:val="bottom"/>
          </w:tcPr>
          <w:p>
            <w:pPr>
              <w:jc w:val="center"/>
              <w:ind w:right="190"/>
              <w:spacing w:after="0"/>
              <w:rPr>
                <w:sz w:val="20"/>
                <w:szCs w:val="20"/>
                <w:color w:val="auto"/>
              </w:rPr>
            </w:pPr>
            <w:r>
              <w:rPr>
                <w:rFonts w:ascii="Arial" w:cs="Arial" w:eastAsia="Arial" w:hAnsi="Arial"/>
                <w:sz w:val="18"/>
                <w:szCs w:val="18"/>
                <w:color w:val="auto"/>
                <w:w w:val="91"/>
              </w:rPr>
              <w:t>as Part of Publicly</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86"/>
              </w:rPr>
              <w:t>Yet Be Purchased</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Units)</w:t>
            </w:r>
          </w:p>
        </w:tc>
        <w:tc>
          <w:tcPr>
            <w:tcW w:w="1820" w:type="dxa"/>
            <w:vAlign w:val="bottom"/>
          </w:tcPr>
          <w:p>
            <w:pPr>
              <w:jc w:val="center"/>
              <w:ind w:right="170"/>
              <w:spacing w:after="0"/>
              <w:rPr>
                <w:sz w:val="20"/>
                <w:szCs w:val="20"/>
                <w:color w:val="auto"/>
              </w:rPr>
            </w:pPr>
            <w:r>
              <w:rPr>
                <w:rFonts w:ascii="Arial" w:cs="Arial" w:eastAsia="Arial" w:hAnsi="Arial"/>
                <w:sz w:val="18"/>
                <w:szCs w:val="18"/>
                <w:color w:val="auto"/>
                <w:w w:val="98"/>
              </w:rPr>
              <w:t>Unit) including</w:t>
            </w:r>
          </w:p>
        </w:tc>
        <w:tc>
          <w:tcPr>
            <w:tcW w:w="1840" w:type="dxa"/>
            <w:vAlign w:val="bottom"/>
          </w:tcPr>
          <w:p>
            <w:pPr>
              <w:jc w:val="center"/>
              <w:ind w:right="170"/>
              <w:spacing w:after="0"/>
              <w:rPr>
                <w:sz w:val="20"/>
                <w:szCs w:val="20"/>
                <w:color w:val="auto"/>
              </w:rPr>
            </w:pPr>
            <w:r>
              <w:rPr>
                <w:rFonts w:ascii="Arial" w:cs="Arial" w:eastAsia="Arial" w:hAnsi="Arial"/>
                <w:sz w:val="18"/>
                <w:szCs w:val="18"/>
                <w:color w:val="auto"/>
                <w:w w:val="89"/>
              </w:rPr>
              <w:t>Announced Plans</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88"/>
              </w:rPr>
              <w:t>Under the Plans</w:t>
            </w:r>
          </w:p>
        </w:tc>
      </w:tr>
      <w:tr>
        <w:trPr>
          <w:trHeight w:val="237"/>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Period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1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commissions</w:t>
            </w:r>
          </w:p>
        </w:tc>
        <w:tc>
          <w:tcPr>
            <w:tcW w:w="1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or Programs</w:t>
            </w:r>
          </w:p>
        </w:tc>
        <w:tc>
          <w:tcPr>
            <w:tcW w:w="1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or Programs</w:t>
            </w: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August 24- August 31</w:t>
            </w:r>
          </w:p>
        </w:tc>
        <w:tc>
          <w:tcPr>
            <w:tcW w:w="14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79,861</w:t>
            </w:r>
          </w:p>
        </w:tc>
        <w:tc>
          <w:tcPr>
            <w:tcW w:w="18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$10.04</w:t>
            </w:r>
          </w:p>
        </w:tc>
        <w:tc>
          <w:tcPr>
            <w:tcW w:w="18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79,861</w:t>
            </w:r>
          </w:p>
        </w:tc>
        <w:tc>
          <w:tcPr>
            <w:tcW w:w="1680" w:type="dxa"/>
            <w:vAlign w:val="bottom"/>
          </w:tcPr>
          <w:p>
            <w:pPr>
              <w:jc w:val="right"/>
              <w:spacing w:after="0" w:line="201" w:lineRule="exact"/>
              <w:rPr>
                <w:sz w:val="20"/>
                <w:szCs w:val="20"/>
                <w:color w:val="auto"/>
              </w:rPr>
            </w:pPr>
            <w:r>
              <w:rPr>
                <w:rFonts w:ascii="Arial" w:cs="Arial" w:eastAsia="Arial" w:hAnsi="Arial"/>
                <w:sz w:val="18"/>
                <w:szCs w:val="18"/>
                <w:color w:val="auto"/>
              </w:rPr>
              <w:t>$3,918,974</w:t>
            </w: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September 1-September 30</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228,740</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$10.29</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228,740</w:t>
            </w:r>
          </w:p>
        </w:tc>
        <w:tc>
          <w:tcPr>
            <w:tcW w:w="1680" w:type="dxa"/>
            <w:vAlign w:val="bottom"/>
          </w:tcPr>
          <w:p>
            <w:pPr>
              <w:jc w:val="right"/>
              <w:spacing w:after="0"/>
              <w:rPr>
                <w:sz w:val="20"/>
                <w:szCs w:val="20"/>
                <w:color w:val="auto"/>
              </w:rPr>
            </w:pPr>
            <w:r>
              <w:rPr>
                <w:rFonts w:ascii="Arial" w:cs="Arial" w:eastAsia="Arial" w:hAnsi="Arial"/>
                <w:sz w:val="18"/>
                <w:szCs w:val="18"/>
                <w:color w:val="auto"/>
              </w:rPr>
              <w:t>$23,996,791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31.1 Certification of Chief Executive Officer pursuant to Section 302 of Sarbanes-Oxley Act.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31.2 Certification of Chief Financial Officer pursuant to Section 302 of Sarbanes-Oxley Act.</w:t>
      </w:r>
    </w:p>
    <w:p>
      <w:pPr>
        <w:spacing w:after="0" w:line="225"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32.1 Certification of Chief Executive Officer pursuant to Section 906 of Sarbanes-Oxley Act.</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32.2 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37" w:right="1379" w:bottom="1440" w:gutter="0" w:footer="0" w:header="0"/>
        </w:sectPr>
      </w:pPr>
    </w:p>
    <w:bookmarkStart w:id="27" w:name="page28"/>
    <w:bookmarkEnd w:id="2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8, 2007</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8, 2007</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 Corporate Development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8, 2007</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25" w:lineRule="exact"/>
        <w:rPr>
          <w:sz w:val="20"/>
          <w:szCs w:val="20"/>
          <w:color w:val="auto"/>
        </w:rPr>
      </w:pPr>
    </w:p>
    <w:p>
      <w:pPr>
        <w:ind w:left="880" w:hanging="87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right="60" w:firstLine="8"/>
        <w:spacing w:after="0" w:line="342" w:lineRule="auto"/>
        <w:tabs>
          <w:tab w:leader="none" w:pos="873"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873"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87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20" w:hanging="291"/>
        <w:spacing w:after="0" w:line="264"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20" w:hanging="302"/>
        <w:spacing w:after="0" w:line="264"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20" w:hanging="291"/>
        <w:spacing w:after="0" w:line="308" w:lineRule="auto"/>
        <w:tabs>
          <w:tab w:leader="none" w:pos="82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302"/>
        <w:spacing w:after="0" w:line="264"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8"/>
        <w:spacing w:after="0" w:line="308" w:lineRule="auto"/>
        <w:tabs>
          <w:tab w:leader="none" w:pos="87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291"/>
        <w:spacing w:after="0" w:line="277"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760" w:hanging="26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gridSpan w:val="3"/>
          </w:tcPr>
          <w:p>
            <w:pPr>
              <w:spacing w:after="0"/>
              <w:rPr>
                <w:sz w:val="20"/>
                <w:szCs w:val="20"/>
                <w:color w:val="auto"/>
              </w:rPr>
            </w:pPr>
            <w:r>
              <w:rPr>
                <w:rFonts w:ascii="Arial" w:cs="Arial" w:eastAsia="Arial" w:hAnsi="Arial"/>
                <w:sz w:val="18"/>
                <w:szCs w:val="18"/>
                <w:color w:val="auto"/>
              </w:rPr>
              <w:t>November 8, 2007</w:t>
            </w:r>
          </w:p>
        </w:tc>
        <w:tc>
          <w:tcPr>
            <w:tcW w:w="524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w w:val="91"/>
              </w:rPr>
              <w:t>/s/Roderick R.</w:t>
            </w:r>
          </w:p>
        </w:tc>
        <w:tc>
          <w:tcPr>
            <w:tcW w:w="0" w:type="dxa"/>
            <w:vAlign w:val="bottom"/>
          </w:tcPr>
          <w:p>
            <w:pPr>
              <w:spacing w:after="0"/>
              <w:rPr>
                <w:sz w:val="1"/>
                <w:szCs w:val="1"/>
                <w:color w:val="auto"/>
              </w:rPr>
            </w:pPr>
          </w:p>
        </w:tc>
      </w:tr>
      <w:tr>
        <w:trPr>
          <w:trHeight w:val="176"/>
        </w:trPr>
        <w:tc>
          <w:tcPr>
            <w:tcW w:w="11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Baty</w:t>
            </w: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5240" w:type="dxa"/>
            <w:vAlign w:val="bottom"/>
            <w:vMerge w:val="restart"/>
          </w:tcPr>
          <w:p>
            <w:pPr>
              <w:ind w:left="3680"/>
              <w:spacing w:after="0"/>
              <w:rPr>
                <w:sz w:val="20"/>
                <w:szCs w:val="20"/>
                <w:color w:val="auto"/>
              </w:rPr>
            </w:pPr>
            <w:r>
              <w:rPr>
                <w:rFonts w:ascii="Arial" w:cs="Arial" w:eastAsia="Arial" w:hAnsi="Arial"/>
                <w:sz w:val="18"/>
                <w:szCs w:val="18"/>
                <w:color w:val="auto"/>
              </w:rPr>
              <w:t>Roderick R. Baty</w:t>
            </w:r>
          </w:p>
        </w:tc>
        <w:tc>
          <w:tcPr>
            <w:tcW w:w="1120" w:type="dxa"/>
            <w:vAlign w:val="bottom"/>
            <w:tcBorders>
              <w:top w:val="single" w:sz="8" w:color="auto"/>
              <w:bottom w:val="single" w:sz="8" w:color="auto"/>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360" w:type="dxa"/>
            <w:vAlign w:val="bottom"/>
            <w:gridSpan w:val="2"/>
          </w:tcPr>
          <w:p>
            <w:pPr>
              <w:ind w:left="2580"/>
              <w:spacing w:after="0"/>
              <w:rPr>
                <w:sz w:val="20"/>
                <w:szCs w:val="20"/>
                <w:color w:val="auto"/>
              </w:rPr>
            </w:pPr>
            <w:r>
              <w:rPr>
                <w:rFonts w:ascii="Arial" w:cs="Arial" w:eastAsia="Arial" w:hAnsi="Arial"/>
                <w:sz w:val="18"/>
                <w:szCs w:val="18"/>
                <w:color w:val="auto"/>
                <w:w w:val="97"/>
              </w:rPr>
              <w:t>Chairman, 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25" w:lineRule="exact"/>
        <w:rPr>
          <w:sz w:val="20"/>
          <w:szCs w:val="20"/>
          <w:color w:val="auto"/>
        </w:rPr>
      </w:pPr>
    </w:p>
    <w:p>
      <w:pPr>
        <w:ind w:left="880" w:hanging="87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right="60" w:firstLine="8"/>
        <w:spacing w:after="0" w:line="342" w:lineRule="auto"/>
        <w:tabs>
          <w:tab w:leader="none" w:pos="873"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8"/>
        <w:spacing w:after="0" w:line="277"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20" w:hanging="291"/>
        <w:spacing w:after="0" w:line="264" w:lineRule="auto"/>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20" w:hanging="302"/>
        <w:spacing w:after="0" w:line="264" w:lineRule="auto"/>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20" w:hanging="291"/>
        <w:spacing w:after="0" w:line="308" w:lineRule="auto"/>
        <w:tabs>
          <w:tab w:leader="none" w:pos="82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302"/>
        <w:spacing w:after="0" w:line="264" w:lineRule="auto"/>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48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291"/>
        <w:spacing w:after="0" w:line="277" w:lineRule="auto"/>
        <w:tabs>
          <w:tab w:leader="none" w:pos="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00" w:firstLine="674"/>
        <w:spacing w:after="0" w:line="277" w:lineRule="auto"/>
        <w:tabs>
          <w:tab w:leader="none" w:pos="966"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Arial" w:cs="Arial" w:eastAsia="Arial" w:hAnsi="Arial"/>
                <w:sz w:val="18"/>
                <w:szCs w:val="18"/>
                <w:color w:val="auto"/>
                <w:w w:val="96"/>
              </w:rPr>
              <w:t>Date:  November 8, 2007</w:t>
            </w:r>
          </w:p>
        </w:tc>
        <w:tc>
          <w:tcPr>
            <w:tcW w:w="63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  s/James H. Dorton</w:t>
            </w:r>
          </w:p>
        </w:tc>
      </w:tr>
      <w:tr>
        <w:trPr>
          <w:trHeight w:val="20"/>
        </w:trPr>
        <w:tc>
          <w:tcPr>
            <w:tcW w:w="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460" w:type="dxa"/>
            <w:vAlign w:val="bottom"/>
            <w:gridSpan w:val="2"/>
          </w:tcPr>
          <w:p>
            <w:pPr>
              <w:ind w:left="5420"/>
              <w:spacing w:after="0"/>
              <w:rPr>
                <w:sz w:val="20"/>
                <w:szCs w:val="20"/>
                <w:color w:val="auto"/>
              </w:rPr>
            </w:pPr>
            <w:r>
              <w:rPr>
                <w:rFonts w:ascii="Arial" w:cs="Arial" w:eastAsia="Arial" w:hAnsi="Arial"/>
                <w:sz w:val="18"/>
                <w:szCs w:val="18"/>
                <w:color w:val="auto"/>
              </w:rPr>
              <w:t>James H. Dorton</w:t>
            </w:r>
          </w:p>
        </w:tc>
      </w:tr>
      <w:tr>
        <w:trPr>
          <w:trHeight w:val="230"/>
        </w:trPr>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460" w:type="dxa"/>
            <w:vAlign w:val="bottom"/>
            <w:gridSpan w:val="2"/>
          </w:tcPr>
          <w:p>
            <w:pPr>
              <w:ind w:left="4380"/>
              <w:spacing w:after="0"/>
              <w:rPr>
                <w:sz w:val="20"/>
                <w:szCs w:val="20"/>
                <w:color w:val="auto"/>
              </w:rPr>
            </w:pPr>
            <w:r>
              <w:rPr>
                <w:rFonts w:ascii="Arial" w:cs="Arial" w:eastAsia="Arial" w:hAnsi="Arial"/>
                <w:sz w:val="18"/>
                <w:szCs w:val="18"/>
                <w:color w:val="auto"/>
                <w:w w:val="92"/>
              </w:rPr>
              <w:t>Vice President – Corporate Development and Chief Financial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sz w:val="20"/>
                <w:szCs w:val="20"/>
                <w:color w:val="auto"/>
              </w:rPr>
            </w:pPr>
            <w:r>
              <w:rPr>
                <w:rFonts w:ascii="Arial" w:cs="Arial" w:eastAsia="Arial" w:hAnsi="Arial"/>
                <w:sz w:val="18"/>
                <w:szCs w:val="18"/>
                <w:color w:val="auto"/>
              </w:rPr>
              <w:t>Date: November 8, 2007</w:t>
            </w:r>
          </w:p>
        </w:tc>
        <w:tc>
          <w:tcPr>
            <w:tcW w:w="4200" w:type="dxa"/>
            <w:vAlign w:val="bottom"/>
            <w:gridSpan w:val="2"/>
          </w:tcPr>
          <w:p>
            <w:pPr>
              <w:ind w:left="1380"/>
              <w:spacing w:after="0"/>
              <w:rPr>
                <w:sz w:val="20"/>
                <w:szCs w:val="20"/>
                <w:color w:val="auto"/>
              </w:rPr>
            </w:pPr>
            <w:r>
              <w:rPr>
                <w:rFonts w:ascii="Arial" w:cs="Arial" w:eastAsia="Arial" w:hAnsi="Arial"/>
                <w:sz w:val="18"/>
                <w:szCs w:val="18"/>
                <w:color w:val="auto"/>
              </w:rPr>
              <w:t>/s/Roderick R. Baty</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4300" w:type="dxa"/>
            <w:vAlign w:val="bottom"/>
            <w:gridSpan w:val="2"/>
          </w:tcPr>
          <w:p>
            <w:pPr>
              <w:ind w:left="700"/>
              <w:spacing w:after="0"/>
              <w:rPr>
                <w:sz w:val="20"/>
                <w:szCs w:val="20"/>
                <w:color w:val="auto"/>
              </w:rPr>
            </w:pPr>
            <w:r>
              <w:rPr>
                <w:rFonts w:ascii="Arial" w:cs="Arial" w:eastAsia="Arial" w:hAnsi="Arial"/>
                <w:sz w:val="18"/>
                <w:szCs w:val="18"/>
                <w:color w:val="auto"/>
              </w:rPr>
              <w:t>Roderick R. Baty</w:t>
            </w:r>
          </w:p>
        </w:tc>
        <w:tc>
          <w:tcPr>
            <w:tcW w:w="13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4300" w:type="dxa"/>
            <w:vAlign w:val="bottom"/>
            <w:gridSpan w:val="2"/>
          </w:tcPr>
          <w:p>
            <w:pPr>
              <w:ind w:left="700"/>
              <w:spacing w:after="0"/>
              <w:rPr>
                <w:sz w:val="20"/>
                <w:szCs w:val="20"/>
                <w:color w:val="auto"/>
              </w:rPr>
            </w:pPr>
            <w:r>
              <w:rPr>
                <w:rFonts w:ascii="Arial" w:cs="Arial" w:eastAsia="Arial" w:hAnsi="Arial"/>
                <w:sz w:val="18"/>
                <w:szCs w:val="18"/>
                <w:color w:val="auto"/>
              </w:rPr>
              <w:t>Chairman, President and Chief</w:t>
            </w:r>
          </w:p>
        </w:tc>
        <w:tc>
          <w:tcPr>
            <w:tcW w:w="138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4300" w:type="dxa"/>
            <w:vAlign w:val="bottom"/>
            <w:gridSpan w:val="2"/>
          </w:tcPr>
          <w:p>
            <w:pPr>
              <w:ind w:left="700"/>
              <w:spacing w:after="0"/>
              <w:rPr>
                <w:sz w:val="20"/>
                <w:szCs w:val="20"/>
                <w:color w:val="auto"/>
              </w:rPr>
            </w:pPr>
            <w:r>
              <w:rPr>
                <w:rFonts w:ascii="Arial" w:cs="Arial" w:eastAsia="Arial" w:hAnsi="Arial"/>
                <w:sz w:val="18"/>
                <w:szCs w:val="18"/>
                <w:color w:val="auto"/>
              </w:rPr>
              <w:t>Executive Officer</w:t>
            </w:r>
          </w:p>
        </w:tc>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ind w:left="2260" w:right="2880" w:hanging="2249"/>
        <w:spacing w:after="0" w:line="258" w:lineRule="auto"/>
        <w:tabs>
          <w:tab w:leader="none" w:pos="22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8, 2007</w:t>
      </w:r>
      <w:r>
        <w:rPr>
          <w:sz w:val="20"/>
          <w:szCs w:val="20"/>
          <w:color w:val="auto"/>
        </w:rPr>
        <w:tab/>
      </w:r>
      <w:r>
        <w:rPr>
          <w:rFonts w:ascii="Arial" w:cs="Arial" w:eastAsia="Arial" w:hAnsi="Arial"/>
          <w:sz w:val="18"/>
          <w:szCs w:val="18"/>
          <w:color w:val="auto"/>
        </w:rPr>
        <w:t>/s/ James H. Dorton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-24765</wp:posOffset>
            </wp:positionV>
            <wp:extent cx="2108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spacing w:after="0" w:line="19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Vice President – Corporate Development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2019-12-14T02:35:17Z</dcterms:created>
  <dcterms:modified xsi:type="dcterms:W3CDTF">2019-12-14T02:35:17Z</dcterms:modified>
</cp:coreProperties>
</file>