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OMB Number: 3235-0145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Expires: February 28, 2009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5480" w:space="220"/>
            <w:col w:w="4519"/>
          </w:cols>
          <w:pgMar w:left="240" w:top="452" w:right="1440" w:bottom="0" w:gutter="0" w:footer="0" w:header="0"/>
        </w:sectPr>
      </w:pPr>
    </w:p>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1280" w:hanging="21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320" w:right="1779" w:hanging="312"/>
        <w:spacing w:after="0" w:line="237"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 corporation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rPr>
          <w:sz w:val="20"/>
          <w:szCs w:val="20"/>
          <w:color w:val="auto"/>
        </w:rPr>
      </w:pPr>
      <w:r>
        <w:rPr>
          <w:rFonts w:ascii="Courier New" w:cs="Courier New" w:eastAsia="Courier New" w:hAnsi="Courier New"/>
          <w:sz w:val="18"/>
          <w:szCs w:val="18"/>
          <w:color w:val="auto"/>
        </w:rPr>
        <w:t>Beneficially Owned by</w:t>
      </w:r>
    </w:p>
    <w:p>
      <w:pPr>
        <w:sectPr>
          <w:pgSz w:w="11900" w:h="16855" w:orient="portrait"/>
          <w:cols w:equalWidth="0" w:num="1">
            <w:col w:w="10219"/>
          </w:cols>
          <w:pgMar w:left="240" w:top="452" w:right="1440" w:bottom="0" w:gutter="0" w:footer="0" w:header="0"/>
          <w:type w:val="continuous"/>
        </w:sectPr>
      </w:pPr>
    </w:p>
    <w:bookmarkStart w:id="1" w:name="page2"/>
    <w:bookmarkEnd w:id="1"/>
    <w:p>
      <w:pPr>
        <w:spacing w:after="0" w:line="6"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Each Reporting Person With</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sectPr>
          <w:pgSz w:w="11900" w:h="16838" w:orient="portrait"/>
          <w:cols w:equalWidth="0" w:num="2">
            <w:col w:w="2220" w:space="640"/>
            <w:col w:w="7359"/>
          </w:cols>
          <w:pgMar w:left="240" w:top="136" w:right="1440" w:bottom="0" w:gutter="0" w:footer="0" w:header="0"/>
        </w:sectPr>
      </w:pP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259,908</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160" w:right="4519" w:hanging="308"/>
        <w:spacing w:after="0" w:line="357" w:lineRule="auto"/>
        <w:tabs>
          <w:tab w:leader="none" w:pos="31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329,109</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line="238" w:lineRule="auto"/>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329,109</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0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 (see response to Item 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2000 Waters Edge Drive</w:t>
      </w:r>
    </w:p>
    <w:p>
      <w:pPr>
        <w:ind w:left="1380"/>
        <w:spacing w:after="0" w:line="238" w:lineRule="auto"/>
        <w:rPr>
          <w:sz w:val="20"/>
          <w:szCs w:val="20"/>
          <w:color w:val="auto"/>
        </w:rPr>
      </w:pPr>
      <w:r>
        <w:rPr>
          <w:rFonts w:ascii="Courier New" w:cs="Courier New" w:eastAsia="Courier New" w:hAnsi="Courier New"/>
          <w:sz w:val="18"/>
          <w:szCs w:val="18"/>
          <w:color w:val="auto"/>
        </w:rPr>
        <w:t>Building C, Suite 12</w:t>
      </w:r>
    </w:p>
    <w:p>
      <w:pPr>
        <w:ind w:left="138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TCW Group, Inc., on behalf of the TCW Business Unit</w:t>
      </w:r>
    </w:p>
    <w:p>
      <w:pPr>
        <w:ind w:left="1380"/>
        <w:spacing w:after="0" w:line="238" w:lineRule="auto"/>
        <w:rPr>
          <w:sz w:val="20"/>
          <w:szCs w:val="20"/>
          <w:color w:val="auto"/>
        </w:rPr>
      </w:pPr>
      <w:r>
        <w:rPr>
          <w:rFonts w:ascii="Courier New" w:cs="Courier New" w:eastAsia="Courier New" w:hAnsi="Courier New"/>
          <w:sz w:val="18"/>
          <w:szCs w:val="18"/>
          <w:color w:val="auto"/>
        </w:rPr>
        <w:t>865 South Figueroa Street</w:t>
      </w:r>
    </w:p>
    <w:p>
      <w:pPr>
        <w:ind w:left="1380"/>
        <w:spacing w:after="0"/>
        <w:rPr>
          <w:sz w:val="20"/>
          <w:szCs w:val="20"/>
          <w:color w:val="auto"/>
        </w:rPr>
      </w:pPr>
      <w:r>
        <w:rPr>
          <w:rFonts w:ascii="Courier New" w:cs="Courier New" w:eastAsia="Courier New" w:hAnsi="Courier New"/>
          <w:sz w:val="18"/>
          <w:szCs w:val="18"/>
          <w:color w:val="auto"/>
        </w:rPr>
        <w:t>Los Angeles, CA 90017</w:t>
      </w:r>
    </w:p>
    <w:p>
      <w:pPr>
        <w:ind w:left="1380"/>
        <w:spacing w:after="0" w:line="237" w:lineRule="auto"/>
        <w:rPr>
          <w:sz w:val="20"/>
          <w:szCs w:val="20"/>
          <w:color w:val="auto"/>
        </w:rPr>
      </w:pPr>
      <w:r>
        <w:rPr>
          <w:rFonts w:ascii="Courier New" w:cs="Courier New" w:eastAsia="Courier New" w:hAnsi="Courier New"/>
          <w:sz w:val="18"/>
          <w:szCs w:val="18"/>
          <w:color w:val="auto"/>
        </w:rPr>
        <w:t>(Nevada Corporation)</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3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580" w:right="231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 (15 U.S.C. 78o).</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 (15 U.S.C. 78c).</w:t>
      </w:r>
    </w:p>
    <w:p>
      <w:pPr>
        <w:spacing w:after="0" w:line="5"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1580" w:right="219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Item 7)</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207" w:lineRule="exact"/>
        <w:rPr>
          <w:sz w:val="20"/>
          <w:szCs w:val="20"/>
          <w:color w:val="auto"/>
        </w:rPr>
      </w:pPr>
    </w:p>
    <w:p>
      <w:pPr>
        <w:ind w:left="1580" w:right="1999" w:hanging="1045"/>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TCW Group, Inc., on behalf of the Business Unit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329,109</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2.0%</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259,908</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329,109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Dated this 11th day of February, 2008.</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TCW Group, Inc., on behalf of the</w:t>
      </w:r>
    </w:p>
    <w:p>
      <w:pPr>
        <w:ind w:left="3900"/>
        <w:spacing w:after="0" w:line="238" w:lineRule="auto"/>
        <w:rPr>
          <w:sz w:val="20"/>
          <w:szCs w:val="20"/>
          <w:color w:val="auto"/>
        </w:rPr>
      </w:pPr>
      <w:r>
        <w:rPr>
          <w:rFonts w:ascii="Courier New" w:cs="Courier New" w:eastAsia="Courier New" w:hAnsi="Courier New"/>
          <w:sz w:val="18"/>
          <w:szCs w:val="18"/>
          <w:color w:val="auto"/>
        </w:rPr>
        <w:t>TCW Business Unit</w:t>
      </w:r>
    </w:p>
    <w:p>
      <w:pPr>
        <w:spacing w:after="0" w:line="202"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TCW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160" w:right="2099" w:hanging="625"/>
        <w:spacing w:after="0" w:line="290"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of the West, a California corporation and a bank as defined in Section 3(a)(6) of the Securities Exchange Act of 1934.</w:t>
      </w:r>
    </w:p>
    <w:p>
      <w:pPr>
        <w:spacing w:after="0" w:line="169" w:lineRule="exact"/>
        <w:rPr>
          <w:rFonts w:ascii="Courier New" w:cs="Courier New" w:eastAsia="Courier New" w:hAnsi="Courier New"/>
          <w:sz w:val="16"/>
          <w:szCs w:val="16"/>
          <w:color w:val="auto"/>
        </w:rPr>
      </w:pPr>
    </w:p>
    <w:p>
      <w:pPr>
        <w:ind w:left="1160" w:right="2199" w:hanging="625"/>
        <w:spacing w:after="0" w:line="236" w:lineRule="auto"/>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2099" w:hanging="625"/>
        <w:spacing w:after="0" w:line="236" w:lineRule="auto"/>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Investment Management Company, a California corporation and an Investment Adviser registered under Section 203 of the Investment Advisers Act of 1940.</w:t>
      </w:r>
    </w:p>
    <w:p>
      <w:pPr>
        <w:spacing w:after="0" w:line="209"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 the provision of investment management services.</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July 6, 2001, the ultimate parent company of TCW is Societe Generale, S.A., a corporation formed under the laws of France ("SG"). The principal business of SG is acting as a holding company for a global financial services group, which includes certain distinct specialized business units that are independently operated, including the TCW Business Unit.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SG, for purpose of the federal securities laws, may be deemed ultimately to control TCW and the TCW Business Unit. SG, its executive officers and directors, and its direct and indirect subsidiaries (including all business units except the TCW Business Unit), may beneficially own shares of the securities of the issuer to which this schedule relates (the "Shares") and such shares are not reported in this statement. In accordance with Securities and Exchange Commission ("SEC") Release No. 34-39538 (January 12, 1998), and due to the separate management and independent operation of its business units, SG disclaims beneficial ownership of Shares beneficially owned by the Reporting Person. The Reporting Person disclaims beneficial ownership of Shares beneficially owned by SG and any of SG's other business units.</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lvl w:ilvl="1">
      <w:lvlJc w:val="left"/>
      <w:lvlText w:val="%2."/>
      <w:numFmt w:val="decimal"/>
      <w:start w:val="1"/>
    </w:lvl>
  </w:abstractNum>
  <w:abstractNum w:abstractNumId="7">
    <w:nsid w:val="7FDCC23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1BEFD79F"/>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1A7C4C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0">
    <w:nsid w:val="6B68079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1">
    <w:nsid w:val="4E6AFB6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8"/>
    </w:lvl>
  </w:abstractNum>
  <w:abstractNum w:abstractNumId="17">
    <w:nsid w:val="257130A3"/>
    <w:multiLevelType w:val="hybridMultilevel"/>
    <w:lvl w:ilvl="0">
      <w:lvlJc w:val="left"/>
      <w:lvlText w:val="(%1)"/>
      <w:numFmt w:val="lowerLetter"/>
      <w:start w:val="1"/>
    </w:lvl>
    <w:lvl w:ilvl="1">
      <w:lvlJc w:val="left"/>
      <w:lvlText w:val="(%2)"/>
      <w:numFmt w:val="lowerRoman"/>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2019-12-14T03:16:11Z</dcterms:created>
  <dcterms:modified xsi:type="dcterms:W3CDTF">2019-12-14T03:16:11Z</dcterms:modified>
</cp:coreProperties>
</file>