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314960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332105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163195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348615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326390</wp:posOffset>
            </wp:positionV>
            <wp:extent cx="2597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497840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300355</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2400"/>
        <w:spacing w:after="0"/>
        <w:tabs>
          <w:tab w:leader="none" w:pos="80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62-1096725</w:t>
      </w:r>
    </w:p>
    <w:p>
      <w:pPr>
        <w:spacing w:after="0" w:line="77" w:lineRule="exact"/>
        <w:rPr>
          <w:sz w:val="24"/>
          <w:szCs w:val="24"/>
          <w:color w:val="auto"/>
        </w:rPr>
      </w:pPr>
    </w:p>
    <w:p>
      <w:pPr>
        <w:ind w:left="1780"/>
        <w:spacing w:after="0"/>
        <w:tabs>
          <w:tab w:leader="none" w:pos="7900" w:val="left"/>
        </w:tabs>
        <w:rPr>
          <w:sz w:val="20"/>
          <w:szCs w:val="20"/>
          <w:color w:val="auto"/>
        </w:rPr>
      </w:pPr>
      <w:r>
        <w:rPr>
          <w:rFonts w:ascii="Arial" w:cs="Arial" w:eastAsia="Arial" w:hAnsi="Arial"/>
          <w:sz w:val="16"/>
          <w:szCs w:val="16"/>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spacing w:after="0" w:line="22" w:lineRule="exact"/>
        <w:rPr>
          <w:sz w:val="24"/>
          <w:szCs w:val="24"/>
          <w:color w:val="auto"/>
        </w:rPr>
      </w:pPr>
    </w:p>
    <w:p>
      <w:pPr>
        <w:ind w:left="1740"/>
        <w:spacing w:after="0"/>
        <w:tabs>
          <w:tab w:leader="none" w:pos="7680" w:val="left"/>
        </w:tabs>
        <w:rPr>
          <w:sz w:val="20"/>
          <w:szCs w:val="20"/>
          <w:color w:val="auto"/>
        </w:rPr>
      </w:pPr>
      <w:r>
        <w:rPr>
          <w:rFonts w:ascii="Arial" w:cs="Arial" w:eastAsia="Arial" w:hAnsi="Arial"/>
          <w:sz w:val="16"/>
          <w:szCs w:val="16"/>
          <w:i w:val="1"/>
          <w:iCs w:val="1"/>
          <w:color w:val="auto"/>
        </w:rPr>
        <w:t>incorporation or organization)</w:t>
      </w:r>
      <w:r>
        <w:rPr>
          <w:sz w:val="20"/>
          <w:szCs w:val="20"/>
          <w:color w:val="auto"/>
        </w:rPr>
        <w:tab/>
      </w:r>
      <w:r>
        <w:rPr>
          <w:rFonts w:ascii="Arial" w:cs="Arial" w:eastAsia="Arial" w:hAnsi="Arial"/>
          <w:sz w:val="15"/>
          <w:szCs w:val="15"/>
          <w:i w:val="1"/>
          <w:iCs w:val="1"/>
          <w:color w:val="auto"/>
        </w:rPr>
        <w:t>Identification Number)</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6210 Ardrey Kell Road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Charlotte, North Carolina 28277</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3" w:lineRule="exact"/>
        <w:rPr>
          <w:sz w:val="24"/>
          <w:szCs w:val="24"/>
          <w:color w:val="auto"/>
        </w:rPr>
      </w:pPr>
    </w:p>
    <w:p>
      <w:pPr>
        <w:ind w:left="1400"/>
        <w:spacing w:after="0"/>
        <w:tabs>
          <w:tab w:leader="none" w:pos="5160" w:val="left"/>
          <w:tab w:leader="none" w:pos="804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4"/>
          <w:szCs w:val="14"/>
          <w:i w:val="1"/>
          <w:iCs w:val="1"/>
          <w:color w:val="auto"/>
        </w:rPr>
        <w:t>Trading symbol</w:t>
      </w:r>
      <w:r>
        <w:rPr>
          <w:sz w:val="20"/>
          <w:szCs w:val="20"/>
          <w:color w:val="auto"/>
        </w:rPr>
        <w:tab/>
      </w:r>
      <w:r>
        <w:rPr>
          <w:rFonts w:ascii="Arial" w:cs="Arial" w:eastAsia="Arial" w:hAnsi="Arial"/>
          <w:sz w:val="12"/>
          <w:szCs w:val="12"/>
          <w:i w:val="1"/>
          <w:iCs w:val="1"/>
          <w:color w:val="auto"/>
        </w:rPr>
        <w:t>Name of each exchange on which registered</w:t>
      </w:r>
    </w:p>
    <w:p>
      <w:pPr>
        <w:spacing w:after="0" w:line="105" w:lineRule="exact"/>
        <w:rPr>
          <w:sz w:val="24"/>
          <w:szCs w:val="24"/>
          <w:color w:val="auto"/>
        </w:rPr>
      </w:pPr>
    </w:p>
    <w:p>
      <w:pPr>
        <w:ind w:left="640"/>
        <w:spacing w:after="0"/>
        <w:tabs>
          <w:tab w:leader="none" w:pos="5400" w:val="left"/>
          <w:tab w:leader="none" w:pos="8320" w:val="left"/>
        </w:tabs>
        <w:rPr>
          <w:sz w:val="20"/>
          <w:szCs w:val="20"/>
          <w:color w:val="auto"/>
        </w:rPr>
      </w:pPr>
      <w:r>
        <w:rPr>
          <w:rFonts w:ascii="Arial" w:cs="Arial" w:eastAsia="Arial" w:hAnsi="Arial"/>
          <w:sz w:val="14"/>
          <w:szCs w:val="14"/>
          <w:b w:val="1"/>
          <w:bCs w:val="1"/>
          <w:color w:val="auto"/>
        </w:rPr>
        <w:t>Common Stock, par value $0.01 per share</w:t>
      </w:r>
      <w:r>
        <w:rPr>
          <w:sz w:val="20"/>
          <w:szCs w:val="20"/>
          <w:color w:val="auto"/>
        </w:rPr>
        <w:tab/>
      </w:r>
      <w:r>
        <w:rPr>
          <w:rFonts w:ascii="Arial" w:cs="Arial" w:eastAsia="Arial" w:hAnsi="Arial"/>
          <w:sz w:val="14"/>
          <w:szCs w:val="14"/>
          <w:b w:val="1"/>
          <w:bCs w:val="1"/>
          <w:color w:val="auto"/>
        </w:rPr>
        <w:t>NNBR</w:t>
      </w:r>
      <w:r>
        <w:rPr>
          <w:sz w:val="20"/>
          <w:szCs w:val="20"/>
          <w:color w:val="auto"/>
        </w:rPr>
        <w:tab/>
      </w:r>
      <w:r>
        <w:rPr>
          <w:rFonts w:ascii="Arial" w:cs="Arial" w:eastAsia="Arial" w:hAnsi="Arial"/>
          <w:sz w:val="13"/>
          <w:szCs w:val="13"/>
          <w:b w:val="1"/>
          <w:bCs w:val="1"/>
          <w:color w:val="auto"/>
        </w:rPr>
        <w:t>The Nasdaq Stock Market, LLC</w:t>
      </w:r>
    </w:p>
    <w:p>
      <w:pPr>
        <w:spacing w:after="0" w:line="73"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sectPr>
      </w:pPr>
    </w:p>
    <w:p>
      <w:pPr>
        <w:spacing w:after="0" w:line="106" w:lineRule="exact"/>
        <w:rPr>
          <w:sz w:val="24"/>
          <w:szCs w:val="24"/>
          <w:color w:val="auto"/>
        </w:rPr>
      </w:pPr>
    </w:p>
    <w:p>
      <w:pPr>
        <w:ind w:left="40"/>
        <w:spacing w:after="0" w:line="161" w:lineRule="exact"/>
        <w:tabs>
          <w:tab w:leader="none" w:pos="2460" w:val="left"/>
          <w:tab w:leader="none" w:pos="81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90" w:lineRule="exact"/>
        <w:rPr>
          <w:sz w:val="24"/>
          <w:szCs w:val="24"/>
          <w:color w:val="auto"/>
        </w:rPr>
      </w:pPr>
    </w:p>
    <w:p>
      <w:pPr>
        <w:ind w:left="40"/>
        <w:spacing w:after="0" w:line="161" w:lineRule="exact"/>
        <w:tabs>
          <w:tab w:leader="none" w:pos="2460" w:val="left"/>
          <w:tab w:leader="none" w:pos="81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271" w:lineRule="exact"/>
        <w:rPr>
          <w:sz w:val="24"/>
          <w:szCs w:val="24"/>
          <w:color w:val="auto"/>
        </w:rPr>
      </w:pPr>
    </w:p>
    <w:p>
      <w:pPr>
        <w:ind w:left="8160"/>
        <w:spacing w:after="0"/>
        <w:rPr>
          <w:sz w:val="20"/>
          <w:szCs w:val="20"/>
          <w:color w:val="auto"/>
        </w:rPr>
      </w:pPr>
      <w:r>
        <w:rPr>
          <w:rFonts w:ascii="Arial" w:cs="Arial" w:eastAsia="Arial" w:hAnsi="Arial"/>
          <w:sz w:val="14"/>
          <w:szCs w:val="14"/>
          <w:color w:val="auto"/>
        </w:rPr>
        <w:t>Emerging growth company</w:t>
      </w:r>
    </w:p>
    <w:p>
      <w:pPr>
        <w:spacing w:after="0" w:line="6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060"/>
        <w:spacing w:after="0" w:line="20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7, 2020, there were 42,757,128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162560</wp:posOffset>
            </wp:positionV>
            <wp:extent cx="706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179705</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5" w:lineRule="exact"/>
        <w:rPr>
          <w:sz w:val="24"/>
          <w:szCs w:val="24"/>
          <w:color w:val="auto"/>
        </w:rPr>
      </w:pPr>
    </w:p>
    <w:p>
      <w:pPr>
        <w:sectPr>
          <w:pgSz w:w="11900" w:h="16838" w:orient="portrait"/>
          <w:cols w:equalWidth="0" w:num="2">
            <w:col w:w="10680" w:space="140"/>
            <w:col w:w="400"/>
          </w:cols>
          <w:pgMar w:left="320" w:top="233" w:right="359" w:bottom="1440" w:gutter="0" w:footer="0" w:header="0"/>
          <w:type w:val="continuous"/>
        </w:sectPr>
      </w:pP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980" w:type="dxa"/>
            <w:vAlign w:val="bottom"/>
            <w:gridSpan w:val="2"/>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980" w:type="dxa"/>
            <w:vAlign w:val="bottom"/>
            <w:gridSpan w:val="2"/>
            <w:vMerge w:val="continue"/>
          </w:tcPr>
          <w:p>
            <w:pPr>
              <w:spacing w:after="0"/>
              <w:rPr>
                <w:sz w:val="20"/>
                <w:szCs w:val="20"/>
                <w:color w:val="auto"/>
              </w:rPr>
            </w:pPr>
          </w:p>
        </w:tc>
        <w:tc>
          <w:tcPr>
            <w:tcW w:w="12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92"/>
        </w:trPr>
        <w:tc>
          <w:tcPr>
            <w:tcW w:w="1280" w:type="dxa"/>
            <w:vAlign w:val="bottom"/>
          </w:tcPr>
          <w:p>
            <w:pPr>
              <w:ind w:left="380"/>
              <w:spacing w:after="0"/>
              <w:rPr>
                <w:sz w:val="20"/>
                <w:szCs w:val="20"/>
                <w:color w:val="auto"/>
              </w:rPr>
            </w:pPr>
            <w:r>
              <w:rPr>
                <w:rFonts w:ascii="Arial" w:cs="Arial" w:eastAsia="Arial" w:hAnsi="Arial"/>
                <w:sz w:val="18"/>
                <w:szCs w:val="18"/>
                <w:color w:val="auto"/>
              </w:rPr>
              <w:t>Item 1.</w:t>
            </w:r>
          </w:p>
        </w:tc>
        <w:tc>
          <w:tcPr>
            <w:tcW w:w="87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2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8700" w:type="dxa"/>
            <w:vAlign w:val="bottom"/>
          </w:tcPr>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Operations and Comprehensive Income (Loss) (Unaudited)</w:t>
              </w:r>
            </w:hyperlink>
          </w:p>
        </w:tc>
        <w:tc>
          <w:tcPr>
            <w:tcW w:w="12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8700" w:type="dxa"/>
            <w:vAlign w:val="bottom"/>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(Unaudited)</w:t>
              </w:r>
            </w:hyperlink>
          </w:p>
        </w:tc>
        <w:tc>
          <w:tcPr>
            <w:tcW w:w="12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8700" w:type="dxa"/>
            <w:vAlign w:val="bottom"/>
          </w:tcPr>
          <w:p>
            <w:pPr>
              <w:ind w:left="4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 of Changes in Stockholders’ Equity (Unaudited)</w:t>
              </w:r>
            </w:hyperlink>
          </w:p>
        </w:tc>
        <w:tc>
          <w:tcPr>
            <w:tcW w:w="12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8700" w:type="dxa"/>
            <w:vAlign w:val="bottom"/>
          </w:tcPr>
          <w:p>
            <w:pPr>
              <w:ind w:left="4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(Unaudited)</w:t>
              </w:r>
            </w:hyperlink>
          </w:p>
        </w:tc>
        <w:tc>
          <w:tcPr>
            <w:tcW w:w="12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8700" w:type="dxa"/>
            <w:vAlign w:val="bottom"/>
          </w:tcPr>
          <w:p>
            <w:pPr>
              <w:ind w:left="4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12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92"/>
        </w:trPr>
        <w:tc>
          <w:tcPr>
            <w:tcW w:w="1280" w:type="dxa"/>
            <w:vAlign w:val="bottom"/>
          </w:tcPr>
          <w:p>
            <w:pPr>
              <w:ind w:left="240"/>
              <w:spacing w:after="0"/>
              <w:rPr>
                <w:sz w:val="20"/>
                <w:szCs w:val="20"/>
                <w:color w:val="auto"/>
              </w:rPr>
            </w:pPr>
            <w:r>
              <w:rPr>
                <w:rFonts w:ascii="Arial" w:cs="Arial" w:eastAsia="Arial" w:hAnsi="Arial"/>
                <w:sz w:val="18"/>
                <w:szCs w:val="18"/>
                <w:color w:val="auto"/>
              </w:rPr>
              <w:t>Item 2.</w:t>
            </w:r>
          </w:p>
        </w:tc>
        <w:tc>
          <w:tcPr>
            <w:tcW w:w="87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392"/>
        </w:trPr>
        <w:tc>
          <w:tcPr>
            <w:tcW w:w="1280" w:type="dxa"/>
            <w:vAlign w:val="bottom"/>
          </w:tcPr>
          <w:p>
            <w:pPr>
              <w:ind w:left="240"/>
              <w:spacing w:after="0"/>
              <w:rPr>
                <w:sz w:val="20"/>
                <w:szCs w:val="20"/>
                <w:color w:val="auto"/>
              </w:rPr>
            </w:pPr>
            <w:r>
              <w:rPr>
                <w:rFonts w:ascii="Arial" w:cs="Arial" w:eastAsia="Arial" w:hAnsi="Arial"/>
                <w:sz w:val="18"/>
                <w:szCs w:val="18"/>
                <w:color w:val="auto"/>
              </w:rPr>
              <w:t>Item 3.</w:t>
            </w:r>
          </w:p>
        </w:tc>
        <w:tc>
          <w:tcPr>
            <w:tcW w:w="8700" w:type="dxa"/>
            <w:vAlign w:val="bottom"/>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92"/>
        </w:trPr>
        <w:tc>
          <w:tcPr>
            <w:tcW w:w="1280" w:type="dxa"/>
            <w:vAlign w:val="bottom"/>
          </w:tcPr>
          <w:p>
            <w:pPr>
              <w:ind w:left="240"/>
              <w:spacing w:after="0"/>
              <w:rPr>
                <w:sz w:val="20"/>
                <w:szCs w:val="20"/>
                <w:color w:val="auto"/>
              </w:rPr>
            </w:pPr>
            <w:r>
              <w:rPr>
                <w:rFonts w:ascii="Arial" w:cs="Arial" w:eastAsia="Arial" w:hAnsi="Arial"/>
                <w:sz w:val="18"/>
                <w:szCs w:val="18"/>
                <w:color w:val="auto"/>
              </w:rPr>
              <w:t>Item 4.</w:t>
            </w:r>
          </w:p>
        </w:tc>
        <w:tc>
          <w:tcPr>
            <w:tcW w:w="8700" w:type="dxa"/>
            <w:vAlign w:val="bottom"/>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91"/>
        </w:trPr>
        <w:tc>
          <w:tcPr>
            <w:tcW w:w="998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 OTHER INFORMATION</w:t>
              </w:r>
            </w:hyperlink>
          </w:p>
        </w:tc>
        <w:tc>
          <w:tcPr>
            <w:tcW w:w="12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392"/>
        </w:trPr>
        <w:tc>
          <w:tcPr>
            <w:tcW w:w="1280" w:type="dxa"/>
            <w:vAlign w:val="bottom"/>
          </w:tcPr>
          <w:p>
            <w:pPr>
              <w:ind w:left="240"/>
              <w:spacing w:after="0"/>
              <w:rPr>
                <w:sz w:val="20"/>
                <w:szCs w:val="20"/>
                <w:color w:val="auto"/>
              </w:rPr>
            </w:pPr>
            <w:r>
              <w:rPr>
                <w:rFonts w:ascii="Arial" w:cs="Arial" w:eastAsia="Arial" w:hAnsi="Arial"/>
                <w:sz w:val="18"/>
                <w:szCs w:val="18"/>
                <w:color w:val="auto"/>
              </w:rPr>
              <w:t>Item 1.</w:t>
            </w:r>
          </w:p>
        </w:tc>
        <w:tc>
          <w:tcPr>
            <w:tcW w:w="8700" w:type="dxa"/>
            <w:vAlign w:val="bottom"/>
          </w:tcPr>
          <w:p>
            <w:pPr>
              <w:ind w:left="2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392"/>
        </w:trPr>
        <w:tc>
          <w:tcPr>
            <w:tcW w:w="1280" w:type="dxa"/>
            <w:vAlign w:val="bottom"/>
          </w:tcPr>
          <w:p>
            <w:pPr>
              <w:ind w:left="240"/>
              <w:spacing w:after="0"/>
              <w:rPr>
                <w:sz w:val="20"/>
                <w:szCs w:val="20"/>
                <w:color w:val="auto"/>
              </w:rPr>
            </w:pPr>
            <w:r>
              <w:rPr>
                <w:rFonts w:ascii="Arial" w:cs="Arial" w:eastAsia="Arial" w:hAnsi="Arial"/>
                <w:sz w:val="18"/>
                <w:szCs w:val="18"/>
                <w:color w:val="auto"/>
              </w:rPr>
              <w:t>Item 1A.</w:t>
            </w:r>
          </w:p>
        </w:tc>
        <w:tc>
          <w:tcPr>
            <w:tcW w:w="8700" w:type="dxa"/>
            <w:vAlign w:val="bottom"/>
          </w:tcPr>
          <w:p>
            <w:pPr>
              <w:ind w:left="2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12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70"/>
        </w:trPr>
        <w:tc>
          <w:tcPr>
            <w:tcW w:w="1280" w:type="dxa"/>
            <w:vAlign w:val="bottom"/>
          </w:tcPr>
          <w:p>
            <w:pPr>
              <w:ind w:left="240"/>
              <w:spacing w:after="0"/>
              <w:rPr>
                <w:sz w:val="20"/>
                <w:szCs w:val="20"/>
                <w:color w:val="auto"/>
              </w:rPr>
            </w:pPr>
            <w:r>
              <w:rPr>
                <w:rFonts w:ascii="Arial" w:cs="Arial" w:eastAsia="Arial" w:hAnsi="Arial"/>
                <w:sz w:val="18"/>
                <w:szCs w:val="18"/>
                <w:color w:val="auto"/>
              </w:rPr>
              <w:t>Item 2.</w:t>
            </w:r>
          </w:p>
        </w:tc>
        <w:tc>
          <w:tcPr>
            <w:tcW w:w="870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12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70"/>
        </w:trPr>
        <w:tc>
          <w:tcPr>
            <w:tcW w:w="1280" w:type="dxa"/>
            <w:vAlign w:val="bottom"/>
          </w:tcPr>
          <w:p>
            <w:pPr>
              <w:ind w:left="240"/>
              <w:spacing w:after="0"/>
              <w:rPr>
                <w:sz w:val="20"/>
                <w:szCs w:val="20"/>
                <w:color w:val="auto"/>
              </w:rPr>
            </w:pPr>
            <w:r>
              <w:rPr>
                <w:rFonts w:ascii="Arial" w:cs="Arial" w:eastAsia="Arial" w:hAnsi="Arial"/>
                <w:sz w:val="18"/>
                <w:szCs w:val="18"/>
                <w:color w:val="auto"/>
              </w:rPr>
              <w:t>Item 3.</w:t>
            </w:r>
          </w:p>
        </w:tc>
        <w:tc>
          <w:tcPr>
            <w:tcW w:w="870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Defaults upon Senior Securities</w:t>
              </w:r>
            </w:hyperlink>
          </w:p>
        </w:tc>
        <w:tc>
          <w:tcPr>
            <w:tcW w:w="12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70"/>
        </w:trPr>
        <w:tc>
          <w:tcPr>
            <w:tcW w:w="1280" w:type="dxa"/>
            <w:vAlign w:val="bottom"/>
          </w:tcPr>
          <w:p>
            <w:pPr>
              <w:ind w:left="240"/>
              <w:spacing w:after="0"/>
              <w:rPr>
                <w:sz w:val="20"/>
                <w:szCs w:val="20"/>
                <w:color w:val="auto"/>
              </w:rPr>
            </w:pPr>
            <w:r>
              <w:rPr>
                <w:rFonts w:ascii="Arial" w:cs="Arial" w:eastAsia="Arial" w:hAnsi="Arial"/>
                <w:sz w:val="18"/>
                <w:szCs w:val="18"/>
                <w:color w:val="auto"/>
              </w:rPr>
              <w:t>Item 4.</w:t>
            </w:r>
          </w:p>
        </w:tc>
        <w:tc>
          <w:tcPr>
            <w:tcW w:w="870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12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70"/>
        </w:trPr>
        <w:tc>
          <w:tcPr>
            <w:tcW w:w="1280" w:type="dxa"/>
            <w:vAlign w:val="bottom"/>
          </w:tcPr>
          <w:p>
            <w:pPr>
              <w:ind w:left="240"/>
              <w:spacing w:after="0"/>
              <w:rPr>
                <w:sz w:val="20"/>
                <w:szCs w:val="20"/>
                <w:color w:val="auto"/>
              </w:rPr>
            </w:pPr>
            <w:r>
              <w:rPr>
                <w:rFonts w:ascii="Arial" w:cs="Arial" w:eastAsia="Arial" w:hAnsi="Arial"/>
                <w:sz w:val="18"/>
                <w:szCs w:val="18"/>
                <w:color w:val="auto"/>
              </w:rPr>
              <w:t>Item 5.</w:t>
            </w:r>
          </w:p>
        </w:tc>
        <w:tc>
          <w:tcPr>
            <w:tcW w:w="870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12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70"/>
        </w:trPr>
        <w:tc>
          <w:tcPr>
            <w:tcW w:w="1280" w:type="dxa"/>
            <w:vAlign w:val="bottom"/>
          </w:tcPr>
          <w:p>
            <w:pPr>
              <w:ind w:left="240"/>
              <w:spacing w:after="0"/>
              <w:rPr>
                <w:sz w:val="20"/>
                <w:szCs w:val="20"/>
                <w:color w:val="auto"/>
              </w:rPr>
            </w:pPr>
            <w:r>
              <w:rPr>
                <w:rFonts w:ascii="Arial" w:cs="Arial" w:eastAsia="Arial" w:hAnsi="Arial"/>
                <w:sz w:val="18"/>
                <w:szCs w:val="18"/>
                <w:color w:val="auto"/>
              </w:rPr>
              <w:t>Item 6.</w:t>
            </w:r>
          </w:p>
        </w:tc>
        <w:tc>
          <w:tcPr>
            <w:tcW w:w="8700" w:type="dxa"/>
            <w:vAlign w:val="bottom"/>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12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70"/>
        </w:trPr>
        <w:tc>
          <w:tcPr>
            <w:tcW w:w="12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tc>
        <w:tc>
          <w:tcPr>
            <w:tcW w:w="8700" w:type="dxa"/>
            <w:vAlign w:val="bottom"/>
          </w:tcPr>
          <w:p>
            <w:pPr>
              <w:spacing w:after="0"/>
              <w:rPr>
                <w:sz w:val="23"/>
                <w:szCs w:val="23"/>
                <w:color w:val="auto"/>
              </w:rPr>
            </w:pPr>
          </w:p>
        </w:tc>
        <w:tc>
          <w:tcPr>
            <w:tcW w:w="12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 FINANCIAL INFORMATION</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213,256</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152,241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162,187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28,125</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23,425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Restructuring and integration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239,699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2,699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Loss before benefit (provision) for income taxes and share of net income (loss) from joint venture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(17,546)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Share of net income (loss) from joint venture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269</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(19,518)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40"/>
        </w:trPr>
        <w:tc>
          <w:tcPr>
            <w:tcW w:w="8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Change in fair value of interest rate swap,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r>
      <w:tr>
        <w:trPr>
          <w:trHeight w:val="243"/>
        </w:trPr>
        <w:tc>
          <w:tcPr>
            <w:tcW w:w="8240" w:type="dxa"/>
            <w:vAlign w:val="bottom"/>
          </w:tcPr>
          <w:p>
            <w:pPr>
              <w:ind w:left="580"/>
              <w:spacing w:after="0"/>
              <w:rPr>
                <w:sz w:val="20"/>
                <w:szCs w:val="20"/>
                <w:color w:val="auto"/>
              </w:rPr>
            </w:pPr>
            <w:r>
              <w:rPr>
                <w:rFonts w:ascii="Arial" w:cs="Arial" w:eastAsia="Arial" w:hAnsi="Arial"/>
                <w:sz w:val="18"/>
                <w:szCs w:val="18"/>
                <w:color w:val="auto"/>
              </w:rPr>
              <w:t>Less: reclassification adjustment for (gains) losses included in net income, net of tax</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(22,053)</w:t>
            </w:r>
          </w:p>
        </w:tc>
      </w:tr>
      <w:tr>
        <w:trPr>
          <w:trHeight w:val="67"/>
        </w:trPr>
        <w:tc>
          <w:tcPr>
            <w:tcW w:w="8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0"/>
        </w:trPr>
        <w:tc>
          <w:tcPr>
            <w:tcW w:w="8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net income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Net income (loss)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41,972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common share: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41,972</w:t>
            </w:r>
          </w:p>
        </w:tc>
      </w:tr>
    </w:tbl>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320" w:top="125" w:right="7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128,458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131,558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118,722</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37"/>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362,982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302,980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374,513</w:t>
            </w: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65,496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439,095</w:t>
            </w: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317,918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329,260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joint venture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1,541,984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59,792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57,340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37"/>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139,481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85,799</w:t>
            </w: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Non-current income tax payable</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757,440</w:t>
            </w:r>
          </w:p>
        </w:tc>
        <w:tc>
          <w:tcPr>
            <w:tcW w:w="0" w:type="dxa"/>
            <w:vAlign w:val="bottom"/>
          </w:tcPr>
          <w:p>
            <w:pPr>
              <w:spacing w:after="0"/>
              <w:rPr>
                <w:sz w:val="1"/>
                <w:szCs w:val="1"/>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66,980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44,723</w:t>
            </w:r>
          </w:p>
        </w:tc>
        <w:tc>
          <w:tcPr>
            <w:tcW w:w="0" w:type="dxa"/>
            <w:vAlign w:val="bottom"/>
          </w:tcPr>
          <w:p>
            <w:pPr>
              <w:spacing w:after="0"/>
              <w:rPr>
                <w:sz w:val="1"/>
                <w:szCs w:val="1"/>
                <w:color w:val="auto"/>
              </w:rPr>
            </w:pPr>
          </w:p>
        </w:tc>
      </w:tr>
      <w:tr>
        <w:trPr>
          <w:trHeight w:val="237"/>
        </w:trPr>
        <w:tc>
          <w:tcPr>
            <w:tcW w:w="8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1,150,587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1,095,695</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color w:val="auto"/>
                <w:w w:val="92"/>
              </w:rPr>
              <w:t>Series B convertible preferred stock - $0.01 par value per share, 100 shares authorized, 100 and 100 shares issued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March 31, 2020</w:t>
            </w: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95,664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93,012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380"/>
              <w:spacing w:after="0"/>
              <w:rPr>
                <w:sz w:val="20"/>
                <w:szCs w:val="20"/>
                <w:color w:val="auto"/>
              </w:rPr>
            </w:pPr>
            <w:r>
              <w:rPr>
                <w:rFonts w:ascii="Arial" w:cs="Arial" w:eastAsia="Arial" w:hAnsi="Arial"/>
                <w:sz w:val="18"/>
                <w:szCs w:val="18"/>
                <w:color w:val="auto"/>
                <w:w w:val="95"/>
              </w:rPr>
              <w:t>Common stock - $0.01 par value per share, 90,000 shares authorized, 42,313 and 42,757 shares issued and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80"/>
              <w:spacing w:after="0"/>
              <w:rPr>
                <w:sz w:val="20"/>
                <w:szCs w:val="20"/>
                <w:color w:val="auto"/>
              </w:rPr>
            </w:pPr>
            <w:r>
              <w:rPr>
                <w:rFonts w:ascii="Arial" w:cs="Arial" w:eastAsia="Arial" w:hAnsi="Arial"/>
                <w:sz w:val="18"/>
                <w:szCs w:val="18"/>
                <w:color w:val="auto"/>
              </w:rPr>
              <w:t>outstanding at December 31, 2019, and March 31, 2020, respectively</w:t>
            </w: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499,925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501,615</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(105,283)</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353,277</w:t>
            </w:r>
          </w:p>
        </w:tc>
        <w:tc>
          <w:tcPr>
            <w:tcW w:w="0" w:type="dxa"/>
            <w:vAlign w:val="bottom"/>
          </w:tcPr>
          <w:p>
            <w:pPr>
              <w:spacing w:after="0"/>
              <w:rPr>
                <w:sz w:val="1"/>
                <w:szCs w:val="1"/>
                <w:color w:val="auto"/>
              </w:rPr>
            </w:pPr>
          </w:p>
        </w:tc>
      </w:tr>
      <w:tr>
        <w:trPr>
          <w:trHeight w:val="236"/>
        </w:trPr>
        <w:tc>
          <w:tcPr>
            <w:tcW w:w="8680" w:type="dxa"/>
            <w:vAlign w:val="bottom"/>
          </w:tcPr>
          <w:p>
            <w:pPr>
              <w:ind w:left="40"/>
              <w:spacing w:after="0"/>
              <w:rPr>
                <w:sz w:val="20"/>
                <w:szCs w:val="20"/>
                <w:color w:val="auto"/>
              </w:rPr>
            </w:pPr>
            <w:r>
              <w:rPr>
                <w:rFonts w:ascii="Arial" w:cs="Arial" w:eastAsia="Arial" w:hAnsi="Arial"/>
                <w:sz w:val="18"/>
                <w:szCs w:val="18"/>
                <w:color w:val="auto"/>
              </w:rPr>
              <w:t>Total liabilities, preferred stock, and stockholders’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1,325,153</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1,541,984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3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2"/>
                <w:szCs w:val="12"/>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42,313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$ 423</w:t>
            </w:r>
          </w:p>
        </w:tc>
        <w:tc>
          <w:tcPr>
            <w:tcW w:w="48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5"/>
              </w:rPr>
              <w:t>501,615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353,277</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(248,191)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accrued for preferred stock</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3"/>
          </w:tcPr>
          <w:p>
            <w:pPr>
              <w:jc w:val="right"/>
              <w:ind w:right="13"/>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shares forgiven for taxes and</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620" w:type="dxa"/>
            <w:vAlign w:val="bottom"/>
          </w:tcPr>
          <w:p>
            <w:pPr>
              <w:ind w:left="380"/>
              <w:spacing w:after="0"/>
              <w:rPr>
                <w:sz w:val="20"/>
                <w:szCs w:val="20"/>
                <w:color w:val="auto"/>
              </w:rPr>
            </w:pPr>
            <w:r>
              <w:rPr>
                <w:rFonts w:ascii="Arial" w:cs="Arial" w:eastAsia="Arial" w:hAnsi="Arial"/>
                <w:sz w:val="18"/>
                <w:szCs w:val="18"/>
                <w:color w:val="auto"/>
                <w:w w:val="96"/>
              </w:rPr>
              <w:t>Change in fair value of interest rate swap,</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80"/>
              <w:spacing w:after="0"/>
              <w:rPr>
                <w:sz w:val="20"/>
                <w:szCs w:val="20"/>
                <w:color w:val="auto"/>
              </w:rPr>
            </w:pPr>
            <w:r>
              <w:rPr>
                <w:rFonts w:ascii="Arial" w:cs="Arial" w:eastAsia="Arial" w:hAnsi="Arial"/>
                <w:sz w:val="18"/>
                <w:szCs w:val="18"/>
                <w:color w:val="auto"/>
              </w:rPr>
              <w:t>net of tax of $3,390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interest rate swap</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to income, net of tax of $318</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42,757</w:t>
            </w:r>
          </w:p>
        </w:tc>
        <w:tc>
          <w:tcPr>
            <w:tcW w:w="1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$ 428</w:t>
            </w:r>
          </w:p>
        </w:tc>
        <w:tc>
          <w:tcPr>
            <w:tcW w:w="480" w:type="dxa"/>
            <w:vAlign w:val="bottom"/>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5"/>
              </w:rPr>
              <w:t>499,925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78,902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3"/>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shares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42,104</w:t>
            </w:r>
          </w:p>
        </w:tc>
        <w:tc>
          <w:tcPr>
            <w:tcW w:w="74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$ 421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508,655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419,271</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(19,518)</w:t>
            </w:r>
          </w:p>
        </w:tc>
        <w:tc>
          <w:tcPr>
            <w:tcW w:w="0" w:type="dxa"/>
            <w:vAlign w:val="bottom"/>
          </w:tcPr>
          <w:p>
            <w:pPr>
              <w:spacing w:after="0"/>
              <w:rPr>
                <w:sz w:val="1"/>
                <w:szCs w:val="1"/>
                <w:color w:val="auto"/>
              </w:rPr>
            </w:pPr>
          </w:p>
        </w:tc>
      </w:tr>
      <w:tr>
        <w:trPr>
          <w:trHeight w:val="27"/>
        </w:trPr>
        <w:tc>
          <w:tcPr>
            <w:tcW w:w="4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Dividends declared or accrued for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281</w:t>
            </w:r>
          </w:p>
        </w:tc>
        <w:tc>
          <w:tcPr>
            <w:tcW w:w="740" w:type="dxa"/>
            <w:vAlign w:val="bottom"/>
            <w:gridSpan w:val="3"/>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Restricted shares forgiven for taxes and forfeited</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540" w:type="dxa"/>
            <w:vAlign w:val="bottom"/>
            <w:gridSpan w:val="3"/>
          </w:tcPr>
          <w:p>
            <w:pPr>
              <w:ind w:left="380"/>
              <w:spacing w:after="0"/>
              <w:rPr>
                <w:sz w:val="20"/>
                <w:szCs w:val="20"/>
                <w:color w:val="auto"/>
              </w:rPr>
            </w:pPr>
            <w:r>
              <w:rPr>
                <w:rFonts w:ascii="Arial" w:cs="Arial" w:eastAsia="Arial" w:hAnsi="Arial"/>
                <w:sz w:val="18"/>
                <w:szCs w:val="18"/>
                <w:color w:val="auto"/>
                <w:w w:val="95"/>
              </w:rPr>
              <w:t>Change in fair value of interest rate swap, net of tax of</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80"/>
              <w:spacing w:after="0"/>
              <w:rPr>
                <w:sz w:val="20"/>
                <w:szCs w:val="20"/>
                <w:color w:val="auto"/>
              </w:rPr>
            </w:pPr>
            <w:r>
              <w:rPr>
                <w:rFonts w:ascii="Arial" w:cs="Arial" w:eastAsia="Arial" w:hAnsi="Arial"/>
                <w:sz w:val="18"/>
                <w:szCs w:val="18"/>
                <w:color w:val="auto"/>
              </w:rPr>
              <w:t>$1,104</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Adoption of new accounting standard</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2019</w:t>
            </w: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42,367</w:t>
            </w:r>
          </w:p>
        </w:tc>
        <w:tc>
          <w:tcPr>
            <w:tcW w:w="74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$ 424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506,442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395,026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8420" w:type="dxa"/>
            <w:vAlign w:val="bottom"/>
          </w:tcPr>
          <w:p>
            <w:pPr>
              <w:jc w:val="center"/>
              <w:ind w:left="2730"/>
              <w:spacing w:after="0"/>
              <w:rPr>
                <w:sz w:val="20"/>
                <w:szCs w:val="20"/>
                <w:color w:val="auto"/>
              </w:rPr>
            </w:pPr>
            <w:r>
              <w:rPr>
                <w:rFonts w:ascii="Arial" w:cs="Arial" w:eastAsia="Arial" w:hAnsi="Arial"/>
                <w:sz w:val="18"/>
                <w:szCs w:val="18"/>
                <w:b w:val="1"/>
                <w:bCs w:val="1"/>
                <w:color w:val="auto"/>
                <w:w w:val="95"/>
              </w:rPr>
              <w:t>NN, Inc.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420" w:type="dxa"/>
            <w:vAlign w:val="bottom"/>
          </w:tcPr>
          <w:p>
            <w:pPr>
              <w:jc w:val="center"/>
              <w:ind w:left="27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842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r>
      <w:tr>
        <w:trPr>
          <w:trHeight w:val="27"/>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(248,191)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(19,518)</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23,184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23,425</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239,699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Share of net income/loss from joint venture, net of cash dividends received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Compensation expense from issuance of share-based awards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(5,704)</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r>
      <w:tr>
        <w:trPr>
          <w:trHeight w:val="243"/>
        </w:trPr>
        <w:tc>
          <w:tcPr>
            <w:tcW w:w="842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(5,625)</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7,236</w:t>
            </w:r>
          </w:p>
        </w:tc>
      </w:tr>
      <w:tr>
        <w:trPr>
          <w:trHeight w:val="243"/>
        </w:trPr>
        <w:tc>
          <w:tcPr>
            <w:tcW w:w="8420" w:type="dxa"/>
            <w:vAlign w:val="bottom"/>
          </w:tcPr>
          <w:p>
            <w:pPr>
              <w:ind w:left="920"/>
              <w:spacing w:after="0"/>
              <w:rPr>
                <w:sz w:val="20"/>
                <w:szCs w:val="20"/>
                <w:color w:val="auto"/>
              </w:rPr>
            </w:pPr>
            <w:r>
              <w:rPr>
                <w:rFonts w:ascii="Arial" w:cs="Arial" w:eastAsia="Arial" w:hAnsi="Arial"/>
                <w:sz w:val="18"/>
                <w:szCs w:val="18"/>
                <w:color w:val="auto"/>
              </w:rPr>
              <w:t>Income taxes receivable and payable,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5,182</w:t>
            </w:r>
          </w:p>
        </w:tc>
      </w:tr>
      <w:tr>
        <w:trPr>
          <w:trHeight w:val="237"/>
        </w:trPr>
        <w:tc>
          <w:tcPr>
            <w:tcW w:w="8420" w:type="dxa"/>
            <w:vAlign w:val="bottom"/>
          </w:tcPr>
          <w:p>
            <w:pPr>
              <w:ind w:left="12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10,224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(2,712)</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Acquisition of property, plant and equipment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(14,073)</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liquidation of short-term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2,395</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420" w:type="dxa"/>
            <w:vAlign w:val="bottom"/>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(3,679)</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Cash paid for debt issuance or prepayment costs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19,025</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Proceeds from (repayments of) short-term debt,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1,982</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7"/>
        </w:trPr>
        <w:tc>
          <w:tcPr>
            <w:tcW w:w="8420" w:type="dxa"/>
            <w:vAlign w:val="bottom"/>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53,900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8,876</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47,511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2,281</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17,988</w:t>
            </w:r>
          </w:p>
        </w:tc>
      </w:tr>
      <w:tr>
        <w:trPr>
          <w:trHeight w:val="237"/>
        </w:trPr>
        <w:tc>
          <w:tcPr>
            <w:tcW w:w="842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79,214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20,269</w:t>
            </w:r>
          </w:p>
        </w:tc>
      </w:tr>
      <w:tr>
        <w:trPr>
          <w:trHeight w:val="27"/>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(this “Quarterly Report”), the terms “NN,” the “Company,” “we,” “our,” or “us” refer to NN, Inc., and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Going Concern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accompanying condensed consolidated financial statements have not been audited, except that the Condensed Consolidated Balance Sheet as of December 31, 2019, was derived from the audited consolidated financial statements included in our Annual Report on Form 10-K for the year ended December 31, 2019 (the “2019 Annual Report”), which we filed with the U.S. Securities and Exchange Commission (the “SEC”) on March 16, 2020. In management’s opinion, the accompanying unaudited condensed consolidated financial statements reflect all adjustments necessary to fairly state our results of operations for the three months ended March 31, 2020 and 2019; financial position as of March 31, 2020, and December 31, 2019; and cash flows for the three months ended March 31, 2020 and 2019, on a basis consistent with our audited consolidated financial statements other than the adoption of new accounting standards (see </w:t>
      </w:r>
      <w:r>
        <w:rPr>
          <w:rFonts w:ascii="Arial" w:cs="Arial" w:eastAsia="Arial" w:hAnsi="Arial"/>
          <w:sz w:val="16"/>
          <w:szCs w:val="16"/>
          <w:i w:val="1"/>
          <w:iCs w:val="1"/>
          <w:color w:val="auto"/>
        </w:rPr>
        <w:t>Accounting Standards Recently Adopted</w:t>
      </w:r>
      <w:r>
        <w:rPr>
          <w:rFonts w:ascii="Arial" w:cs="Arial" w:eastAsia="Arial" w:hAnsi="Arial"/>
          <w:sz w:val="16"/>
          <w:szCs w:val="16"/>
          <w:color w:val="auto"/>
        </w:rPr>
        <w:t xml:space="preserve"> section below). These adjustments are of a normal recurring nature and are, in the opinion of management, necessary to state fairly the Company’s financial position and operating results for the interim periods.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2019 Annual Report. The results for the three months ended March 31, 2020, are not necessarily indicative of results for the year ending December 31, 2020, or any other future periods.</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presented in the tables in these Notes to Condensed Consolidated Financial Statements are in thousands.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discussed in our 2019 Annual Report, on December 11, 2019, we issued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 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covenant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 In order to maintain compliance with the financial leverage ratio covenant, our operational and financial performance must improve.</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we have evaluated whether there are conditions and events, considered in the aggregate, that raise substantial doubt about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ability to continue as a going concern within one year after the date that the Condensed Consolidated Financial Statements are issued. We rely on cash flow generated from operations and available borrowings under our Senior Secured Revolver to fund our working capital and other operating and investing needs. Our ability to borrow under the Senior Secured Revolver is based on our continued compliance with our financial leverage ratio covenant, as defined, which becomes more restrictive in the second quarter of 2020 and the first quarter of 2021.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full extent of the effect of the COVID-19 pandemic on our customers, our supply chain and our business cannot be reasonably assessed at this time although we expect our full year 2020 results of operations to be adversely affected. We have developed a plan to mitigate the impact of COVID-19 which includes the implementation of a series of specific and identified cost reductions in both our corporate and business groups, in addition to actions already taken, including further reducing our direct and indirect labor costs and benefits. The impact of COVID-19 on our operating results will depend on future developments, which are highly uncertain and cannot be predicted, including governmental and business reactions to the pandemic. We have made appropriate accounting estimates based on the facts and circumstances available as of the reporting date. If there are differences between these estimates and actual results, our consolidated financial statements may be materially affected.</w:t>
      </w:r>
    </w:p>
    <w:p>
      <w:pPr>
        <w:spacing w:after="0" w:line="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Based on our current and projected use of the Senior Secured Revolver, as well as cash flows expected to be generated from operations and investing activities, we anticipate that we may not be able to maintain compliance with the existing financial leverage ratio covenant for the next twelve months. If we are unable to comply with our financial ratio covenant, then the revolving credit lenders, the Senior Secured Term Loan lenders, and the Incremental Term Loan lenders could take action to cause amounts due under our credit facility to become due and payable unless we are able to amend such covenants or otherwise refinance our debt. Our ability to amend our covenants or refinance our debt is dependent upon several factors, and therefore there can be no assurance that we would be successful in these efforts. If we are unable to access future borrowings or be required to pay amounts due under our credit facilities prior to their normal maturity dates, this would have a material impact to our financial position.</w:t>
      </w:r>
    </w:p>
    <w:p>
      <w:pPr>
        <w:spacing w:after="0" w:line="6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in negotiations with our lenders to amend the financial leverage ratio covenant; however, there can be no assurance that we will be successful in such efforts. Accordingly, we believe there is substantial doubt about our ability to continue as a going concern for the twelve-month period following the date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In June 2016, the FASB issued ASU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2016-13”), which modifies the measurement of expected credit losses on certain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timing of when such losses are recorded. In November 2019,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 issued SAB No. 119, codified in ASC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which provides guidance on</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accounting of credit losses. We adopted ASU 2016-13 on January 1, 2020, using the modified retrospective transition method which resulted in no material adjustment to our financial statements as of January 1, 2020.</w:t>
      </w:r>
    </w:p>
    <w:p>
      <w:pPr>
        <w:spacing w:after="0" w:line="7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Fair Value Disclosures. </w:t>
      </w:r>
      <w:r>
        <w:rPr>
          <w:rFonts w:ascii="Arial" w:cs="Arial" w:eastAsia="Arial" w:hAnsi="Arial"/>
          <w:sz w:val="17"/>
          <w:szCs w:val="17"/>
          <w:color w:val="auto"/>
        </w:rPr>
        <w:t>In August 2018, the FASB issued ASU 2018-13,</w:t>
      </w:r>
      <w:r>
        <w:rPr>
          <w:rFonts w:ascii="Arial" w:cs="Arial" w:eastAsia="Arial" w:hAnsi="Arial"/>
          <w:sz w:val="17"/>
          <w:szCs w:val="17"/>
          <w:i w:val="1"/>
          <w:iCs w:val="1"/>
          <w:color w:val="auto"/>
        </w:rPr>
        <w:t xml:space="preserve"> Fair Value Measurement (Topic 820): Disclosure Framework - Changes to the Disclosure Requirements for Fair Value Measurement </w:t>
      </w:r>
      <w:r>
        <w:rPr>
          <w:rFonts w:ascii="Arial" w:cs="Arial" w:eastAsia="Arial" w:hAnsi="Arial"/>
          <w:sz w:val="17"/>
          <w:szCs w:val="17"/>
          <w:color w:val="auto"/>
        </w:rPr>
        <w:t>(“ASU 2018-13”)</w:t>
      </w:r>
      <w:r>
        <w:rPr>
          <w:rFonts w:ascii="Arial" w:cs="Arial" w:eastAsia="Arial" w:hAnsi="Arial"/>
          <w:sz w:val="17"/>
          <w:szCs w:val="17"/>
          <w:i w:val="1"/>
          <w:iCs w:val="1"/>
          <w:color w:val="auto"/>
        </w:rPr>
        <w:t xml:space="preserve">, </w:t>
      </w:r>
      <w:r>
        <w:rPr>
          <w:rFonts w:ascii="Arial" w:cs="Arial" w:eastAsia="Arial" w:hAnsi="Arial"/>
          <w:sz w:val="17"/>
          <w:szCs w:val="17"/>
          <w:color w:val="auto"/>
        </w:rPr>
        <w:t>that modifies fair value disclosure requirements. The new guidance streamlines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of Level 3 fair value measurements. The modified disclosures were effective for us beginning in the first quarter of 2020. ASU 2018-13 changes disclosures only and does not impact our financial condition, results of operations, or cash flows.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Internal-Use Software. </w:t>
      </w:r>
      <w:r>
        <w:rPr>
          <w:rFonts w:ascii="Arial" w:cs="Arial" w:eastAsia="Arial" w:hAnsi="Arial"/>
          <w:sz w:val="17"/>
          <w:szCs w:val="17"/>
          <w:color w:val="auto"/>
        </w:rPr>
        <w:t>In August 2018, the FASB issued ASU 2018-15,</w:t>
      </w:r>
      <w:r>
        <w:rPr>
          <w:rFonts w:ascii="Arial" w:cs="Arial" w:eastAsia="Arial" w:hAnsi="Arial"/>
          <w:sz w:val="17"/>
          <w:szCs w:val="17"/>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7"/>
          <w:szCs w:val="17"/>
          <w:color w:val="auto"/>
        </w:rPr>
        <w:t>(“ASU 2018-15”)</w:t>
      </w:r>
      <w:r>
        <w:rPr>
          <w:rFonts w:ascii="Arial" w:cs="Arial" w:eastAsia="Arial" w:hAnsi="Arial"/>
          <w:sz w:val="17"/>
          <w:szCs w:val="17"/>
          <w:i w:val="1"/>
          <w:iCs w:val="1"/>
          <w:color w:val="auto"/>
        </w:rPr>
        <w:t>,</w:t>
      </w:r>
      <w:r>
        <w:rPr>
          <w:rFonts w:ascii="Arial" w:cs="Arial" w:eastAsia="Arial" w:hAnsi="Arial"/>
          <w:sz w:val="17"/>
          <w:szCs w:val="17"/>
          <w:color w:val="auto"/>
        </w:rPr>
        <w:t xml:space="preserve"> that provides guidance on a customer’s accounting for implementation, set-up, and other upfront costs incurred in a cloud computing arrangement that is hosted by the vendor. Under the new guidance, customers apply the same criteria for capitalizing implementation costs as they would for an arrangement that has a software license. We adopted ASU 2018-15 as of January 1, 2020, prospectively. We have had no such costs after the adoption date, and we do not expect the new guidance to have a material impact on our financial statements.</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2020-04,</w:t>
      </w:r>
      <w:r>
        <w:rPr>
          <w:rFonts w:ascii="Arial" w:cs="Arial" w:eastAsia="Arial" w:hAnsi="Arial"/>
          <w:sz w:val="16"/>
          <w:szCs w:val="16"/>
          <w:i w:val="1"/>
          <w:iCs w:val="1"/>
          <w:color w:val="auto"/>
        </w:rPr>
        <w:t xml:space="preserve"> Reference Rate Reform (Topic 848), Facilitation of the Effects of Reference Rate Reform on Financial Reporting, </w:t>
      </w:r>
      <w:r>
        <w:rPr>
          <w:rFonts w:ascii="Arial" w:cs="Arial" w:eastAsia="Arial" w:hAnsi="Arial"/>
          <w:sz w:val="16"/>
          <w:szCs w:val="16"/>
          <w:color w:val="auto"/>
        </w:rPr>
        <w:t>which provides temporary optional expedients and exceptions for applying U.S. GAAP to contracts,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that reference the London Interbank Offered Rate (“LIBOR”) or another reference rate expected to be discontinued because of reference rate reform. Among other things, for all types of hedging relationships, the guidance allows an entity to change the reference rate and other critical terms related to reference rate reform without having to remeasure the value or reassess a previous accounting determination. The amendments in this guidance should be applied on a prospective basis and, for companies with a fiscal year ending December 31, are effective from January 1, 2020, through December 31, 2022. We adopted this guidance effective January 1, 2020. When the transition occurs, we expect to apply this expedient to our existing interest rate swap that references LIBOR, and to any other new transactions that reference LIBOR or another reference rate that is discontinued, through December 31, 2022. The adoption of this ASU is not expected to have a material impact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 xml:space="preserve"> Income Taxes (Topic 740) - Simplifying the Accounting for Income Taxes, </w:t>
      </w:r>
      <w:r>
        <w:rPr>
          <w:rFonts w:ascii="Arial" w:cs="Arial" w:eastAsia="Arial" w:hAnsi="Arial"/>
          <w:sz w:val="18"/>
          <w:szCs w:val="18"/>
          <w:color w:val="auto"/>
        </w:rPr>
        <w:t>(“ASU 2019-12”) as part of its initiative to reduce complexity in accounting standards. ASU 2019-12 removes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exceptions and provides simplification to specific tax items to improve consistent application. This standard is effective for fiscal years beginning after December 15, 2020, and interim periods within those fiscal years. Early adoption is permitted, including adoption in any interim period for which financial statements have not yet been issued. Adoption methods vary based on the specific items impacted. We are currently evaluating the impact on our financial statements and related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Prior Periods' Financial Statement Revisions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disclosed in our 2019 Annual Report, we identified various misstatements in our previously issued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years ended December 31, 2018 and 2017, as well as the interim periods in 2018 and the first three quarters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2019. These misstatements primarily related to (i) intentional misstatements in the accounting for inventory at one of our smaller foreign subsidiaries and</w:t>
      </w:r>
    </w:p>
    <w:p>
      <w:pPr>
        <w:spacing w:after="0" w:line="32" w:lineRule="exact"/>
        <w:rPr>
          <w:sz w:val="20"/>
          <w:szCs w:val="20"/>
          <w:color w:val="auto"/>
        </w:rPr>
      </w:pPr>
    </w:p>
    <w:p>
      <w:pPr>
        <w:ind w:right="140" w:firstLine="8"/>
        <w:spacing w:after="0" w:line="271"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tax accounting associated with the 2018 impairment of our joint venture. We assessed the materiality of the misstatements on prior periods’ financial statements in accordance with SEC Staff Accounting Bulletin (“SAB”) Topic 1.M,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Accounting Standards Codification (“ASC”)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(“ASC 250”) and concluded that the misstatements were not material to the prior annual or interim periods. However, we revised our previously issued 2018 and 2017 annual consolidated financial statements to correct for these misstatements. In connection with such revision, we also corrected for other immaterial misstatements.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filing of this Quarterly Report, we have revised the accompanying Condensed Consolidated Statements of Operations and Comprehensive Income (Loss), Changes in Stockholders’ Equity, and Cash Flows for the three months ended March 31, 2019, and the related notes to revise for those misstatements that impacted such period. We will revise the remaining 2019 previously issued quarterly financial statements in connection with future 2020 filings on Form 10-Q.</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and the resulting revision on the Condensed Consolidated Statements of Operations and Comprehensive Income (Loss).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1234"/>
              <w:spacing w:after="0"/>
              <w:rPr>
                <w:sz w:val="20"/>
                <w:szCs w:val="20"/>
                <w:color w:val="auto"/>
              </w:rPr>
            </w:pPr>
            <w:r>
              <w:rPr>
                <w:rFonts w:ascii="Arial" w:cs="Arial" w:eastAsia="Arial" w:hAnsi="Arial"/>
                <w:sz w:val="14"/>
                <w:szCs w:val="14"/>
                <w:b w:val="1"/>
                <w:bCs w:val="1"/>
                <w:color w:val="auto"/>
                <w:w w:val="95"/>
              </w:rPr>
              <w:t>Three Months Ended March 31, 2019</w:t>
            </w:r>
          </w:p>
        </w:tc>
        <w:tc>
          <w:tcPr>
            <w:tcW w:w="1440" w:type="dxa"/>
            <w:vAlign w:val="bottom"/>
            <w:tcBorders>
              <w:bottom w:val="single" w:sz="8" w:color="auto"/>
            </w:tcBorders>
          </w:tcPr>
          <w:p>
            <w:pPr>
              <w:spacing w:after="0"/>
              <w:rPr>
                <w:sz w:val="16"/>
                <w:szCs w:val="16"/>
                <w:color w:val="auto"/>
              </w:rPr>
            </w:pPr>
          </w:p>
        </w:tc>
      </w:tr>
      <w:tr>
        <w:trPr>
          <w:trHeight w:val="263"/>
        </w:trPr>
        <w:tc>
          <w:tcPr>
            <w:tcW w:w="5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320" w:type="dxa"/>
            <w:vAlign w:val="bottom"/>
          </w:tcPr>
          <w:p>
            <w:pPr>
              <w:spacing w:after="0"/>
              <w:rPr>
                <w:sz w:val="22"/>
                <w:szCs w:val="22"/>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Adjustment</w:t>
            </w:r>
          </w:p>
        </w:tc>
        <w:tc>
          <w:tcPr>
            <w:tcW w:w="360" w:type="dxa"/>
            <w:vAlign w:val="bottom"/>
          </w:tcPr>
          <w:p>
            <w:pPr>
              <w:spacing w:after="0"/>
              <w:rPr>
                <w:sz w:val="22"/>
                <w:szCs w:val="22"/>
                <w:color w:val="auto"/>
              </w:rPr>
            </w:pPr>
          </w:p>
        </w:tc>
        <w:tc>
          <w:tcPr>
            <w:tcW w:w="1440" w:type="dxa"/>
            <w:vAlign w:val="bottom"/>
          </w:tcPr>
          <w:p>
            <w:pPr>
              <w:jc w:val="right"/>
              <w:ind w:right="472"/>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162,187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Loss before (provision) benefit for income taxes and share of net income</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joint venture</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(19,518)</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(22,053)</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(0.47)</w:t>
            </w:r>
          </w:p>
        </w:tc>
      </w:tr>
    </w:tbl>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on the Condensed Consolidated Statements of Changes in Stockholders’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Adjustment</w:t>
            </w:r>
          </w:p>
        </w:tc>
        <w:tc>
          <w:tcPr>
            <w:tcW w:w="340" w:type="dxa"/>
            <w:vAlign w:val="bottom"/>
          </w:tcPr>
          <w:p>
            <w:pPr>
              <w:spacing w:after="0"/>
              <w:rPr>
                <w:sz w:val="16"/>
                <w:szCs w:val="16"/>
                <w:color w:val="auto"/>
              </w:rPr>
            </w:pPr>
          </w:p>
        </w:tc>
        <w:tc>
          <w:tcPr>
            <w:tcW w:w="1460" w:type="dxa"/>
            <w:vAlign w:val="bottom"/>
          </w:tcPr>
          <w:p>
            <w:pPr>
              <w:jc w:val="right"/>
              <w:ind w:right="473"/>
              <w:spacing w:after="0"/>
              <w:rPr>
                <w:sz w:val="20"/>
                <w:szCs w:val="20"/>
                <w:color w:val="auto"/>
              </w:rPr>
            </w:pPr>
            <w:r>
              <w:rPr>
                <w:rFonts w:ascii="Arial" w:cs="Arial" w:eastAsia="Arial" w:hAnsi="Arial"/>
                <w:sz w:val="14"/>
                <w:szCs w:val="14"/>
                <w:b w:val="1"/>
                <w:bCs w:val="1"/>
                <w:color w:val="auto"/>
              </w:rPr>
              <w:t>As Revised</w:t>
            </w:r>
          </w:p>
        </w:tc>
      </w:tr>
      <w:tr>
        <w:trPr>
          <w:trHeight w:val="263"/>
        </w:trPr>
        <w:tc>
          <w:tcPr>
            <w:tcW w:w="552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 of and for the three months ended March 31, 2019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512,274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506,442</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(77,991)</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(33,849)</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395,026</w:t>
            </w:r>
          </w:p>
        </w:tc>
      </w:tr>
      <w:tr>
        <w:trPr>
          <w:trHeight w:val="432"/>
        </w:trPr>
        <w:tc>
          <w:tcPr>
            <w:tcW w:w="55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correction of the misstatements on the Condensed 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1235"/>
              <w:spacing w:after="0"/>
              <w:rPr>
                <w:sz w:val="20"/>
                <w:szCs w:val="20"/>
                <w:color w:val="auto"/>
              </w:rPr>
            </w:pPr>
            <w:r>
              <w:rPr>
                <w:rFonts w:ascii="Arial" w:cs="Arial" w:eastAsia="Arial" w:hAnsi="Arial"/>
                <w:sz w:val="14"/>
                <w:szCs w:val="14"/>
                <w:b w:val="1"/>
                <w:bCs w:val="1"/>
                <w:color w:val="auto"/>
                <w:w w:val="95"/>
              </w:rPr>
              <w:t>Three Months Ended March 31, 2019</w:t>
            </w:r>
          </w:p>
        </w:tc>
        <w:tc>
          <w:tcPr>
            <w:tcW w:w="1440" w:type="dxa"/>
            <w:vAlign w:val="bottom"/>
            <w:tcBorders>
              <w:bottom w:val="single" w:sz="8" w:color="auto"/>
            </w:tcBorders>
          </w:tcPr>
          <w:p>
            <w:pPr>
              <w:spacing w:after="0"/>
              <w:rPr>
                <w:sz w:val="16"/>
                <w:szCs w:val="16"/>
                <w:color w:val="auto"/>
              </w:rPr>
            </w:pPr>
          </w:p>
        </w:tc>
      </w:tr>
      <w:tr>
        <w:trPr>
          <w:trHeight w:val="263"/>
        </w:trPr>
        <w:tc>
          <w:tcPr>
            <w:tcW w:w="5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320" w:type="dxa"/>
            <w:vAlign w:val="bottom"/>
          </w:tcPr>
          <w:p>
            <w:pPr>
              <w:spacing w:after="0"/>
              <w:rPr>
                <w:sz w:val="22"/>
                <w:szCs w:val="22"/>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Adjustment</w:t>
            </w:r>
          </w:p>
        </w:tc>
        <w:tc>
          <w:tcPr>
            <w:tcW w:w="360" w:type="dxa"/>
            <w:vAlign w:val="bottom"/>
          </w:tcPr>
          <w:p>
            <w:pPr>
              <w:spacing w:after="0"/>
              <w:rPr>
                <w:sz w:val="22"/>
                <w:szCs w:val="22"/>
                <w:color w:val="auto"/>
              </w:rPr>
            </w:pPr>
          </w:p>
        </w:tc>
        <w:tc>
          <w:tcPr>
            <w:tcW w:w="1440" w:type="dxa"/>
            <w:vAlign w:val="bottom"/>
          </w:tcPr>
          <w:p>
            <w:pPr>
              <w:jc w:val="right"/>
              <w:ind w:right="473"/>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(19,518)</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(5,704)</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(5,625)</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taxes receivable and payable, net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5,182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has concluded that Life Sciences, which is focused on growth in the medical end market, primarily in the orthopaedics and medical/surgical end markets; Mobile Solutions, which is focused on growth in the general industrial and automotive end markets; and Power Solutions, which is focused on growth in the electrical and aerospace and defense end markets, constitute our operating segments. Life Sciences, Mobile Solutions, and Power Solutions are considered operating segments as each engages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operations by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Power</w:t>
            </w:r>
          </w:p>
        </w:tc>
        <w:tc>
          <w:tcPr>
            <w:tcW w:w="16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Corporate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Sciences</w:t>
            </w:r>
          </w:p>
        </w:tc>
        <w:tc>
          <w:tcPr>
            <w:tcW w:w="2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Consolidations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4"/>
              </w:rPr>
              <w:t>Three Months Ended March 31, 2020</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84,048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69,884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46,401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660" w:type="dxa"/>
            <w:vAlign w:val="bottom"/>
          </w:tcPr>
          <w:p>
            <w:pPr>
              <w:ind w:left="14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199,745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146,757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(140,979)</w:t>
            </w:r>
          </w:p>
        </w:tc>
        <w:tc>
          <w:tcPr>
            <w:tcW w:w="2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(14,283)</w:t>
            </w:r>
          </w:p>
        </w:tc>
        <w:tc>
          <w:tcPr>
            <w:tcW w:w="6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(245,332)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Loss before benefit for income taxes and share of</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(263,529)</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from joint venture</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86,008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213,256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3,846</w:t>
            </w:r>
          </w:p>
        </w:tc>
        <w:tc>
          <w:tcPr>
            <w:tcW w:w="2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(11,176)</w:t>
            </w:r>
          </w:p>
        </w:tc>
        <w:tc>
          <w:tcPr>
            <w:tcW w:w="6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Loss before provision for income taxes and share of</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from joint venture</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-98425</wp:posOffset>
            </wp:positionV>
            <wp:extent cx="857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07" w:lineRule="exact"/>
        <w:rPr>
          <w:sz w:val="20"/>
          <w:szCs w:val="20"/>
          <w:color w:val="auto"/>
        </w:rPr>
      </w:pPr>
    </w:p>
    <w:p>
      <w:pPr>
        <w:ind w:left="5540" w:right="3460" w:hanging="5208"/>
        <w:spacing w:after="0" w:line="778"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elimination of intersegment transactions occurring during the ordinary course of business. 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reportable segment as of March 31, 2020, and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March 31, 2020</w:t>
            </w: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648,603</w:t>
            </w:r>
          </w:p>
        </w:tc>
        <w:tc>
          <w:tcPr>
            <w:tcW w:w="7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811,526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Mobile Solutions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362,624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373,256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Solutions</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214,602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310,545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Corporate and Consolidations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99,324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46,657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1,325,153</w:t>
            </w:r>
          </w:p>
        </w:tc>
        <w:tc>
          <w:tcPr>
            <w:tcW w:w="7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1,541,984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Inventories are comprised of the following amounts: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March 31, 2020</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36,904</w:t>
            </w:r>
          </w:p>
        </w:tc>
        <w:tc>
          <w:tcPr>
            <w:tcW w:w="7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49,135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47,054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43,456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26,131</w:t>
            </w:r>
          </w:p>
        </w:tc>
        <w:tc>
          <w:tcPr>
            <w:tcW w:w="0" w:type="dxa"/>
            <w:vAlign w:val="bottom"/>
          </w:tcPr>
          <w:p>
            <w:pPr>
              <w:spacing w:after="0"/>
              <w:rPr>
                <w:sz w:val="1"/>
                <w:szCs w:val="1"/>
                <w:color w:val="auto"/>
              </w:rPr>
            </w:pPr>
          </w:p>
        </w:tc>
      </w:tr>
      <w:tr>
        <w:trPr>
          <w:trHeight w:val="237"/>
        </w:trPr>
        <w:tc>
          <w:tcPr>
            <w:tcW w:w="776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118,919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118,722</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Note 5. Goodwill</w:t>
            </w: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The following table shows changes in the carrying amount of goodwill by reportable segment.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24"/>
                <w:szCs w:val="24"/>
                <w:color w:val="auto"/>
              </w:rPr>
            </w:pPr>
          </w:p>
        </w:tc>
        <w:tc>
          <w:tcPr>
            <w:tcW w:w="8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2"/>
              </w:rPr>
              <w:t>Sciences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344,316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94,779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439,095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Currency impact and other</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Impairments</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(146,757)</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(239,699)</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Balance as of March 31, 2020</w:t>
            </w:r>
          </w:p>
        </w:tc>
        <w:tc>
          <w:tcPr>
            <w:tcW w:w="34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196,281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196,281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no goodwill was recorded in the Mobile Solutions reportable segment.</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each of Life Sciences and Power Solutions, including estimation of future cash flows, which is dependent on internal forecasts, estimation of the long-term growth rate for each operating segment, and determination of weighted average cost of capital. Our forecasts used in the goodwill impairment analysis reflect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Management’s judgment used in the assessment of fair value is more significant under the current market conditions and economic uncertainty created by COVID-19. The carrying values of the Life Sciences and Power Solutions reporting units exceeded their estimated fair values as of March 31, 2020. As a result of our analysis, we recorded an impairment loss on goodwill of $146.8 million and $92.9 million for Life Sciences and Power Solutions, respectively, to the “Goodwill impairment” line on the Condensed Consolidated Statements of Operations and Comprehensive Income (Loss).</w:t>
      </w:r>
    </w:p>
    <w:p>
      <w:pPr>
        <w:spacing w:after="0" w:line="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Life Sciences goodwill as of March 31, 2020, was $196.3 million. In conjunction with the goodwill impairment test performed during the first quarter of 2020, Life Sciences goodwill was impaired by $146.8 million, resulting in the carrying value of the reporting unit being equal to its fair value. If our assessment of the relevant facts and circumstances change, or if the actual performance falls short of expected results, an additional impairment charge will be required. An impairment of goodwill may also lead us to record an impairment of other intangible assets. The carrying value of finite-lived intangible assets for the Life Sciences group as of March 31, 2020, was $204.1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637"/>
              <w:spacing w:after="0"/>
              <w:rPr>
                <w:sz w:val="20"/>
                <w:szCs w:val="20"/>
                <w:color w:val="auto"/>
              </w:rPr>
            </w:pPr>
            <w:r>
              <w:rPr>
                <w:rFonts w:ascii="Arial" w:cs="Arial" w:eastAsia="Arial" w:hAnsi="Arial"/>
                <w:sz w:val="14"/>
                <w:szCs w:val="14"/>
                <w:b w:val="1"/>
                <w:bCs w:val="1"/>
                <w:color w:val="auto"/>
              </w:rPr>
              <w:t>Life</w:t>
            </w:r>
          </w:p>
        </w:tc>
        <w:tc>
          <w:tcPr>
            <w:tcW w:w="38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Mobile</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Power</w:t>
            </w:r>
          </w:p>
        </w:tc>
        <w:tc>
          <w:tcPr>
            <w:tcW w:w="360" w:type="dxa"/>
            <w:vAlign w:val="bottom"/>
          </w:tcPr>
          <w:p>
            <w:pPr>
              <w:spacing w:after="0"/>
              <w:rPr>
                <w:sz w:val="14"/>
                <w:szCs w:val="14"/>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97"/>
              <w:spacing w:after="0"/>
              <w:rPr>
                <w:sz w:val="20"/>
                <w:szCs w:val="20"/>
                <w:color w:val="auto"/>
              </w:rPr>
            </w:pPr>
            <w:r>
              <w:rPr>
                <w:rFonts w:ascii="Arial" w:cs="Arial" w:eastAsia="Arial" w:hAnsi="Arial"/>
                <w:sz w:val="14"/>
                <w:szCs w:val="14"/>
                <w:b w:val="1"/>
                <w:bCs w:val="1"/>
                <w:color w:val="auto"/>
              </w:rPr>
              <w:t>Sciences</w:t>
            </w:r>
          </w:p>
        </w:tc>
        <w:tc>
          <w:tcPr>
            <w:tcW w:w="380" w:type="dxa"/>
            <w:vAlign w:val="bottom"/>
          </w:tcPr>
          <w:p>
            <w:pPr>
              <w:spacing w:after="0"/>
              <w:rPr>
                <w:sz w:val="16"/>
                <w:szCs w:val="16"/>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Solutions</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211,847</w:t>
            </w:r>
          </w:p>
        </w:tc>
        <w:tc>
          <w:tcPr>
            <w:tcW w:w="3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329,260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(7,755)</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204,092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82,249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317,918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Intangible assets are tested for impairment when changes in circumstances indicate the carrying value of those assets may not be recoverable. As of March 31, 2020, the goodwill impairment testing trigger caused us to test intangible assets in all of our reportable segments for impairment as well. Based on our analysis, no impairment charge was deemed necessary in the three months ended March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21,755</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Share of earnings (loss)</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7"/>
        </w:trPr>
        <w:tc>
          <w:tcPr>
            <w:tcW w:w="9560" w:type="dxa"/>
            <w:vAlign w:val="bottom"/>
          </w:tcPr>
          <w:p>
            <w:pPr>
              <w:ind w:left="40"/>
              <w:spacing w:after="0"/>
              <w:rPr>
                <w:sz w:val="20"/>
                <w:szCs w:val="20"/>
                <w:color w:val="auto"/>
              </w:rPr>
            </w:pPr>
            <w:r>
              <w:rPr>
                <w:rFonts w:ascii="Arial" w:cs="Arial" w:eastAsia="Arial" w:hAnsi="Arial"/>
                <w:sz w:val="18"/>
                <w:szCs w:val="18"/>
                <w:color w:val="auto"/>
              </w:rPr>
              <w:t>Balance as of March 31, 2020</w:t>
            </w: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21,120</w:t>
            </w:r>
          </w:p>
        </w:tc>
      </w:tr>
      <w:tr>
        <w:trPr>
          <w:trHeight w:val="27"/>
        </w:trPr>
        <w:tc>
          <w:tcPr>
            <w:tcW w:w="9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During the fourth quarter of 2018, as a result of changing market conditions, the fair value of the JV was assessed, and we recorded an impairment of $16.6 million against our investment in the JV. The fair value assessment was significantly affected by changes in our assessment of future growth rates. During the first quarter of 2020, the goodwill impairment testing trigger caused us to test the JV for impairment as well. Based on our analysis, no impairment charge was deemed necessary in the three months ended March 31, 2020. It is reasonably possible that material deviation of future performance from the estimates used in the March 31, 2020, impairment test could result in additional impairment to our investment in the JV in subsequent periods.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We recognized sales to the JV of less than $0.1 million and less than $0.1 million during the three months ended March 31, 2020 and 2019,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Among other provisions, the CARES Act allows for the carryback of certain tax losses and favorably impacts the deductibility of interest expense and depreciation. The CARES Act had a material impact on our financial statements and has been accounted for in the benefit/provision for income taxes for the three months ended March 31, 2020, which is the period of enactment.</w:t>
      </w:r>
    </w:p>
    <w:p>
      <w:pPr>
        <w:spacing w:after="0" w:line="7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effective tax rate was 5.9% for the three months ended March 31, 2020, and (12.8)% for the three months ended March 31, 2019. The effective tax rate for the three months ended March 31, 2020, differs from the U.S. federal statutory tax rate of 21% primarily due to the impact of the impairment of nondeductible goodwill which is treated as a permanent difference. The effective tax rate was also impacted by the CARES Act and the anticipated withholding taxes which would be due upon repatriation of the unremitted earnings of foreign subsidiaries.</w:t>
      </w:r>
    </w:p>
    <w:p>
      <w:pPr>
        <w:spacing w:after="0" w:line="6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effective tax rate for the three months ended March 31, 2019, differs from the U.S. federal statutory tax rate of 21% principally due to a discrete tax charge of $6.0 million related to final tax regulations published by the Department of the Treasury and Internal Revenue Service on February 4, 2019, as well as the minimum tax on global intangible low-tax income (“GILTI”).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Collectively, our credit facility is comprised of a term loan with a face amount of $545.0 million, maturing on October 19, 2022 (the “Senior Secured Term Loan”); a term loan with a face amount of $300.0 million, maturing on October 19, 2022 (the “Incremental Term Loan”); and a revolving line of credit with a face amount of $75.0 million, maturing on July 20, 2022 (the “Senior Secured Revolver”). The credit facility is collateralized by all of our assets.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March 31, 2020, and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524,875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526,313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Incremental Term Loan</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254,222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257,111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International lines of credit and other loans</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793,247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Less-current maturities of long-term debt</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774,087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Less-unamortized debt issuance costs (1)</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814,972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757,440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60" w:right="220" w:hanging="252"/>
        <w:spacing w:after="0" w:line="277"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this amount, costs of $2.7 million and $3.0 million related to the Senior Secured Revolver are recorded in other non-current assets as of March 31, 2020, and December 31, 2019, respectively.</w:t>
      </w:r>
    </w:p>
    <w:p>
      <w:pPr>
        <w:spacing w:after="0" w:line="3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capitalized interest costs of $0.3 million and $0.6 million in the three months ended March 31, 2020 and 2019, respectively, related to construction in progress.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Outstanding borrowings under the Senior Secured Term Loan bear interest at the greater of 0.75% or one-month LIBOR plus an applicable margin of 5.75%. At March 31, 2020, the Senior Secured Term Loan bore interest at 6.74%.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Outstanding borrowings under the Incremental Term Loan bear interest at one-month LIBOR plus an applicable margin of 5.75%. At March 31, 2020, the Incremental Term Loan bore interest of 6.74%.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Outstanding borrowings under the Senior Secured Revolver bear interest on a variable rate structure with borrowings bearing interest at either one-month LIBOR plus an applicable margin of 4.00% or the prime lending rate plus an applicable margin of 3.00%. At March 31, 2020, the weighted average interest rate on outstanding borrowings under the Senior Secured Revolver was 4.96%. We pay a commitment fee of 0.50% for unused capacity under the Senior Secured Revolver.</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had $60.0 million outstanding under the Senior Secured Revolver at March 31, 2020. Total capacity under the Senior Secured Revolver was $75.0 million as of March 31, 2020, with $3.4 million available for future borrowings after reductions for outstanding letters of credit and outstanding borrowings as of March 31, 2020. Our credit facility is subject to certain financial covenants based on a consolidated net leverage ratio, becoming more restrictive over time. If our operational or financial performance does not improve, we may be required to take actions to further reduce expenditures and decrease our net indebtedness to maintain compliance in future periods or attempt to amend our covenants or refinance our debt. We were in compliance with all covenants under our credit facility at March 31,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18 for further discussion of the interest rate swap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w:t>
      </w:r>
    </w:p>
    <w:p>
      <w:pPr>
        <w:spacing w:after="0" w:line="163"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13335</wp:posOffset>
            </wp:positionV>
            <wp:extent cx="1200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249"/>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5,288</w:t>
            </w:r>
          </w:p>
        </w:tc>
      </w:tr>
      <w:tr>
        <w:trPr>
          <w:trHeight w:val="243"/>
        </w:trPr>
        <w:tc>
          <w:tcPr>
            <w:tcW w:w="9340" w:type="dxa"/>
            <w:vAlign w:val="bottom"/>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792</w:t>
            </w: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13,241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2,836</w:t>
            </w:r>
          </w:p>
        </w:tc>
      </w:tr>
    </w:tbl>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disclosed in our 2019 Annual Report, we had an operating lease commitment that had not yet commenced. In March 2020, the operating lease for the manufacturing facility commenced and requires us to pay a total of approximately $27.5 million base rent payments over the lease term of 15 years. We will begin making rent payments in the third quarter of 2020.</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2020, we amended the lease of our corporate headquarters building to exit over half of the previously leased space and reduce annual base rent payments by approximately $1.3 million over the remaining lease term which ends in 2030.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(income) expense, net,” on the Condensed Consolidated Statements of Operations and Comprehensive Income (Loss). In connection with the discontinued use of the previously leased space, we also recognized a $4.4 million termination charge and a $2.9 million impairment charge on the associated leasehold improvements, all of which were also recognized in “Other operating (income) expense, net.”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and Integration</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incurred no new restructuring and integration charges for the three months ended March 31, 2020. During the three months ended March 31, 2020, we made cash payments of $0.1 million for restructuring costs. As of March 31, 2020, we had $0.4 million accrued for severance costs associated with restructuring and integration projects. We expect to pay this balance over the next 1.2 years. We expect to pay $0.3 million within the next twelve months.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March 31, 2020, for this matter.</w:t>
      </w:r>
    </w:p>
    <w:p>
      <w:pPr>
        <w:spacing w:after="0" w:line="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Preferred Stock</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Preferred Stock has a liquidation preference of $1,000 per share; is redeemable at our option in cash (or, under certain circumstances, in stock), subject to the applicable redemption premium; is convertible into a variable number of common shares on certain terms and conditions on or after March 31, 2023; and is subject to certain other rights and obligations.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Preferred Stock shares earn cumulative dividends at a rate of 10.625% per year, payable quarterly in arrears if declared, and accrue whether or not earned or declared. If a Preferred Stock dividend is declared by the Board of Directors, then it will be paid in cash. Additionally, holders of Preferred Stock participate in any dividends paid on shares of NN’s common stock on an as-converted basis at a fixed conversion rate. If our common stockholders do not approve a proposal at our 2020 annual stockholder meeting to issue common stock in excess of thresholds established by certain Nasdaq stock market rules upon the exercise of Warrants or the conversion or redemption of Preferred Stock, then the annual dividend rate will immediately increase to 11.625% until such time approval is obtained.</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Preferred Stock is classified as mezzanine equity, between liabilities and stockholders’ equity, because certain features of the Preferred Stock could require redemption of some or all Preferred Stock upon events that are considered not solely within our control, including a leverage ratio threshold and the passage of time. For initial recognition in 2019, the Preferred Stock was recognized at a discounted value, net of issuance costs and allocation to warrants and bifurcated embedded derivatives. The aggregate discount is amortized as a deemed dividend through December 31, 2023, which is the date the holders have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March 31, 2020, the carrying value of the Preferred Stock shares was $95.7 million which included $3.6 million of accumulated unpaid and deemed dividends. The following table presents the change in the Preferred Stock carrying value during the three months ended March 31, 2020.</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and other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Three Months Ended March</w:t>
      </w:r>
    </w:p>
    <w:p>
      <w:pPr>
        <w:spacing w:after="0" w:line="15"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31, 2020</w:t>
      </w:r>
    </w:p>
    <w:p>
      <w:pPr>
        <w:spacing w:after="0" w:line="47" w:lineRule="exact"/>
        <w:rPr>
          <w:sz w:val="20"/>
          <w:szCs w:val="20"/>
          <w:color w:val="auto"/>
        </w:rPr>
      </w:pPr>
    </w:p>
    <w:p>
      <w:pPr>
        <w:ind w:left="1277" w:hanging="1277"/>
        <w:spacing w:after="0"/>
        <w:tabs>
          <w:tab w:leader="none" w:pos="1277" w:val="left"/>
        </w:tabs>
        <w:numPr>
          <w:ilvl w:val="0"/>
          <w:numId w:val="6"/>
        </w:numPr>
        <w:rPr>
          <w:rFonts w:ascii="Arial" w:cs="Arial" w:eastAsia="Arial" w:hAnsi="Arial"/>
          <w:sz w:val="18"/>
          <w:szCs w:val="18"/>
          <w:color w:val="auto"/>
        </w:rPr>
      </w:pPr>
      <w:r>
        <w:rPr>
          <w:rFonts w:ascii="Arial" w:cs="Arial" w:eastAsia="Arial" w:hAnsi="Arial"/>
          <w:sz w:val="18"/>
          <w:szCs w:val="18"/>
          <w:color w:val="auto"/>
        </w:rPr>
        <w:t>93,012</w:t>
      </w:r>
    </w:p>
    <w:p>
      <w:pPr>
        <w:spacing w:after="0" w:line="63" w:lineRule="exact"/>
        <w:rPr>
          <w:rFonts w:ascii="Arial" w:cs="Arial" w:eastAsia="Arial" w:hAnsi="Arial"/>
          <w:sz w:val="18"/>
          <w:szCs w:val="18"/>
          <w:color w:val="auto"/>
        </w:rPr>
      </w:pPr>
    </w:p>
    <w:p>
      <w:pPr>
        <w:ind w:left="1357"/>
        <w:spacing w:after="0"/>
        <w:rPr>
          <w:rFonts w:ascii="Arial" w:cs="Arial" w:eastAsia="Arial" w:hAnsi="Arial"/>
          <w:sz w:val="18"/>
          <w:szCs w:val="18"/>
          <w:color w:val="auto"/>
        </w:rPr>
      </w:pPr>
      <w:r>
        <w:rPr>
          <w:rFonts w:ascii="Arial" w:cs="Arial" w:eastAsia="Arial" w:hAnsi="Arial"/>
          <w:sz w:val="18"/>
          <w:szCs w:val="18"/>
          <w:color w:val="auto"/>
        </w:rPr>
        <w:t>2,672</w:t>
      </w:r>
    </w:p>
    <w:p>
      <w:pPr>
        <w:spacing w:after="0" w:line="63" w:lineRule="exact"/>
        <w:rPr>
          <w:rFonts w:ascii="Arial" w:cs="Arial" w:eastAsia="Arial" w:hAnsi="Arial"/>
          <w:sz w:val="18"/>
          <w:szCs w:val="18"/>
          <w:color w:val="auto"/>
        </w:rPr>
      </w:pPr>
    </w:p>
    <w:p>
      <w:pPr>
        <w:ind w:left="1537"/>
        <w:spacing w:after="0"/>
        <w:rPr>
          <w:rFonts w:ascii="Arial" w:cs="Arial" w:eastAsia="Arial" w:hAnsi="Arial"/>
          <w:sz w:val="18"/>
          <w:szCs w:val="18"/>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1208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80" w:lineRule="exact"/>
        <w:rPr>
          <w:sz w:val="20"/>
          <w:szCs w:val="20"/>
          <w:color w:val="auto"/>
        </w:rPr>
      </w:pPr>
    </w:p>
    <w:p>
      <w:pPr>
        <w:ind w:left="1277" w:hanging="1277"/>
        <w:spacing w:after="0"/>
        <w:tabs>
          <w:tab w:leader="none" w:pos="1277" w:val="left"/>
        </w:tabs>
        <w:numPr>
          <w:ilvl w:val="0"/>
          <w:numId w:val="7"/>
        </w:numPr>
        <w:rPr>
          <w:rFonts w:ascii="Arial" w:cs="Arial" w:eastAsia="Arial" w:hAnsi="Arial"/>
          <w:sz w:val="18"/>
          <w:szCs w:val="18"/>
          <w:color w:val="auto"/>
        </w:rPr>
      </w:pPr>
      <w:r>
        <w:rPr>
          <w:rFonts w:ascii="Arial" w:cs="Arial" w:eastAsia="Arial" w:hAnsi="Arial"/>
          <w:sz w:val="18"/>
          <w:szCs w:val="18"/>
          <w:color w:val="auto"/>
        </w:rPr>
        <w:t>95,664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208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1208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643" w:space="720"/>
            <w:col w:w="1837"/>
          </w:cols>
          <w:pgMar w:left="320" w:top="125" w:right="37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320" w:top="125" w:right="3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Revenue from Contracts with Customers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rPr>
              <w:t>Three Months Ended March 31, 2020</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8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Sciences</w:t>
            </w: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Puerto Rico</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145,200</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84,048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69,884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199,745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rPr>
              <w:t>Three Months Ended March 31, 2019</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8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Sciences</w:t>
            </w: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Puerto Rico</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153,431</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China</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15,530</w:t>
            </w: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86,008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78,075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49,657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213,256</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599"/>
              <w:spacing w:after="0"/>
              <w:rPr>
                <w:sz w:val="20"/>
                <w:szCs w:val="20"/>
                <w:color w:val="auto"/>
              </w:rPr>
            </w:pPr>
            <w:r>
              <w:rPr>
                <w:rFonts w:ascii="Arial" w:cs="Arial" w:eastAsia="Arial" w:hAnsi="Arial"/>
                <w:sz w:val="14"/>
                <w:szCs w:val="14"/>
                <w:b w:val="1"/>
                <w:bCs w:val="1"/>
                <w:color w:val="auto"/>
              </w:rPr>
              <w:t>Deferred</w:t>
            </w:r>
          </w:p>
        </w:tc>
      </w:tr>
      <w:tr>
        <w:trPr>
          <w:trHeight w:val="192"/>
        </w:trPr>
        <w:tc>
          <w:tcPr>
            <w:tcW w:w="9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Revenue</w:t>
            </w:r>
          </w:p>
        </w:tc>
      </w:tr>
      <w:tr>
        <w:trPr>
          <w:trHeight w:val="249"/>
        </w:trPr>
        <w:tc>
          <w:tcPr>
            <w:tcW w:w="9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January 1,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4,172</w:t>
            </w:r>
          </w:p>
        </w:tc>
      </w:tr>
      <w:tr>
        <w:trPr>
          <w:trHeight w:val="243"/>
        </w:trPr>
        <w:tc>
          <w:tcPr>
            <w:tcW w:w="9220" w:type="dxa"/>
            <w:vAlign w:val="bottom"/>
          </w:tcPr>
          <w:p>
            <w:pPr>
              <w:ind w:left="180"/>
              <w:spacing w:after="0"/>
              <w:rPr>
                <w:sz w:val="20"/>
                <w:szCs w:val="20"/>
                <w:color w:val="auto"/>
              </w:rPr>
            </w:pPr>
            <w:r>
              <w:rPr>
                <w:rFonts w:ascii="Arial" w:cs="Arial" w:eastAsia="Arial" w:hAnsi="Arial"/>
                <w:sz w:val="18"/>
                <w:szCs w:val="18"/>
                <w:color w:val="auto"/>
              </w:rPr>
              <w:t>Balance at March 31, 2020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3,168</w:t>
            </w:r>
          </w:p>
        </w:tc>
      </w:tr>
    </w:tbl>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Revenue recognized during the three months ended March 31, 2020, from amounts included in deferred revenue at the beginning of the period for performance obligations satisfied or partially satisfied during the period, was $1.0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March 31, 2020, unless our contracts meet one of the practical expedients. Our contracts met the practical expedient for a performance obligation that is part of a contract that has an original expected duration of one year or less.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left="60" w:right="20"/>
        <w:spacing w:after="0" w:line="263" w:lineRule="auto"/>
        <w:rPr>
          <w:sz w:val="20"/>
          <w:szCs w:val="20"/>
          <w:color w:val="auto"/>
        </w:rPr>
      </w:pPr>
      <w:r>
        <w:rPr>
          <w:rFonts w:ascii="Arial" w:cs="Arial" w:eastAsia="Arial" w:hAnsi="Arial"/>
          <w:sz w:val="18"/>
          <w:szCs w:val="18"/>
          <w:color w:val="auto"/>
        </w:rPr>
        <w:t>We recognized sales from a single customer of $25.6 million, or 13% of consolidated net sales, during the three months ended March 31, 2020, and $23.3 million, or 11% of consolidated net sales, during the three months ended March 31, 2019. Revenues from this customer are in our Life Sciences and Power Solutions groups.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8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13335</wp:posOffset>
            </wp:positionV>
            <wp:extent cx="2057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4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459</w:t>
            </w:r>
          </w:p>
        </w:tc>
      </w:tr>
      <w:tr>
        <w:trPr>
          <w:trHeight w:val="27"/>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1,296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873</w:t>
            </w:r>
          </w:p>
        </w:tc>
      </w:tr>
      <w:tr>
        <w:trPr>
          <w:trHeight w:val="27"/>
        </w:trPr>
        <w:tc>
          <w:tcPr>
            <w:tcW w:w="8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three months ended March 31, 2020, we granted options to purchase 158,700 shares to certain key employees. The weighted average grant date fair value of the options granted during the three months ended March 31, 2020, was $4.76 per share. The fair value of our options cannot be determined by market value because they are not traded in an open market. Accordingly, we utilized the Black Scholes financial pricing model to estimate the fair value.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2020</w:t>
            </w:r>
          </w:p>
        </w:tc>
      </w:tr>
      <w:tr>
        <w:trPr>
          <w:trHeight w:val="24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 years</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9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00" w:type="dxa"/>
            <w:vAlign w:val="bottom"/>
          </w:tcPr>
          <w:p>
            <w:pPr>
              <w:jc w:val="right"/>
              <w:spacing w:after="0"/>
              <w:rPr>
                <w:sz w:val="20"/>
                <w:szCs w:val="20"/>
                <w:color w:val="auto"/>
              </w:rPr>
            </w:pPr>
            <w:r>
              <w:rPr>
                <w:rFonts w:ascii="Arial" w:cs="Arial" w:eastAsia="Arial" w:hAnsi="Arial"/>
                <w:sz w:val="18"/>
                <w:szCs w:val="18"/>
                <w:color w:val="auto"/>
              </w:rPr>
              <w:t>52.80%</w:t>
            </w: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 primarily due to the transformation of the management structure over the past several years.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average risk-free interest rate is derived from the United States Department of Treasury published interest rates of daily yield curves for the same time period as the expected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expected dividend yield reflects no expected annual dividends over the expected term because we discontinued dividends in 2019.</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a mathematical formula utilizing daily closing price data.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three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26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Intrinsic</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4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12.49</w:t>
            </w:r>
          </w:p>
        </w:tc>
        <w:tc>
          <w:tcPr>
            <w:tcW w:w="15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BFE4FF"/>
              <w:bottom w:val="single" w:sz="8" w:color="BFE4FF"/>
            </w:tcBorders>
            <w:shd w:val="clear" w:color="auto" w:fill="BFE4FF"/>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0"/>
              <w:spacing w:after="0"/>
              <w:rPr>
                <w:sz w:val="20"/>
                <w:szCs w:val="20"/>
                <w:color w:val="auto"/>
              </w:rPr>
            </w:pPr>
            <w:r>
              <w:rPr>
                <w:rFonts w:ascii="Arial" w:cs="Arial" w:eastAsia="Arial" w:hAnsi="Arial"/>
                <w:sz w:val="18"/>
                <w:szCs w:val="18"/>
                <w:color w:val="auto"/>
              </w:rPr>
              <w:t>Exercisable at March 31, 2020</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gridSpan w:val="2"/>
            <w:vMerge w:val="continue"/>
          </w:tcPr>
          <w:p>
            <w:pPr>
              <w:spacing w:after="0"/>
              <w:rPr>
                <w:sz w:val="21"/>
                <w:szCs w:val="21"/>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13.93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54" w:lineRule="exact"/>
        <w:rPr>
          <w:sz w:val="20"/>
          <w:szCs w:val="20"/>
          <w:color w:val="auto"/>
        </w:rPr>
      </w:pPr>
    </w:p>
    <w:p>
      <w:pPr>
        <w:ind w:left="660" w:right="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aggregate intrinsic value is the sum of intrinsic values for each exercisable individual option grant. The intrinsic value is the amount by which the closing market price of our stock at March 31, 2020, was greater than the exercise price of any individual option grant.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three months ended March 31, 2020, we granted 460,255 restricted stock awards to non-executive directors, officers and certain other key employees. The shares of restricted stock granted during the three months ended March 31, 2020, vest pro-rata generally over three years for officers and certain other key employees and over one year for non-executive directors and certain officers. We determined the fair value of the shares awarded by using the closing price of our common stock as of the date of grant. The weighted average grant date value of restricted stock granted in the three months ended March 31, 2020, was $9.35 per share. Total grant-date fair value of restricted stock that vested in the three months ended March 31, 2020, was $1.0 million.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March 31, 2020, and changes during the three months then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2020</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2020</w:t>
            </w:r>
          </w:p>
        </w:tc>
        <w:tc>
          <w:tcPr>
            <w:tcW w:w="1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563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2020 were made pursuant to the NN, Inc. 2019 Omnibus Incentive Plan and a Performance Share Unit Agreement (the “2019 Omnibus Agreement”). Some PSUs are based on total shareholder return (“TSR Awards”), and other PSUs are based on return on invested capital (“ROIC Awards”).</w:t>
      </w:r>
    </w:p>
    <w:p>
      <w:pPr>
        <w:spacing w:after="0" w:line="4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in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196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Threshold Performance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960" w:type="dxa"/>
            <w:vAlign w:val="bottom"/>
          </w:tcPr>
          <w:p>
            <w:pPr>
              <w:jc w:val="center"/>
              <w:ind w:left="382"/>
              <w:spacing w:after="0" w:line="158" w:lineRule="exact"/>
              <w:rPr>
                <w:sz w:val="20"/>
                <w:szCs w:val="20"/>
                <w:color w:val="auto"/>
              </w:rPr>
            </w:pPr>
            <w:r>
              <w:rPr>
                <w:rFonts w:ascii="Arial" w:cs="Arial" w:eastAsia="Arial" w:hAnsi="Arial"/>
                <w:sz w:val="14"/>
                <w:szCs w:val="14"/>
                <w:b w:val="1"/>
                <w:bCs w:val="1"/>
                <w:color w:val="auto"/>
                <w:w w:val="93"/>
              </w:rPr>
              <w:t>(50%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2020 grants</w:t>
            </w:r>
          </w:p>
        </w:tc>
        <w:tc>
          <w:tcPr>
            <w:tcW w:w="1960" w:type="dxa"/>
            <w:vAlign w:val="bottom"/>
            <w:tcBorders>
              <w:bottom w:val="single" w:sz="8" w:color="CCEEFF"/>
            </w:tcBorders>
            <w:shd w:val="clear" w:color="auto" w:fill="CCEEFF"/>
          </w:tcPr>
          <w:p>
            <w:pPr>
              <w:jc w:val="center"/>
              <w:ind w:left="362"/>
              <w:spacing w:after="0"/>
              <w:rPr>
                <w:sz w:val="20"/>
                <w:szCs w:val="20"/>
                <w:color w:val="auto"/>
              </w:rPr>
            </w:pPr>
            <w:r>
              <w:rPr>
                <w:rFonts w:ascii="Arial" w:cs="Arial" w:eastAsia="Arial" w:hAnsi="Arial"/>
                <w:sz w:val="18"/>
                <w:szCs w:val="18"/>
                <w:color w:val="auto"/>
                <w:w w:val="89"/>
              </w:rPr>
              <w:t>35th Percentile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50th Percentile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196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Threshold Performance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960" w:type="dxa"/>
            <w:vAlign w:val="bottom"/>
          </w:tcPr>
          <w:p>
            <w:pPr>
              <w:jc w:val="center"/>
              <w:ind w:left="382"/>
              <w:spacing w:after="0" w:line="158" w:lineRule="exact"/>
              <w:rPr>
                <w:sz w:val="20"/>
                <w:szCs w:val="20"/>
                <w:color w:val="auto"/>
              </w:rPr>
            </w:pPr>
            <w:r>
              <w:rPr>
                <w:rFonts w:ascii="Arial" w:cs="Arial" w:eastAsia="Arial" w:hAnsi="Arial"/>
                <w:sz w:val="14"/>
                <w:szCs w:val="14"/>
                <w:b w:val="1"/>
                <w:bCs w:val="1"/>
                <w:color w:val="auto"/>
                <w:w w:val="93"/>
              </w:rPr>
              <w:t>(35%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2020 grants</w:t>
            </w:r>
          </w:p>
        </w:tc>
        <w:tc>
          <w:tcPr>
            <w:tcW w:w="1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60" w:type="dxa"/>
            <w:vAlign w:val="bottom"/>
          </w:tcPr>
          <w:p>
            <w:pPr>
              <w:jc w:val="right"/>
              <w:ind w:right="82"/>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 date fair value in the period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TSR Awards</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1262"/>
              <w:spacing w:after="0"/>
              <w:rPr>
                <w:sz w:val="20"/>
                <w:szCs w:val="20"/>
                <w:color w:val="auto"/>
              </w:rPr>
            </w:pPr>
            <w:r>
              <w:rPr>
                <w:rFonts w:ascii="Arial" w:cs="Arial" w:eastAsia="Arial" w:hAnsi="Arial"/>
                <w:sz w:val="14"/>
                <w:szCs w:val="14"/>
                <w:b w:val="1"/>
                <w:bCs w:val="1"/>
                <w:color w:val="auto"/>
              </w:rPr>
              <w:t>ROIC Awards</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3"/>
                <w:szCs w:val="13"/>
                <w:color w:val="auto"/>
              </w:rPr>
            </w:pPr>
          </w:p>
        </w:tc>
        <w:tc>
          <w:tcPr>
            <w:tcW w:w="15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Award Year</w:t>
            </w:r>
          </w:p>
        </w:tc>
        <w:tc>
          <w:tcPr>
            <w:tcW w:w="1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spacing w:after="0"/>
              <w:rPr>
                <w:sz w:val="16"/>
                <w:szCs w:val="16"/>
                <w:color w:val="auto"/>
              </w:rPr>
            </w:pPr>
          </w:p>
        </w:tc>
        <w:tc>
          <w:tcPr>
            <w:tcW w:w="130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(per share)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56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43"/>
        </w:trPr>
        <w:tc>
          <w:tcPr>
            <w:tcW w:w="38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86"/>
              </w:rPr>
              <w:t>139</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March 31, 2020, and changes during the three months then ended.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Nonvested TSR Awards</w:t>
            </w: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left="445"/>
              <w:spacing w:after="0" w:line="153" w:lineRule="exact"/>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425"/>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160" w:type="dxa"/>
            <w:vAlign w:val="bottom"/>
            <w:gridSpan w:val="6"/>
          </w:tcPr>
          <w:p>
            <w:pPr>
              <w:jc w:val="center"/>
              <w:ind w:right="390"/>
              <w:spacing w:after="0" w:line="149" w:lineRule="exact"/>
              <w:rPr>
                <w:sz w:val="20"/>
                <w:szCs w:val="20"/>
                <w:color w:val="auto"/>
              </w:rPr>
            </w:pPr>
            <w:r>
              <w:rPr>
                <w:rFonts w:ascii="Arial" w:cs="Arial" w:eastAsia="Arial" w:hAnsi="Arial"/>
                <w:sz w:val="14"/>
                <w:szCs w:val="14"/>
                <w:b w:val="1"/>
                <w:bCs w:val="1"/>
                <w:color w:val="auto"/>
                <w:w w:val="99"/>
              </w:rPr>
              <w:t>Grant-Date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445"/>
              <w:spacing w:after="0" w:line="149" w:lineRule="exact"/>
              <w:rPr>
                <w:sz w:val="20"/>
                <w:szCs w:val="20"/>
                <w:color w:val="auto"/>
              </w:rPr>
            </w:pPr>
            <w:r>
              <w:rPr>
                <w:rFonts w:ascii="Arial" w:cs="Arial" w:eastAsia="Arial" w:hAnsi="Arial"/>
                <w:sz w:val="14"/>
                <w:szCs w:val="14"/>
                <w:b w:val="1"/>
                <w:bCs w:val="1"/>
                <w:color w:val="auto"/>
                <w:w w:val="95"/>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2020</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65</w:t>
            </w:r>
          </w:p>
        </w:tc>
        <w:tc>
          <w:tcPr>
            <w:tcW w:w="880" w:type="dxa"/>
            <w:vAlign w:val="bottom"/>
            <w:tcBorders>
              <w:bottom w:val="single" w:sz="8" w:color="CCEEFF"/>
            </w:tcBorders>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Nonvested at March 31, 2020</w:t>
            </w:r>
          </w:p>
        </w:tc>
        <w:tc>
          <w:tcPr>
            <w:tcW w:w="3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185</w:t>
            </w:r>
          </w:p>
        </w:tc>
        <w:tc>
          <w:tcPr>
            <w:tcW w:w="88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10.53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Note 16. Accumulated Other Comprehensive Income</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11"/>
          </w:tcPr>
          <w:p>
            <w:pPr>
              <w:spacing w:after="0"/>
              <w:rPr>
                <w:sz w:val="20"/>
                <w:szCs w:val="20"/>
                <w:color w:val="auto"/>
              </w:rPr>
            </w:pPr>
            <w:r>
              <w:rPr>
                <w:rFonts w:ascii="Arial" w:cs="Arial" w:eastAsia="Arial" w:hAnsi="Arial"/>
                <w:sz w:val="18"/>
                <w:szCs w:val="18"/>
                <w:color w:val="auto"/>
              </w:rPr>
              <w:t>The following table presents the components of accumulated other comprehensive income (“AOCI”).</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Interest rate swap</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Income taxes (2)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3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2,839</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18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9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(14,599)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3,390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 (1)</w:t>
            </w: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9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(13,229)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3,072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3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3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25"/>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(4,960)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3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20" w:hanging="247"/>
        <w:spacing w:after="0" w:line="277" w:lineRule="auto"/>
        <w:tabs>
          <w:tab w:leader="none" w:pos="6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reflects $1.1 million of settlements on the interest rate swap, net of tax, that are reclassified out of AOCI into interest expense on the Consolidated Statements of Operations and Comprehensive Income (Loss)</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Income (Loss) Per Common Share</w:t>
      </w:r>
    </w:p>
    <w:p>
      <w:pPr>
        <w:spacing w:after="0" w:line="22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 company that has participating securities (for example, our Preferred Stock)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Preferred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common share.</w:t>
      </w:r>
    </w:p>
    <w:p>
      <w:pPr>
        <w:spacing w:after="0" w:line="27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13335</wp:posOffset>
            </wp:positionV>
            <wp:extent cx="205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(248,191)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(19,518)</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Preferred Stock cumulative dividends and deemed dividends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Numerator for basic and diluted net income (loss) per common share (1)</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(251,142)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(19,518)</w:t>
            </w:r>
          </w:p>
        </w:tc>
      </w:tr>
      <w:tr>
        <w:trPr>
          <w:trHeight w:val="67"/>
        </w:trPr>
        <w:tc>
          <w:tcPr>
            <w:tcW w:w="80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64"/>
        </w:trPr>
        <w:tc>
          <w:tcPr>
            <w:tcW w:w="8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 basic and diluted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41,972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Per common share net loss: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net income (loss)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Diluted net income (loss)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r>
      <w:tr>
        <w:trPr>
          <w:trHeight w:val="182"/>
        </w:trPr>
        <w:tc>
          <w:tcPr>
            <w:tcW w:w="8000" w:type="dxa"/>
            <w:vAlign w:val="bottom"/>
          </w:tcPr>
          <w:p>
            <w:pPr>
              <w:spacing w:after="0"/>
              <w:rPr>
                <w:sz w:val="20"/>
                <w:szCs w:val="20"/>
                <w:color w:val="auto"/>
              </w:rPr>
            </w:pPr>
            <w:r>
              <w:rPr>
                <w:rFonts w:ascii="Arial" w:cs="Arial" w:eastAsia="Arial" w:hAnsi="Arial"/>
                <w:sz w:val="14"/>
                <w:szCs w:val="14"/>
                <w:color w:val="auto"/>
              </w:rPr>
              <w:t>_______________________________</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Preferred Stock does not participate in losses.</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number of potentially dilutive securities that were excluded from the calculation of diluted net income (loss) per common share because they had an anti-dilutive effect.</w:t>
      </w:r>
    </w:p>
    <w:p>
      <w:pPr>
        <w:spacing w:after="0" w:line="216"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13335</wp:posOffset>
            </wp:positionV>
            <wp:extent cx="1628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as-converted</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26,275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28,672</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676</w:t>
            </w:r>
          </w:p>
        </w:tc>
      </w:tr>
      <w:tr>
        <w:trPr>
          <w:trHeight w:val="27"/>
        </w:trPr>
        <w:tc>
          <w:tcPr>
            <w:tcW w:w="8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Given the loss from continuing operations in the three months ended March 31, 2020 and 2019, all options and warrants are considered anti-dilutive and were excluded from the calculation of diluted net income (loss) per share. Stock options excluded from the calculations of diluted net income (loss) per share had a per share exercise price ranging from $7.93 to $25.16 for the three months ended March 31, 2020, and $8.90 to $25.16 for three months ended March 31, 2019. Warrants excluded from the calculation of diluted net income (loss) per share for the three months ended March 31, 2020, had a per share exercise price of $12.00. Preferred Stock excluded from the calculation of diluted net income (loss) per share for the three months ended March 31, 2020, was calculated on an as-converted basis. Holders of Preferred Stock will have the right to convert up to 25% of their Preferred Stock into common shares per quarter after December 31, 2023, at a conversion price that equals a 30-day volume weighted average price per common share. Under certain conditions, holders of Preferred Stock may elect to convert their Preferred Stock into common shares at an earlier date after March 31, 2023, at a conversion price that equals 90% of the volume weighted average market price per common share. The potentially dilutive Preferred Stock in the preceding table presents the more dilutive result of these conversion prices as if the Preferred Stock were converted on March 31, 2020.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2019 Annual Report.</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As of March 31, 2020, the carrying values of these financial instruments approximated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features were bifurcated and accounted for separate from the Preferred Stock. The following features are recorded on a combined basis as a single derivative.</w:t>
      </w:r>
    </w:p>
    <w:p>
      <w:pPr>
        <w:spacing w:after="0" w:line="62" w:lineRule="exact"/>
        <w:rPr>
          <w:sz w:val="20"/>
          <w:szCs w:val="20"/>
          <w:color w:val="auto"/>
        </w:rPr>
      </w:pPr>
    </w:p>
    <w:p>
      <w:pPr>
        <w:jc w:val="both"/>
        <w:ind w:left="660" w:right="20" w:hanging="328"/>
        <w:spacing w:after="0" w:line="311"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Preferred Stock includes a redemption option based on a leverage ratio threshold that provides the preferred holder</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to convert the Preferred Stock to a variable number of shares of common stock at a discount to the then fair value of our common stock. The conversion feature is considered a redemption right at a premium which is not clearly and closely related to the debt host.</w:t>
      </w:r>
    </w:p>
    <w:p>
      <w:pPr>
        <w:spacing w:after="0" w:line="40" w:lineRule="exact"/>
        <w:rPr>
          <w:rFonts w:ascii="Arial" w:cs="Arial" w:eastAsia="Arial" w:hAnsi="Arial"/>
          <w:sz w:val="16"/>
          <w:szCs w:val="16"/>
          <w:i w:val="1"/>
          <w:iCs w:val="1"/>
          <w:color w:val="auto"/>
        </w:rPr>
      </w:pPr>
    </w:p>
    <w:p>
      <w:pPr>
        <w:ind w:left="660" w:right="1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Contingent dividends. </w:t>
      </w:r>
      <w:r>
        <w:rPr>
          <w:rFonts w:ascii="Arial" w:cs="Arial" w:eastAsia="Arial" w:hAnsi="Arial"/>
          <w:sz w:val="18"/>
          <w:szCs w:val="18"/>
          <w:color w:val="auto"/>
        </w:rPr>
        <w:t>The feature that allows for the dividend rate to increase to 11.625% in 2020 is not considered clearly and closely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 host.</w:t>
      </w:r>
    </w:p>
    <w:p>
      <w:pPr>
        <w:spacing w:after="0" w:line="62"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Dividends withholding. </w:t>
      </w:r>
      <w:r>
        <w:rPr>
          <w:rFonts w:ascii="Arial" w:cs="Arial" w:eastAsia="Arial" w:hAnsi="Arial"/>
          <w:sz w:val="18"/>
          <w:szCs w:val="18"/>
          <w:color w:val="auto"/>
        </w:rPr>
        <w:t>The Preferred Stock bears a feature that could require us to make an effective distribution to purchasers which is indexed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 rate of the purchasers. This distribution would be partially offset by an adjustment to the redemption price and/or conversion rate. The dividends withholding feature is not clearly and closely related to the debt host.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the liabilities measured at fair value for the Preferred Stock derivative above as of March 31, 2020, and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10"/>
          </w:tcPr>
          <w:p>
            <w:pPr>
              <w:jc w:val="center"/>
              <w:ind w:right="39"/>
              <w:spacing w:after="0"/>
              <w:rPr>
                <w:sz w:val="20"/>
                <w:szCs w:val="20"/>
                <w:color w:val="auto"/>
              </w:rPr>
            </w:pPr>
            <w:r>
              <w:rPr>
                <w:rFonts w:ascii="Arial" w:cs="Arial" w:eastAsia="Arial" w:hAnsi="Arial"/>
                <w:sz w:val="14"/>
                <w:szCs w:val="14"/>
                <w:b w:val="1"/>
                <w:bCs w:val="1"/>
                <w:color w:val="auto"/>
                <w:w w:val="93"/>
              </w:rPr>
              <w:t>Fair Value Measurements as of March 31, 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3"/>
                <w:szCs w:val="13"/>
                <w:color w:val="auto"/>
              </w:rPr>
            </w:pPr>
          </w:p>
        </w:tc>
        <w:tc>
          <w:tcPr>
            <w:tcW w:w="150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6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5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2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3"/>
                <w:szCs w:val="13"/>
                <w:color w:val="auto"/>
              </w:rPr>
            </w:pPr>
          </w:p>
        </w:tc>
        <w:tc>
          <w:tcPr>
            <w:tcW w:w="15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5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Assets (Level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3"/>
          </w:tcPr>
          <w:p>
            <w:pPr>
              <w:ind w:left="1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inputs for determining fair value of the Preferred Stock derivative are classified as Level 3 inputs. Level 3 fair value is based on unobservable inputs based on the best information available. These inputs include probability assessments of how long the Preferred Stock will remain outstanding, whether the leverage ratio threshold will be exceeded, and whether approval is obtained from common stockholders for issuance of common stock upon exercise of the Warrants and conversion or redemption of the Preferred Stock. Inputs also include the percentage of Preferred Stock held by non-U.S. resident holders and the applicable tax withholding rates for those 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the Preferred Stock derivative during the three months ended March 31,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March</w:t>
            </w:r>
          </w:p>
        </w:tc>
        <w:tc>
          <w:tcPr>
            <w:tcW w:w="0" w:type="dxa"/>
            <w:vAlign w:val="bottom"/>
          </w:tcPr>
          <w:p>
            <w:pPr>
              <w:spacing w:after="0"/>
              <w:rPr>
                <w:sz w:val="1"/>
                <w:szCs w:val="1"/>
                <w:color w:val="auto"/>
              </w:rPr>
            </w:pPr>
          </w:p>
        </w:tc>
      </w:tr>
      <w:tr>
        <w:trPr>
          <w:trHeight w:val="192"/>
        </w:trPr>
        <w:tc>
          <w:tcPr>
            <w:tcW w:w="93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Change in fair value (1)</w:t>
            </w: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57"/>
        </w:trPr>
        <w:tc>
          <w:tcPr>
            <w:tcW w:w="9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4"/>
                <w:szCs w:val="14"/>
                <w:color w:val="auto"/>
              </w:rPr>
              <w:t>_______________________________</w:t>
            </w: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3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60" w:right="620" w:hanging="252"/>
        <w:spacing w:after="0" w:line="308" w:lineRule="auto"/>
        <w:tabs>
          <w:tab w:leader="none" w:pos="272"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fair value are recognized in the “Other (income) expense, net” line in the Condensed Consolidated Statements of Operations and Comprehensive Income (Loss). All of the change in fair value relates to the derivative liability held at March 31,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manage our exposure to fluctuations in interest rates using a mix of fixed and variable rate debt. We have a $700.0 million fixed-rate interest rate swap agreement that changes the LIBOR-based portion of the interest rate on a portion of our variable rate debt to a fixed rate of 2.4575% (the “interest rate swap”) through October 19, 2022 . The interest rate swap effectively mitigates our exposures to the risks and variability of changes in LIBOR.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the interest rate swap will decrease over time as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Notional Amount</w:t>
            </w:r>
          </w:p>
        </w:tc>
      </w:tr>
      <w:tr>
        <w:trPr>
          <w:trHeight w:val="250"/>
        </w:trPr>
        <w:tc>
          <w:tcPr>
            <w:tcW w:w="7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2019</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 December 30, 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700,000</w:t>
            </w:r>
          </w:p>
        </w:tc>
      </w:tr>
      <w:tr>
        <w:trPr>
          <w:trHeight w:val="243"/>
        </w:trPr>
        <w:tc>
          <w:tcPr>
            <w:tcW w:w="726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160" w:type="dxa"/>
            <w:vAlign w:val="bottom"/>
          </w:tcPr>
          <w:p>
            <w:pPr>
              <w:jc w:val="right"/>
              <w:spacing w:after="0"/>
              <w:rPr>
                <w:sz w:val="20"/>
                <w:szCs w:val="20"/>
                <w:color w:val="auto"/>
              </w:rPr>
            </w:pPr>
            <w:r>
              <w:rPr>
                <w:rFonts w:ascii="Arial" w:cs="Arial" w:eastAsia="Arial" w:hAnsi="Arial"/>
                <w:sz w:val="18"/>
                <w:szCs w:val="18"/>
                <w:color w:val="auto"/>
                <w:w w:val="90"/>
              </w:rPr>
              <w:t>- December 30,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2021</w:t>
            </w:r>
          </w:p>
        </w:tc>
        <w:tc>
          <w:tcPr>
            <w:tcW w:w="2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466,667</w:t>
            </w:r>
          </w:p>
        </w:tc>
      </w:tr>
      <w:tr>
        <w:trPr>
          <w:trHeight w:val="27"/>
        </w:trPr>
        <w:tc>
          <w:tcPr>
            <w:tcW w:w="882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8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December 31, 2021 - October 19,</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2022</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233,333</w:t>
            </w:r>
          </w:p>
        </w:tc>
      </w:tr>
      <w:tr>
        <w:trPr>
          <w:trHeight w:val="27"/>
        </w:trPr>
        <w:tc>
          <w:tcPr>
            <w:tcW w:w="7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 Senior Secured Term Loan, the changes in cash flows of the interest rate swap are expected to exactly offset changes in cash flows of the variable rate debt. The interest rate swap is designated as a cash flow hedge.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we reported a $19.6 million loss, net of tax, in accumulated other comprehensive income related to the interest rate swap.</w:t>
      </w:r>
    </w:p>
    <w:p>
      <w:pPr>
        <w:spacing w:after="0" w:line="1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present the liabilities measured at fair value on a recurring basis for the interest rate swap as of March 31, 2020, and 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6"/>
          </w:tcPr>
          <w:p>
            <w:pPr>
              <w:jc w:val="center"/>
              <w:ind w:left="261"/>
              <w:spacing w:after="0"/>
              <w:rPr>
                <w:sz w:val="20"/>
                <w:szCs w:val="20"/>
                <w:color w:val="auto"/>
              </w:rPr>
            </w:pPr>
            <w:r>
              <w:rPr>
                <w:rFonts w:ascii="Arial" w:cs="Arial" w:eastAsia="Arial" w:hAnsi="Arial"/>
                <w:sz w:val="14"/>
                <w:szCs w:val="14"/>
                <w:b w:val="1"/>
                <w:bCs w:val="1"/>
                <w:color w:val="auto"/>
                <w:w w:val="93"/>
              </w:rPr>
              <w:t>Fair Value Measurements as of March 31, 2020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Significant Other</w:t>
            </w: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4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liability - other current liabilities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13,539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Derivative liability - other non-current liabilities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11,923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25,462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6"/>
          </w:tcPr>
          <w:p>
            <w:pPr>
              <w:jc w:val="center"/>
              <w:ind w:left="261"/>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6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Significant Other</w:t>
            </w:r>
          </w:p>
        </w:tc>
        <w:tc>
          <w:tcPr>
            <w:tcW w:w="16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8"/>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 (Level</w:t>
            </w:r>
          </w:p>
        </w:tc>
        <w:tc>
          <w:tcPr>
            <w:tcW w:w="124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liability - other current liabilities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Derivative liability - other non-current liabilities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12,233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6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of floating-rate debt generally approximates the carrying amount as interest rates are based on short-term maturities. As of March 31, 2020, the aggregate fair value of our Senior Secured Term Loan and Incremental Term Loan is approximately $557.7 million, compared to the net carrying amount of $763.9 million. The fair value of these term loans is based on recently completed market transactions and is primarily classified as Level 2 within the fair value hierarchy.</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9 to these Notes to Condensed Consolidated Financial Statements was $11.1 million and $9.8 million as of March 31, 2020 and December 31, 2019, respectively. These fair values represent Level 2 under the three-tier hierarchy described above. The carrying value of this fixed-rate debt was $11.1 million and $9.8 million as of March 31, 2020 and December 31,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15, 2020, our Board of Directors authorized and declared a dividend of one preferred share purchase right for each outstanding share of common stock to shareholders of record on April 27, 2020. The rights will become exercisable if a person or group becomes the beneficial owner of 15% or more of our outstanding common stock (including in the form of synthetic ownership through derivative positions). In the event that the rights become exercisable due to the triggering ownership threshold being crossed, each right will entitle its holder to purchase one one-thousandth of a share of Series C Junior Participating Preferred Stock for $31.50. Rights held by the triggering person or entity will become void and will not be exercisable. The Board of Directors may, rather than permitting the exercise of the rights, exchange each right (other than rights held by the triggering person or entity) for one share of common stock per right, subject to adjustment. The Board of Directors will, prior to the rights becoming exercisable, in general be entitled to redeem the rights for $0.001 per right. The rights expire on March 31, 2021.</w:t>
      </w:r>
    </w:p>
    <w:p>
      <w:pPr>
        <w:spacing w:after="0" w:line="200" w:lineRule="exact"/>
        <w:rPr>
          <w:sz w:val="20"/>
          <w:szCs w:val="20"/>
          <w:color w:val="auto"/>
        </w:rPr>
      </w:pPr>
    </w:p>
    <w:p>
      <w:pPr>
        <w:spacing w:after="0" w:line="2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the terms “NN,” the “Company,” “we,” “our,” or “us” refer to NN, Inc. and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coronavirus (COVID-19) pandemic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2019 Annual Report and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three months ended March 31, 2020, that management believes are important to provide an understanding of the business and results of operations, or that may influence operations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December 2019, a novel strain of coronavirus (“COVID-19”) began to impact the population of China, where several of our manufacturing facilities are located. In late January and early February 2020, in an effort to contain the spread of the virus and maintain the wellbeing of our employees and in accordance with governmental requirements, we temporarily closed our production facilities in China. On March 11, 2020, the World Health Organization characterized the outbreak of COVID-19 as a global pandemic and recommended containment and mitigation measures. Consistent with actions taken by governmental authorities and in response to reduced customer demand, in late March 2020, we idled manufacturing operations in certain regions around the world, other than China, where manufacturing operations began to resume operations in March. We have experienced supplier and customer disruption, which has affected our results of operations and cash flows in the first quarter and has continued into the beginning of the second quarter. </w:t>
      </w:r>
      <w:r>
        <w:rPr>
          <w:rFonts w:ascii="Arial" w:cs="Arial" w:eastAsia="Arial" w:hAnsi="Arial"/>
          <w:sz w:val="17"/>
          <w:szCs w:val="17"/>
          <w:color w:val="212529"/>
        </w:rPr>
        <w:t>In Europe and</w:t>
      </w:r>
      <w:r>
        <w:rPr>
          <w:rFonts w:ascii="Arial" w:cs="Arial" w:eastAsia="Arial" w:hAnsi="Arial"/>
          <w:sz w:val="17"/>
          <w:szCs w:val="17"/>
          <w:color w:val="auto"/>
        </w:rPr>
        <w:t xml:space="preserve"> </w:t>
      </w:r>
      <w:r>
        <w:rPr>
          <w:rFonts w:ascii="Arial" w:cs="Arial" w:eastAsia="Arial" w:hAnsi="Arial"/>
          <w:sz w:val="17"/>
          <w:szCs w:val="17"/>
          <w:color w:val="212529"/>
        </w:rPr>
        <w:t xml:space="preserve">North America, sales declined in the second half of March as the pandemic led to customer plant closures. The current situation is more challenging than in the first quarter, as customer closures are now affecting much of our operations, for an unknown period of time, compared to a more limited scope in the first quarter. </w:t>
      </w:r>
      <w:r>
        <w:rPr>
          <w:rFonts w:ascii="Arial" w:cs="Arial" w:eastAsia="Arial" w:hAnsi="Arial"/>
          <w:sz w:val="17"/>
          <w:szCs w:val="17"/>
          <w:color w:val="000000"/>
        </w:rPr>
        <w:t>The spread of COVID-19 has created a disruption in the manufacturing, delivery and overall supply chain of automobile manufacturers and</w:t>
      </w:r>
      <w:r>
        <w:rPr>
          <w:rFonts w:ascii="Arial" w:cs="Arial" w:eastAsia="Arial" w:hAnsi="Arial"/>
          <w:sz w:val="17"/>
          <w:szCs w:val="17"/>
          <w:color w:val="212529"/>
        </w:rPr>
        <w:t xml:space="preserve"> </w:t>
      </w:r>
      <w:r>
        <w:rPr>
          <w:rFonts w:ascii="Arial" w:cs="Arial" w:eastAsia="Arial" w:hAnsi="Arial"/>
          <w:sz w:val="17"/>
          <w:szCs w:val="17"/>
          <w:color w:val="000000"/>
        </w:rPr>
        <w:t xml:space="preserve">suppliers. Global vehicle production has decreased significantly, and some vehicle manufacturers have completely shut down manufacturing operations in some countries and regions, including the United States and Europe. Stay at home orders issued by federal, state and local governmental authorities to combat the spread of COVID-19 has resulted in hospitals’ cancelling or deferring elective surgeries, which has negatively impacted demand from our Life Sciences customers. </w:t>
      </w:r>
      <w:r>
        <w:rPr>
          <w:rFonts w:ascii="Arial" w:cs="Arial" w:eastAsia="Arial" w:hAnsi="Arial"/>
          <w:sz w:val="17"/>
          <w:szCs w:val="17"/>
          <w:color w:val="212529"/>
        </w:rPr>
        <w:t>On April 6, 2020, we withdrew our previously issued full year 2020 financial guidance until the effects of the COVID-19 pandemic</w:t>
      </w:r>
      <w:r>
        <w:rPr>
          <w:rFonts w:ascii="Arial" w:cs="Arial" w:eastAsia="Arial" w:hAnsi="Arial"/>
          <w:sz w:val="17"/>
          <w:szCs w:val="17"/>
          <w:color w:val="000000"/>
        </w:rPr>
        <w:t xml:space="preserve"> </w:t>
      </w:r>
      <w:r>
        <w:rPr>
          <w:rFonts w:ascii="Arial" w:cs="Arial" w:eastAsia="Arial" w:hAnsi="Arial"/>
          <w:sz w:val="17"/>
          <w:szCs w:val="17"/>
          <w:color w:val="212529"/>
        </w:rPr>
        <w:t>can be better assessed.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12529"/>
        </w:rPr>
        <w:t>We have undertaken a number of actions to manage the evolving situation, including the continuation of previously announced cost savings initiatives.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Previously announced initiatives:</w:t>
      </w:r>
    </w:p>
    <w:p>
      <w:pPr>
        <w:spacing w:after="0" w:line="23"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Streamlining facilities and reducing overall selling, general and administrative costs</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Eliminated the quarterly dividend</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Reduced capital expenditures</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Issued $100 million of Preferred Stock and used net proceeds for debt repayment</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Refinanced senior credit facilities to extend maturities and provide additional liquidity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Additional actions taken in response to the economic effects of the pandemic:</w:t>
      </w:r>
    </w:p>
    <w:p>
      <w:pPr>
        <w:spacing w:after="0" w:line="23"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7"/>
          <w:szCs w:val="17"/>
          <w:color w:val="212529"/>
        </w:rPr>
      </w:pPr>
      <w:r>
        <w:rPr>
          <w:rFonts w:ascii="Arial" w:cs="Arial" w:eastAsia="Arial" w:hAnsi="Arial"/>
          <w:sz w:val="17"/>
          <w:szCs w:val="17"/>
          <w:color w:val="212529"/>
        </w:rPr>
        <w:t xml:space="preserve">In March 2020, we drew down $60 million </w:t>
      </w:r>
      <w:r>
        <w:rPr>
          <w:rFonts w:ascii="Arial" w:cs="Arial" w:eastAsia="Arial" w:hAnsi="Arial"/>
          <w:sz w:val="17"/>
          <w:szCs w:val="17"/>
          <w:color w:val="000000"/>
        </w:rPr>
        <w:t>in cash under our Senior Secured Revolver to strengthen our near-term cash position.</w:t>
      </w:r>
    </w:p>
    <w:p>
      <w:pPr>
        <w:spacing w:after="0" w:line="20" w:lineRule="exact"/>
        <w:rPr>
          <w:rFonts w:ascii="Arial" w:cs="Arial" w:eastAsia="Arial" w:hAnsi="Arial"/>
          <w:sz w:val="17"/>
          <w:szCs w:val="17"/>
          <w:color w:val="212529"/>
        </w:rPr>
      </w:pPr>
    </w:p>
    <w:p>
      <w:pPr>
        <w:ind w:left="1300" w:right="8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in April 2020, executives reduced their base salaries by 20% to 25%, non-executive employee salaries were reduced by 5% to 15%, and the 401(k) employer match was suspended.</w:t>
      </w: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Non-employee board members suspended their cash compensation.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merit increases and bonus payouts have been deferred, and the gainsharing plan for 2020 has been suspended.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was significantly reduced beginning in the first quarter.</w:t>
      </w:r>
    </w:p>
    <w:p>
      <w:pPr>
        <w:spacing w:after="0" w:line="9" w:lineRule="exact"/>
        <w:rPr>
          <w:rFonts w:ascii="Arial" w:cs="Arial" w:eastAsia="Arial" w:hAnsi="Arial"/>
          <w:sz w:val="18"/>
          <w:szCs w:val="18"/>
          <w:color w:val="auto"/>
        </w:rPr>
      </w:pPr>
    </w:p>
    <w:p>
      <w:pPr>
        <w:jc w:val="both"/>
        <w:ind w:left="1300" w:right="160" w:hanging="320"/>
        <w:spacing w:after="0" w:line="28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response to government orders and reduced demand, we are adjusting production and work week hours, reducing or suspending non-critical discretionary spending and furloughing personnel, many of whom are eligible to participate in government supported programs.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levels and collection of receivables are being closely monitored.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and April 2020, we entered into rent deferral arrangements with landlords of several of our leased facilities.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Next steps:</w:t>
      </w:r>
    </w:p>
    <w:p>
      <w:pPr>
        <w:spacing w:after="0" w:line="23" w:lineRule="exact"/>
        <w:rPr>
          <w:sz w:val="20"/>
          <w:szCs w:val="20"/>
          <w:color w:val="auto"/>
        </w:rPr>
      </w:pPr>
    </w:p>
    <w:p>
      <w:pPr>
        <w:ind w:left="1300" w:right="360" w:hanging="320"/>
        <w:spacing w:after="0" w:line="265"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allowed by the CARES Act, we have begun to defer payments of the employer share of U. S. payroll taxes and intend to defer the payment of remaining obligations through the end of 2020 and will begin making payments in 2021 through 2022.</w:t>
      </w:r>
    </w:p>
    <w:p>
      <w:pPr>
        <w:ind w:left="1300" w:right="18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taking advantage of other provisions of the CARES Act that could result in reduced income tax obligation and a positive impact on cash.</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pursuing additional facility lease payment deferrals and other opportunities to delay payment of fixed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 to focus on further general cost reduction actions.</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212529"/>
        </w:rPr>
        <w:t>While managing decreased demand in many regions across the globe, we are also preparing to restart and ramp up our businesses. We are coordinating with our customers and suppliers to make the necessary preparations. We are deeply focused on the safety of our employees, customers and suppliers when re-starting. We have developed and implemented processes to ensure a safe environment for our employees and any visitors to our facilities, including providing personal protective equipment to our employees, establishing social distancing protocols and temperature checks. These processes include recommendations based on guidelines from the Centers for Disease Control and Prevention and the World Health Organization and lessons-learned from our recent ramp-up in China. The health and safety of our employees remains our top priority.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each of Life Sciences and Power Solutions, including estimation of future cash flows, which is dependent on internal forecasts, estimation of the long-term growth rate for each operating segment, and determination of weighted average cost of capital. Our forecasts used in the goodwill impairment analysis reflect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Management’s judgment used in the assessment of fair value is more significant under the current market conditions and economic uncertainty created by COVID-19. The carrying values of the Life Sciences and Power Solutions reporting units exceeded their estimated fair values as of March 31, 2020. As a result of our analysis, we recorded an impairment loss on goodwill of $146.8 million and $92.9 million for Life Sciences and Power Solutions, respectively, to the “Goodwill impairment” line on the Condensed Consolidated Statements of Operations and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12529"/>
        </w:rPr>
        <w:t xml:space="preserve">Certain prior period amounts have been revised to reflect the impact of corrections of misstatements and to correct the timing of previously recorded out-of-period adjustments. Refer to Note 1 and Note 2 in the </w:t>
      </w:r>
      <w:r>
        <w:rPr>
          <w:rFonts w:ascii="Arial" w:cs="Arial" w:eastAsia="Arial" w:hAnsi="Arial"/>
          <w:sz w:val="16"/>
          <w:szCs w:val="16"/>
          <w:color w:val="000000"/>
        </w:rPr>
        <w:t>Notes to Condensed Consolidated Financial Statements</w:t>
      </w:r>
      <w:r>
        <w:rPr>
          <w:rFonts w:ascii="Arial" w:cs="Arial" w:eastAsia="Arial" w:hAnsi="Arial"/>
          <w:sz w:val="16"/>
          <w:szCs w:val="16"/>
          <w:color w:val="212529"/>
        </w:rPr>
        <w:t xml:space="preserve">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left="60" w:right="20"/>
        <w:spacing w:after="0" w:line="263" w:lineRule="auto"/>
        <w:rPr>
          <w:sz w:val="20"/>
          <w:szCs w:val="20"/>
          <w:color w:val="auto"/>
        </w:rPr>
      </w:pPr>
      <w:r>
        <w:rPr>
          <w:rFonts w:ascii="Arial" w:cs="Arial" w:eastAsia="Arial" w:hAnsi="Arial"/>
          <w:sz w:val="18"/>
          <w:szCs w:val="18"/>
          <w:color w:val="auto"/>
        </w:rPr>
        <w:t>We recognized sales from a single customer of $25.6 million, or 13% of consolidated net sales, during the three months ended March 31, 2020, and $23.3 million, or 11% of consolidated net sales, during the three months ended March 31, 2019. Revenues from this customer are in our Life Sciences and Power Solutions groups.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compared to the Three Months Ended March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w w:val="97"/>
              </w:rPr>
              <w:t>Three Months Ended March 31,</w:t>
            </w:r>
          </w:p>
        </w:tc>
        <w:tc>
          <w:tcPr>
            <w:tcW w:w="780" w:type="dxa"/>
            <w:vAlign w:val="bottom"/>
            <w:tcBorders>
              <w:bottom w:val="single" w:sz="8" w:color="auto"/>
            </w:tcBorders>
          </w:tcPr>
          <w:p>
            <w:pPr>
              <w:spacing w:after="0"/>
              <w:rPr>
                <w:sz w:val="16"/>
                <w:szCs w:val="16"/>
                <w:color w:val="auto"/>
              </w:rPr>
            </w:pPr>
          </w:p>
        </w:tc>
      </w:tr>
      <w:tr>
        <w:trPr>
          <w:trHeight w:val="263"/>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600"/>
              <w:spacing w:after="0"/>
              <w:rPr>
                <w:sz w:val="20"/>
                <w:szCs w:val="20"/>
                <w:color w:val="auto"/>
              </w:rPr>
            </w:pPr>
            <w:r>
              <w:rPr>
                <w:rFonts w:ascii="Arial" w:cs="Arial" w:eastAsia="Arial" w:hAnsi="Arial"/>
                <w:sz w:val="18"/>
                <w:szCs w:val="18"/>
                <w:i w:val="1"/>
                <w:iCs w:val="1"/>
                <w:color w:val="auto"/>
              </w:rPr>
              <w:t>Organic decline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(11,393)</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(2,118)</w:t>
            </w:r>
          </w:p>
        </w:tc>
      </w:tr>
      <w:tr>
        <w:trPr>
          <w:trHeight w:val="229"/>
        </w:trPr>
        <w:tc>
          <w:tcPr>
            <w:tcW w:w="6080" w:type="dxa"/>
            <w:vAlign w:val="bottom"/>
          </w:tcPr>
          <w:p>
            <w:pPr>
              <w:ind w:left="280"/>
              <w:spacing w:after="0"/>
              <w:rPr>
                <w:sz w:val="20"/>
                <w:szCs w:val="20"/>
                <w:color w:val="auto"/>
              </w:rPr>
            </w:pPr>
            <w:r>
              <w:rPr>
                <w:rFonts w:ascii="Arial" w:cs="Arial" w:eastAsia="Arial" w:hAnsi="Arial"/>
                <w:sz w:val="18"/>
                <w:szCs w:val="18"/>
                <w:color w:val="auto"/>
                <w:w w:val="97"/>
              </w:rPr>
              <w:t>Cost of sales (exclusive of depreciation and amortization shown separately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80" w:type="dxa"/>
            <w:vAlign w:val="bottom"/>
          </w:tcPr>
          <w:p>
            <w:pPr>
              <w:ind w:left="28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152,241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162,187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(9,946)</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integration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239,699</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5,281</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(245,015)</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3,276</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(2,699)</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8"/>
                <w:szCs w:val="18"/>
                <w:color w:val="auto"/>
                <w:w w:val="96"/>
              </w:rPr>
              <w:t>Loss before benefit (provision) for income taxes and share of net income (loss)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from joint venture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(245,983)</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17,850</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Share of net income (loss) from joint venture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(228,673)</w:t>
            </w: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by $13.5 million, or (6)%, during the three months ended March 31, 2020, compared to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primarily due to a decrease in organic volume of $11.4 million, as a result of decreases in core volumes in the orthopaedic, automotive, and electrical end markets, unfavorable foreign exchange effects of $2.1 million, and decreased demand in the automotive end market due to the COVID-19 pandemic.</w:t>
      </w:r>
    </w:p>
    <w:p>
      <w:pPr>
        <w:spacing w:after="0" w:line="4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decreased by $9.9 million, or 6%, during the three months ended March 31, 2020,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2019, primarily due to variable costs associated with the above-referenced sales volume decline and fixed cost savings initiatives.</w:t>
      </w:r>
    </w:p>
    <w:p>
      <w:pPr>
        <w:spacing w:after="0" w:line="1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$3.3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compared to the three months ended March 31, 2019, primarily due to cost reduction initiatives that drove decreases in personnel costs and travel costs.</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The increase in goodwill impairment in the three months ended March 31, 2020, was the result of goodwill impairment charges at</w:t>
      </w:r>
      <w:r>
        <w:rPr>
          <w:rFonts w:ascii="Arial" w:cs="Arial" w:eastAsia="Arial" w:hAnsi="Arial"/>
          <w:sz w:val="18"/>
          <w:szCs w:val="18"/>
          <w:i w:val="1"/>
          <w:iCs w:val="1"/>
          <w:color w:val="auto"/>
        </w:rPr>
        <w:t xml:space="preserve"> </w:t>
      </w:r>
      <w:r>
        <w:rPr>
          <w:rFonts w:ascii="Arial" w:cs="Arial" w:eastAsia="Arial" w:hAnsi="Arial"/>
          <w:sz w:val="18"/>
          <w:szCs w:val="18"/>
          <w:color w:val="auto"/>
        </w:rPr>
        <w:t>Life Sciences and Power Solutions. See Note 5 in the Notes to Condensed Consolidated Financial Statements for more information on the impairment charges.</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Other Operating (Income) Expense, Net. </w:t>
      </w:r>
      <w:r>
        <w:rPr>
          <w:rFonts w:ascii="Arial" w:cs="Arial" w:eastAsia="Arial" w:hAnsi="Arial"/>
          <w:sz w:val="18"/>
          <w:szCs w:val="18"/>
          <w:color w:val="auto"/>
        </w:rPr>
        <w:t>Other operating (income) expense, net, increased by $5.3 million primarily due to charges and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asset disposals and elimination of a portion of our lease obligation as a result of our decision to vacate a portion of our corporate headquarters building.</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$3.3 million during the three months ended March 31, 2020, compared to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due to an increase in the interest rate on our credit facility as a result of amendments executed in 2019 and the amortization of the associated amendment costs.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263"/>
        </w:trPr>
        <w:tc>
          <w:tcPr>
            <w:tcW w:w="7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13,987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13,119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rate swap settlements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36"/>
        </w:trPr>
        <w:tc>
          <w:tcPr>
            <w:tcW w:w="776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17,077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13,801</w:t>
            </w: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Loss on extinguishment of debt and write-off of unamortized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decreased by $2.7 million during the three months ended March 31, 2020, compared to the three months ended March 31, 2019, due to costs written off as a result of the March 2019 amendment to our credit facility.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Benefit/Provision for Income Taxes. </w:t>
      </w:r>
      <w:r>
        <w:rPr>
          <w:rFonts w:ascii="Arial" w:cs="Arial" w:eastAsia="Arial" w:hAnsi="Arial"/>
          <w:sz w:val="18"/>
          <w:szCs w:val="18"/>
          <w:color w:val="auto"/>
        </w:rPr>
        <w:t>Our effective tax rate was 5.9% for the three months ended March 31, 2020, compared to (12.8)%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The difference in rates is primarily due to the impact of the impairment of nondeductible goodwill in 2020 and a discrete tax charge in 2019 related to final tax regulations. Note 8 in the Notes to Condensed Consolidated Financial Statements describes the components of income taxes for each period presented.</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Share of Net Income (Loss) from Joint Venture. </w:t>
      </w:r>
      <w:r>
        <w:rPr>
          <w:rFonts w:ascii="Arial" w:cs="Arial" w:eastAsia="Arial" w:hAnsi="Arial"/>
          <w:sz w:val="18"/>
          <w:szCs w:val="18"/>
          <w:color w:val="auto"/>
        </w:rPr>
        <w:t>Share of net income (loss) from joint venture decreased during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2019, primarily due to the shutdown of manufacturing operations in China during the COVID-19 pandemic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6"/>
                <w:szCs w:val="16"/>
                <w:color w:val="auto"/>
              </w:rPr>
            </w:pPr>
          </w:p>
        </w:tc>
      </w:tr>
      <w:tr>
        <w:trPr>
          <w:trHeight w:val="263"/>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(1,960)</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(1,605)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(146,757)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(146,757)</w:t>
            </w:r>
          </w:p>
        </w:tc>
        <w:tc>
          <w:tcPr>
            <w:tcW w:w="8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(144,825)</w:t>
            </w:r>
          </w:p>
        </w:tc>
        <w:tc>
          <w:tcPr>
            <w:tcW w:w="860" w:type="dxa"/>
            <w:vAlign w:val="bottom"/>
            <w:shd w:val="clear" w:color="auto" w:fill="CCEEFF"/>
          </w:tcPr>
          <w:p>
            <w:pPr>
              <w:spacing w:after="0"/>
              <w:rPr>
                <w:sz w:val="21"/>
                <w:szCs w:val="21"/>
                <w:color w:val="auto"/>
              </w:rPr>
            </w:pP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decreased by $2.0 million during the three months ended March 31, 2020, compared to the three months ended March 31, 2019, primarily due to a decrease in organic volume of $1.6 million as a result of reduced customer demand within the orthopaedic end market, driven by the timing of product launches and the decrease in demand for elective surgeries as a result of the COVID-19 pandemic. Sales for the quarter were also unfavorably impacted by the change in currency rates.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Income from operations decreased by $144.8 million compared to the same period in the prior year primarily due to an impairment loss on goodwill of $146.8 million, which was recognized in the first quarter of 2020. Lost variable margin on lower sales and higher depreciation expense attributable to the capital investments made during 2019 to support the business growth also contributed to the decrease in income from operations. These unfavorable impacts were partially offset by savings from continuous improvement initiatives and overall reductions in manufacturing and SG&amp;A costs. Lower amortization expense also contributed to income from operations due to the backlog intangible asset acquired in the Paragon acquisition that became fully amortized last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78,075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(8,191)</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375"/>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(6,305)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5"/>
              <w:spacing w:after="0"/>
              <w:rPr>
                <w:sz w:val="20"/>
                <w:szCs w:val="20"/>
                <w:color w:val="auto"/>
              </w:rPr>
            </w:pPr>
            <w:r>
              <w:rPr>
                <w:rFonts w:ascii="Arial" w:cs="Arial" w:eastAsia="Arial" w:hAnsi="Arial"/>
                <w:sz w:val="18"/>
                <w:szCs w:val="18"/>
                <w:color w:val="auto"/>
              </w:rPr>
              <w:t>(2,925)</w:t>
            </w:r>
          </w:p>
        </w:tc>
        <w:tc>
          <w:tcPr>
            <w:tcW w:w="860" w:type="dxa"/>
            <w:vAlign w:val="bottom"/>
          </w:tcPr>
          <w:p>
            <w:pPr>
              <w:spacing w:after="0"/>
              <w:rPr>
                <w:sz w:val="21"/>
                <w:szCs w:val="21"/>
                <w:color w:val="auto"/>
              </w:rPr>
            </w:pPr>
          </w:p>
        </w:tc>
      </w:tr>
    </w:tbl>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Net sales decreased by $8.2 million during the three months ended March 31, 2020, compared to the three months ended March 31, 2019, primarily due to lower demand within global automotive markets resulting from the COVID-19 pandemic, price reductions, the impact of reduced demand for components associated with programs nearing the end of life, and unfavorable foreign exchange effects.</w:t>
      </w:r>
    </w:p>
    <w:p>
      <w:pPr>
        <w:spacing w:after="0" w:line="7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Income from operations decreased by $2.9 million compared to the same period in the prior year primarily due to lost variable margin on the above-referenced sales volume decline, partially offset by fixed cost reduction actions taken in response to the decline in sales volume.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4"/>
          </w:tcPr>
          <w:p>
            <w:pPr>
              <w:jc w:val="right"/>
              <w:ind w:right="181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373"/>
              <w:spacing w:after="0"/>
              <w:rPr>
                <w:sz w:val="20"/>
                <w:szCs w:val="20"/>
                <w:color w:val="auto"/>
              </w:rPr>
            </w:pPr>
            <w:r>
              <w:rPr>
                <w:rFonts w:ascii="Arial" w:cs="Arial" w:eastAsia="Arial" w:hAnsi="Arial"/>
                <w:sz w:val="18"/>
                <w:szCs w:val="18"/>
                <w:color w:val="auto"/>
              </w:rPr>
              <w:t>(3,256)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i w:val="1"/>
                <w:iCs w:val="1"/>
                <w:color w:val="auto"/>
              </w:rPr>
              <w:t>(3,379)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123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(92,942)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right"/>
              <w:ind w:right="1373"/>
              <w:spacing w:after="0"/>
              <w:rPr>
                <w:sz w:val="20"/>
                <w:szCs w:val="20"/>
                <w:color w:val="auto"/>
              </w:rPr>
            </w:pPr>
            <w:r>
              <w:rPr>
                <w:rFonts w:ascii="Arial" w:cs="Arial" w:eastAsia="Arial" w:hAnsi="Arial"/>
                <w:sz w:val="18"/>
                <w:szCs w:val="18"/>
                <w:color w:val="auto"/>
              </w:rPr>
              <w:t>(92,942)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ind w:right="1373"/>
              <w:spacing w:after="0"/>
              <w:rPr>
                <w:sz w:val="20"/>
                <w:szCs w:val="20"/>
                <w:color w:val="auto"/>
              </w:rPr>
            </w:pPr>
            <w:r>
              <w:rPr>
                <w:rFonts w:ascii="Arial" w:cs="Arial" w:eastAsia="Arial" w:hAnsi="Arial"/>
                <w:sz w:val="18"/>
                <w:szCs w:val="18"/>
                <w:color w:val="auto"/>
              </w:rPr>
              <w:t>(94,158)</w:t>
            </w: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sales decreased by $3.3 million during the three months ended March 31, 2020, compared to the three months ended March 31, 2019, primarily due to lower demand in the electrical products, automotive, and oil and gas end markets.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Income from operations decreased by $94.2 million compared to the same period in the prior year primarily due to an impairment loss on goodwill of $92.9 million and lost variable margin on the above-referenced sales volume decline. These unfavorable impacts were partially offset by fixed cost reduction actions taken in response to the decline in sales volume.</w:t>
      </w:r>
    </w:p>
    <w:p>
      <w:pPr>
        <w:spacing w:after="0" w:line="180" w:lineRule="exact"/>
        <w:rPr>
          <w:sz w:val="20"/>
          <w:szCs w:val="20"/>
          <w:color w:val="auto"/>
        </w:rPr>
      </w:pPr>
    </w:p>
    <w:p>
      <w:pPr>
        <w:ind w:right="5380"/>
        <w:spacing w:after="0" w:line="378" w:lineRule="auto"/>
        <w:rPr>
          <w:sz w:val="20"/>
          <w:szCs w:val="20"/>
          <w:color w:val="auto"/>
        </w:rPr>
      </w:pPr>
      <w:r>
        <w:rPr>
          <w:rFonts w:ascii="Arial" w:cs="Arial" w:eastAsia="Arial" w:hAnsi="Arial"/>
          <w:sz w:val="18"/>
          <w:szCs w:val="18"/>
          <w:b w:val="1"/>
          <w:bCs w:val="1"/>
          <w:color w:val="auto"/>
        </w:rPr>
        <w:t xml:space="preserve">Changes in Financial Condition from December 31, 2019, to March 31, 2020 </w:t>
      </w:r>
      <w:r>
        <w:rPr>
          <w:rFonts w:ascii="Arial" w:cs="Arial" w:eastAsia="Arial" w:hAnsi="Arial"/>
          <w:sz w:val="18"/>
          <w:szCs w:val="18"/>
          <w:i w:val="1"/>
          <w:iCs w:val="1"/>
          <w:color w:val="auto"/>
        </w:rPr>
        <w:t>Overview</w:t>
      </w:r>
    </w:p>
    <w:p>
      <w:pPr>
        <w:ind w:right="360"/>
        <w:spacing w:after="0" w:line="277" w:lineRule="auto"/>
        <w:rPr>
          <w:sz w:val="20"/>
          <w:szCs w:val="20"/>
          <w:color w:val="auto"/>
        </w:rPr>
      </w:pPr>
      <w:r>
        <w:rPr>
          <w:rFonts w:ascii="Arial" w:cs="Arial" w:eastAsia="Arial" w:hAnsi="Arial"/>
          <w:sz w:val="18"/>
          <w:szCs w:val="18"/>
          <w:color w:val="auto"/>
        </w:rPr>
        <w:t>From December 31, 2019, to March 31, 2020, total assets decreased by $216.8 million primarily due to the impairment of goodwill. This decrease was partially offset by cash reserves from the drawdown of $60 million on our Senior Secured Revolver in March 2020.</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From December 31, 2019, to March 31, 2020, total liabilities increased by $54.9 million, primarily due to an increased balance on our Senior Secured Revolver.</w:t>
      </w:r>
    </w:p>
    <w:p>
      <w:pPr>
        <w:spacing w:after="0" w:line="6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Working capital, which consists principally of cash, accounts receivable, inventories, and other current assets offset by accounts payable, accrued payroll costs, income taxes payable, current maturities of long-term debt, current portion of lease liabilities, and other current liabilities, was $210.4 million as of March 31, 2020, compared to $163.5 million as of December 31, 2019. The increase in working capital was due primarily to the increase in cash resulting from the drawdown on our Senior Secured Revolver.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provided by operations was $10.2 million for the three months ended March 31, 2020, compared with cash used by operations of $2.7 million for the three months ended March 31, 2019. The difference was primarily due to cost savings initiatives and improvements in cash collections on accounts receivable.</w:t>
      </w:r>
    </w:p>
    <w:p>
      <w:pPr>
        <w:spacing w:after="0" w:line="76"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Cash used in investing activities was $11.2 million for the three months ended March 31, 2020, compared with cash used in investing activities of $3.7 million for the three months ended March 31, 2019. The increase was primarily due to cash received from the liquidation of the short-term investment during 2019.</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Cash provided by financing activities was $53.9 million for the three months ended March 31, 2020, compared with cash provided by financing activities of $8.9 million for the three months ended March 31, 2019. The difference was primarily due to higher net borrowings under our credit facility during the three months ended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Analysis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each of Life Sciences and Power Solutions, including estimation of future cash flows, which is dependent on internal forecasts, estimation of the long-term growth rate for each operating segment, and determination of weighted average cost of capital. Our forecasts used in the goodwill impairment analysis reflect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Management’s judgment used in the assessment of fair value is more significant under the current market conditions and economic uncertainty created by COVID-19. The carrying values of the Life Sciences and Power Solutions reporting units exceeded their estimated fair values as of March 31, 2020. As a result of our analysis, we recorded 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impairment loss on goodwill of $146.8 million and $92.9 million for Life Sciences and Power Solutions, respectively, to the “Goodwill impairment” line on the Condensed Consolidated Statements of Operations and Comprehensive Income (Loss).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Life Sciences goodwill as of March 31, 2020, was $196.3 million. In conjunction with the goodwill impairment test performed during the first quarter of 2020, Life Sciences goodwill was impaired by $146.8 million, resulting in the carrying value of the reporting unit being equal to its fair value. If our assessment of the relevant facts and circumstances change, or if the actual performance falls short of expected results, an additional impairment charge will be required. An impairment of goodwill may also lead us to record an impairment of other intangible assets. The carrying value of finite-lived intangible assets for the Life Sciences group as of March 31, 2020, was $204.1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On October 21, 2019, we announced expense reduction and cash savings initiatives to help the Company continue to pay down its debt and support greater growth by reinvesting in its businesses. The expense reduction and cash saving initiatives include streamlining facilities and reducing overall selling, general and administrative costs; elimination of quarterly dividend payments; and a reduction in capital expenditures from 2019 spending levels as the Company returns to a more normalized level of capital spending after several years of higher investment. As described in the “Results of Operations, Factors That May Influence Results of Operations” section of Management’s Discussion and Analysis of Financial Condition and Results of Operations, we have taken additional actions </w:t>
      </w:r>
      <w:r>
        <w:rPr>
          <w:rFonts w:ascii="Arial" w:cs="Arial" w:eastAsia="Arial" w:hAnsi="Arial"/>
          <w:sz w:val="18"/>
          <w:szCs w:val="18"/>
          <w:color w:val="212529"/>
        </w:rPr>
        <w:t>in response to the economic effects of the global pandemic and in order to enhance our liquidity position during this</w:t>
      </w:r>
      <w:r>
        <w:rPr>
          <w:rFonts w:ascii="Arial" w:cs="Arial" w:eastAsia="Arial" w:hAnsi="Arial"/>
          <w:sz w:val="18"/>
          <w:szCs w:val="18"/>
          <w:color w:val="auto"/>
        </w:rPr>
        <w:t xml:space="preserve"> </w:t>
      </w:r>
      <w:r>
        <w:rPr>
          <w:rFonts w:ascii="Arial" w:cs="Arial" w:eastAsia="Arial" w:hAnsi="Arial"/>
          <w:sz w:val="18"/>
          <w:szCs w:val="18"/>
          <w:color w:val="212529"/>
        </w:rPr>
        <w:t>difficult period.</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discussed in our 2019 Annual Report, on December 11, 2019, we issued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 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covenant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 In order to maintain compliance with the financial leverage ratio covenant, our operational and financial performance must improve.</w:t>
      </w:r>
    </w:p>
    <w:p>
      <w:pPr>
        <w:spacing w:after="0" w:line="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rely on cash flow generated from operations and available borrowings under our Senior Secured Revolver to fund our working capital and other operating and investing needs. Our ability to borrow under the Senior Secured Revolver is based on our continued compliance with our financial leverage ratio covenant, as defined, which becomes more restrictive in the second quarter of 2020 and the first quarter of 2021.</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Based on our current and projected use of the Senior Secured Revolver, as well as cash flows expected to be generated from operations and investing activities, we anticipate that we may not be able to maintain compliance with the existing financial leverage ratio covenant for the next twelve months. If we are unable to comply with our financial ratio covenant, then the revolving credit lenders, the Senior Secured Term Loan lenders, and the Incremental Term Loan lenders could take action to cause amounts due under our credit facility to become due and payable unless we are able to amend such covenants or otherwise refinance our debt. Our ability to amend our covenants or refinance our debt is dependent upon several factors, and therefore there can be no assurance that we would be successful in these efforts. If we are unable to access future borrowings or be required to pay amounts due under our credit facilities prior to their normal maturity dates, this would have a material impact to our financial position.</w:t>
      </w:r>
    </w:p>
    <w:p>
      <w:pPr>
        <w:spacing w:after="0" w:line="6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in negotiations with our lenders to amend the financial leverage ratio covenant; however, there can be no assurance that we will be successful in such efforts. Accordingly, we believe there is substantial doubt about our ability to continue as a going concern for the twelve-month period following the date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8, 2019, we entered into a $700.0 million fixed-rate interest rate swap agreement that changed the LIBOR-based portion of the interest rate on a portion of our variable rate debt to a fixed rate of 2.4575%. The term of the interest rate swap is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from the effective date of February 12, 2019, through the termination date of October 19, 2022, with a declining notional amount over the term of the interest rate swap. Refer to Note 18 in the Notes to Condensed Consolidated Financial Statements for further discussion about the interest rate swap.</w:t>
      </w:r>
    </w:p>
    <w:p>
      <w:pPr>
        <w:spacing w:after="0" w:line="1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March 31, 2020, no currency derivatives were in place. In addition, a strengthening of the U.S. dollar against foreign currencies could impair our ability to compete with international competitors for foreign as well as domestic sales.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Aggregate principal amounts outstanding under our Senior Secured Term Loan, Incremental Term Loan, and Senior Secured Revolver as of March 31, 2020, were $839.1 million, without regard to unamortized debt issuance costs. Of this amount, $700.0 million was hedged with the interest rate swap. As of March 31, 2020, we had unused borrowing capacity of $3.4 million under the Senior Secured Revolver, subject to certain limitations. This amount of borrowing capacity is net of $11.6 million of outstanding letters of credit at March 31, 2020, which are considered as usage of the Senior Secured Revolver.</w:t>
      </w:r>
    </w:p>
    <w:p>
      <w:pPr>
        <w:spacing w:after="0" w:line="4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Collectively, our Senior Secured Term Loan, Incremental Term Loan, and Senior Secured Revolver comprise our credit facility. Total capacity under the Senior Secured Revolver was $75.0 million as of March 31, 2020. The Senior Secured Revolver matures on July 20, 2022.</w:t>
      </w:r>
    </w:p>
    <w:p>
      <w:pPr>
        <w:spacing w:after="0" w:line="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Senior Secured Term Loan requires quarterly principal payments of $1.4 million through October 19, 2022, with the remaining principal amount due on the maturity date. If one-month LIBOR is less than 0.75%, then we pay 6.50% per annum in interest on the unhedged balance. If one-month LIBOR exceeds 0.75%, then we pay the variable one-month LIBOR plus an applicable margin of 5.75% on the unhedged balance. Based on the interest rate in effect at March 31, 2020, annual interest payments on the hedged balance would be approximately $43.3 million.</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Incremental Term Loan requires quarterly principal payments of approximately $2.9 million through October 19, 2022, with the remaining principal amount due on the maturity date. The Incremental Term Loan bears interest at the variable one-month LIBOR plus an applicable margin of 5.75% on the unhedged balance. Based on the interest rate in effect at March 31, 2020, annual interest payments on hedged and unhedged balances would be $19.1 million.</w:t>
      </w:r>
    </w:p>
    <w:p>
      <w:pPr>
        <w:spacing w:after="0" w:line="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Senior Secured Revolver bears interest on a variable rate structure with borrowings bearing interest at either one-month LIBOR plus an applicable margin of 4.00% or the prime lending rate plus an applicable margin of 3.00%. Based on the interest rate in effect at March 31, 2020, annual interest payments would be $3.0 million. We pay a commitment fee of 0.50% for unused capacity under the Senior Secured Revolver.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had $60.0 million outstanding under the Senior Secured Revolver at March 31, 2020. Total capacity under the Senior Secured Revolver was $75.0 million as of March 31, 2020 with $3.4 million available for future borrowings after reductions for outstanding letters of credit and outstanding borrowings as of March 31, 2020. Our credit facility is subject to certain financial covenants based on a consolidated net leverage ratio, becoming more restrictive over time. If our operational or financial performance does not improve, we may be required to take actions to further reduce expenditures and decrease our net indebtedness to maintain compliance in future periods or attempt to amend our covenants or refinance our debt. We were in compliance with all covenants under our credit facility at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2019 Annual Report, including those policies as discussed in Note 1 to the Notes to Consolidated Financial Statements included in the 2019 Annual Report. There have been no changes to these policies during the three months ended March 31, 2020, except as discussed in Note 1 to the Notes to Condensed Consolidated Financial Statements included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18 in the Notes to Condensed Consolidated Financial Statements for further discussion about the interest rate swap.</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March 31, 2020, we had $524.9 million and $254.2 million of principal outstanding under the Senior Secured Term Loan and Incremental Term Loan, respectively, without regard to capitalized debt issuance costs. At March 31, 2020, $700.0 million of this outstanding principal was hedged, and a one-percent increase in the interest rate charged on outstanding unhedged variable rate borrowings under the Senior Secured Term Loan and Incremental Term Loan would increase interest expense by $0.8 million on an annualized basis.</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At March 31, 2020, we had $60.0 million of principal outstanding under the Senior Secured Revolver, without regard to capitalized debt issuance costs. At March 31, 2020, a one-percent increase in the interest rate charged on outstanding variable rate borrowings under the Senior Secured Revolver would increase interest expense for an annual period by approximately $0.6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March 31, 2020.</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March 31, 2020,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our 2019 Annual Report, management identified the following control deficiencies that constitute material weaknesses in our internal control over financial reporting as of December 31, 2019, and has concluded that they remain unremediated as of March 31, 2020:</w:t>
      </w:r>
    </w:p>
    <w:p>
      <w:pPr>
        <w:spacing w:after="0" w:line="62" w:lineRule="exact"/>
        <w:rPr>
          <w:sz w:val="20"/>
          <w:szCs w:val="20"/>
          <w:color w:val="auto"/>
        </w:rPr>
      </w:pPr>
    </w:p>
    <w:p>
      <w:pPr>
        <w:ind w:left="500" w:right="80" w:hanging="330"/>
        <w:spacing w:after="0" w:line="25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misstatements to income tax receivable; other current assets; property, plant and equipment, net; goodwill; investment in joint venture; other non-current assets; accounts payable; accrued salaries, wages and benefits; other current liabilities; deferred tax liabilities; other non-current liabilities; additional paid in capital; accumulated deficit; accumulated other comprehensive income (loss); selling, general and administrative expense; depreciation and amortization; other operating expense/income; write-off of unamortized debt issuance costs; provision/benefit for income taxes; comprehensive income/loss; and cash flows in our consolidated financial statements for the interim and annual periods in the years ended December 31, 2019, 2018 and 2017, and prior periods.</w:t>
      </w:r>
    </w:p>
    <w:p>
      <w:pPr>
        <w:spacing w:after="0" w:line="83" w:lineRule="exact"/>
        <w:rPr>
          <w:rFonts w:ascii="Arial" w:cs="Arial" w:eastAsia="Arial" w:hAnsi="Arial"/>
          <w:sz w:val="18"/>
          <w:szCs w:val="18"/>
          <w:color w:val="auto"/>
        </w:rPr>
      </w:pPr>
    </w:p>
    <w:p>
      <w:pPr>
        <w:jc w:val="both"/>
        <w:ind w:left="500" w:right="200" w:hanging="330"/>
        <w:spacing w:after="0" w:line="263" w:lineRule="auto"/>
        <w:tabs>
          <w:tab w:leader="none" w:pos="500" w:val="left"/>
        </w:tabs>
        <w:numPr>
          <w:ilvl w:val="0"/>
          <w:numId w:val="15"/>
        </w:numPr>
        <w:rPr>
          <w:rFonts w:ascii="Arial" w:cs="Arial" w:eastAsia="Arial" w:hAnsi="Arial"/>
          <w:sz w:val="18"/>
          <w:szCs w:val="18"/>
          <w:color w:val="222222"/>
        </w:rPr>
      </w:pPr>
      <w:r>
        <w:rPr>
          <w:rFonts w:ascii="Arial" w:cs="Arial" w:eastAsia="Arial" w:hAnsi="Arial"/>
          <w:sz w:val="18"/>
          <w:szCs w:val="18"/>
          <w:color w:val="auto"/>
        </w:rPr>
        <w:t>We did not design and maintain effective monitoring controls over our Paragon Medical business. Specifically, we did not maintain personnel and systems that were sufficient to ensure the adequate monitoring of control activities for certain processes. This material weakness did not result in a material misstatement to the financial statements.</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22222"/>
        </w:rPr>
        <w:t xml:space="preserve">These material weaknesses contributed to the material weaknesses described below which were also disclosed in our 2019 Annual Report and remain outstanding as of </w:t>
      </w:r>
      <w:r>
        <w:rPr>
          <w:rFonts w:ascii="Arial" w:cs="Arial" w:eastAsia="Arial" w:hAnsi="Arial"/>
          <w:sz w:val="18"/>
          <w:szCs w:val="18"/>
          <w:color w:val="000000"/>
        </w:rPr>
        <w:t>March 31, 2020</w:t>
      </w:r>
      <w:r>
        <w:rPr>
          <w:rFonts w:ascii="Arial" w:cs="Arial" w:eastAsia="Arial" w:hAnsi="Arial"/>
          <w:sz w:val="18"/>
          <w:szCs w:val="18"/>
          <w:color w:val="222222"/>
        </w:rPr>
        <w:t>:</w:t>
      </w:r>
    </w:p>
    <w:p>
      <w:pPr>
        <w:spacing w:after="0" w:line="62" w:lineRule="exact"/>
        <w:rPr>
          <w:sz w:val="20"/>
          <w:szCs w:val="20"/>
          <w:color w:val="auto"/>
        </w:rPr>
      </w:pPr>
    </w:p>
    <w:p>
      <w:pPr>
        <w:ind w:left="500" w:right="200" w:hanging="330"/>
        <w:spacing w:after="0" w:line="286"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did not design and maintain effective internal controls over the accounting for transactions in the revenue and receivables business process within our Paragon Medical business to determine whether the transactions occurred and were complete and accurate. This material weakness did not result in a material misstatement to the interim or annual consolidated financial statements.</w:t>
      </w:r>
    </w:p>
    <w:p>
      <w:pPr>
        <w:spacing w:after="0" w:line="57" w:lineRule="exact"/>
        <w:rPr>
          <w:rFonts w:ascii="Arial" w:cs="Arial" w:eastAsia="Arial" w:hAnsi="Arial"/>
          <w:sz w:val="17"/>
          <w:szCs w:val="17"/>
          <w:color w:val="auto"/>
        </w:rPr>
      </w:pPr>
    </w:p>
    <w:p>
      <w:pPr>
        <w:ind w:left="500" w:right="20" w:hanging="330"/>
        <w:spacing w:after="0" w:line="293"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within our Paragon Medical business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and (iii) computer operations controls to ensure that critical batch jobs are monitored and data backups are authorized and monitored.</w:t>
      </w:r>
    </w:p>
    <w:p>
      <w:pPr>
        <w:spacing w:after="0" w:line="56" w:lineRule="exact"/>
        <w:rPr>
          <w:rFonts w:ascii="Arial" w:cs="Arial" w:eastAsia="Arial" w:hAnsi="Arial"/>
          <w:sz w:val="16"/>
          <w:szCs w:val="16"/>
          <w:color w:val="auto"/>
        </w:rPr>
      </w:pPr>
    </w:p>
    <w:p>
      <w:pPr>
        <w:ind w:left="500" w:right="40"/>
        <w:spacing w:after="0" w:line="275" w:lineRule="auto"/>
        <w:rPr>
          <w:rFonts w:ascii="Arial" w:cs="Arial" w:eastAsia="Arial" w:hAnsi="Arial"/>
          <w:sz w:val="16"/>
          <w:szCs w:val="16"/>
          <w:color w:val="auto"/>
        </w:rPr>
      </w:pPr>
      <w:r>
        <w:rPr>
          <w:rFonts w:ascii="Arial" w:cs="Arial" w:eastAsia="Arial" w:hAnsi="Arial"/>
          <w:sz w:val="17"/>
          <w:szCs w:val="17"/>
          <w:color w:val="auto"/>
        </w:rPr>
        <w:t>These IT deficiencies did not result in a material misstatement to the financial statements; however, the deficiencies, when aggregated, could impact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a material weakness.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disclosed in our 2019 Annual Report, we did not maintain effective control activities at one of our smaller foreign subsidiaries. Specifically, certain employees at one of our smaller foreign subsidiaries intentionally did not operate the controls related to inventory quantities as designed that resulted in the creation of unsupported physical inventory counts and inventory quantity adjustments. This material weakness resulted in a revision to inventories, cost of sales, and accumulated other comprehensive income/loss within previously issued financial statements for the interim and annual periods in the years ended December 31, 2019, 2018, and 2017.</w:t>
      </w:r>
    </w:p>
    <w:p>
      <w:pPr>
        <w:spacing w:after="0" w:line="8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Additionally, these material weaknesses could result in misstatements of substantially all accounts and disclosures that would result in a material misstatement to the annual or interim consolidated financial statements that would not be prevented or detected.</w:t>
      </w:r>
    </w:p>
    <w:p>
      <w:pPr>
        <w:spacing w:after="0" w:line="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Notwithstanding these material weaknesses, our Chief Executive Officer and Chief Financial Officer have concluded that our condensed consolidated financial statements in this Quarterly Report present fairly, and in all material respects, our financial position, results of operations, and cash flows for the periods presented in conformity with U.S. GAAP.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Remediation Efforts for the Unremediated Material Weaknesses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we reported in prior periods, we have hired qualified professionals for critical roles within our finance department. We are also enhancing and implementing new processes, controls, and systems to strengthen our internal control over financial reporting. After we integrate these professionals into our control environment and operate the newly implemented controls for a sufficient time period, we expect that the remediation of the control environment material weakness will be completed.</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in the process of reorganizing our finance and IT teams within our Paragon Medical business to ensure management is able to perform ongoing monitoring to ascertain internal controls over financial reporting are designed, implemented, and operating effectively.</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in the process of hiring personnel within our Paragon Medical business who have technical expertise in internal control over financial reporting. We continue to assess the finance and IT teams within our Paragon Medical business to ensure they have the capacity and capabilities to be successful, including continuing to reinforce our policies and controls and train the finance and IT teams on them.</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reinforced existing revenue and receivables controls and procedures in our Paragon Medical business. We are in the process of developing system reports to assist in the performance of these controls and procedures.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process of designing and implementing IT general controls within our Paragon Medical business.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reinforced existing inventory count and reporting procedures in our Mobile Solutions Brazil business and will provide training to finance team members on these procedures after COVID-19 travel restrictions are lifted.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March 31, 2020,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March 31, 2020, for this matter.</w:t>
      </w:r>
    </w:p>
    <w:p>
      <w:pPr>
        <w:spacing w:after="0" w:line="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Offering Matter</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material loss contingencies at March 31, 2020, or at December 31, 2019.</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there have been no material changes to the risk factors disclosed in the 2019 Annual Report under Item 1A. “Risk Factors.”</w:t>
      </w:r>
    </w:p>
    <w:p>
      <w:pPr>
        <w:spacing w:after="0" w:line="12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The COVID-19 pandemic and mitigation efforts to control the spread of the disease have and are expected to continue to materially impact our business, and our financial condition, results of operations and cash flows could be materially adversely affected by factors relating to COVID-19.</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COVID-19 pandemic has created significant volatility in the global economy and led to significant reduced economic activity and employment and has disrupted, and may continue to disrupt, the end markets we serve. The spread of COVID-19 has created a disruption in the manufacturing, delivery and overall supply chain of automobile manufacturers and suppliers.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vehicle production has decreased significantly, and some vehicle manufacturers have completely shut down manufacturing operations in some countries and regions, including the United States and Europe. Stay at home orders issued by federal, state and local governmental authorities to combat the spread of COVID-19 has resulted in hospitals’ cancelling or deferring elective surgeries, which has negatively impacted demand from our Life Sciences customers.</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we have modified our production schedules and have experienced, and may continue to experience, delays in the production and distribution of our products and the loss of sales to our customers. When production resumes by us and our customers, production volumes may be volatile and we will be required to modify our production environment to ensure the health and safety of our workers. If we are unsuccessful in managing the re-start of our production, our results of operations may be materially impacted. Additionally, If the global economic effects caused by the pandemic continue or increase, overall customer demand may continue to decrease, which could have a material and adverse effect on our business, results of operations, and financial condition. In addition, if a significant portion of our workforce or our customers’ workforces are affected by COVID-19 either directly or due to government closures or otherwise, associated work stoppages or facility closures would halt or delay production.</w:t>
      </w:r>
    </w:p>
    <w:p>
      <w:pPr>
        <w:spacing w:after="0" w:line="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full extent of the effect of the pandemic on us, our customers, our supply chain and our business cannot be assessed at this time although we expect our full year 2020 results of operations to be adversely affected. Our business, results of operations and financial condition could continue to be affected even after the pandemic subsides. In addition to the risks specifically described above, the impact of COVID-19 is likely to heighten other risks disclosed in the Risk Factors section of our Annual Report on Form 10-K for the year ended December 31, 2019.</w:t>
      </w:r>
    </w:p>
    <w:p>
      <w:pPr>
        <w:spacing w:after="0" w:line="6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Doubts regarding our ability to continue as a going concern could have an adverse impact on our relationships with customers, vendors, suppliers, employees and others, which in turn could materially adversely affect our business, results of operations, and financial condition.</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described in this Quarterly Report, based on our current and projected use of our Senior Secured Revolver, as well as cash flows expected to be generated from operations and investing activities, we anticipate that we may not be able to maintain compliance with the existing financial leverage ratio covenant for the next twelve months. If we are unable to comply with our financial ratio covenant, then the revolving credit lenders, the Senior Secured Term Loan lenders, and the Incremental Term Loan lenders could take action to cause amounts due under our credit facility to become due and payable. This condition raises substantial doubt about the Company’s ability to continue as a going concern within one year after the date of issuance of these financial statements. Doubts regarding our ability to continue as a going concern could result in the loss of confidence by customers, vendors, suppliers, employees and others, which in turn could materially adversely affect our business, results of operations, and financial condition. Concerns about our financial condition could adversely impact the payment terms we can obtain from some of our vendors and suppliers. We depend on our ability to retain our key employees at all levels of our business and on our ability to attract new qualified personnel. If we are unable to retain our key employees and we do not succeed in attracting new qualified personnel as a result of the uncertainty regarding our ability to continue as a going concern, our business and results of operations could suffer. Doubts regarding our ability to continue as a going concern may adversely impact our customers’ perceptions of our business and our continued viability, which in turn could further negatively impact our revenues. Further declines in our revenues as a result of these perceptions or otherwise would have a material adverse impact on our cash flows, results of operations, and financial condition.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Total Number of</w:t>
            </w:r>
          </w:p>
        </w:tc>
        <w:tc>
          <w:tcPr>
            <w:tcW w:w="2120" w:type="dxa"/>
            <w:vAlign w:val="bottom"/>
          </w:tcPr>
          <w:p>
            <w:pPr>
              <w:jc w:val="center"/>
              <w:spacing w:after="0"/>
              <w:rPr>
                <w:sz w:val="20"/>
                <w:szCs w:val="20"/>
                <w:color w:val="auto"/>
              </w:rPr>
            </w:pPr>
            <w:r>
              <w:rPr>
                <w:rFonts w:ascii="Arial" w:cs="Arial" w:eastAsia="Arial" w:hAnsi="Arial"/>
                <w:sz w:val="14"/>
                <w:szCs w:val="14"/>
                <w:color w:val="auto"/>
                <w:w w:val="97"/>
              </w:rPr>
              <w:t>Maximum Number (or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Shares Purchased</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95"/>
              </w:rPr>
              <w:t>Approximate Dollar Value)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as Part of Publicly</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92"/>
              </w:rPr>
              <w:t>of Shares That May Yet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Total Number of</w:t>
            </w:r>
          </w:p>
        </w:tc>
        <w:tc>
          <w:tcPr>
            <w:tcW w:w="18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Average Price Paid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Announced Plans</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91"/>
              </w:rPr>
              <w:t>Be Purchased Under the</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 xml:space="preserve">Shares Purchased </w:t>
            </w:r>
            <w:r>
              <w:rPr>
                <w:rFonts w:ascii="Arial" w:cs="Arial" w:eastAsia="Arial" w:hAnsi="Arial"/>
                <w:sz w:val="8"/>
                <w:szCs w:val="8"/>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 xml:space="preserve">or Programs </w:t>
            </w:r>
            <w:r>
              <w:rPr>
                <w:rFonts w:ascii="Arial" w:cs="Arial" w:eastAsia="Arial" w:hAnsi="Arial"/>
                <w:sz w:val="8"/>
                <w:szCs w:val="8"/>
                <w:color w:val="auto"/>
                <w:w w:val="92"/>
              </w:rPr>
              <w:t>(1)</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 xml:space="preserve">Plan or Programs </w:t>
            </w:r>
            <w:r>
              <w:rPr>
                <w:rFonts w:ascii="Arial" w:cs="Arial" w:eastAsia="Arial" w:hAnsi="Arial"/>
                <w:sz w:val="8"/>
                <w:szCs w:val="8"/>
                <w:color w:val="auto"/>
                <w:w w:val="92"/>
              </w:rPr>
              <w:t>(1)</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3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January 2020</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92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2020</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120" w:type="dxa"/>
            <w:vAlign w:val="bottom"/>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March 2020</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20" w:type="dxa"/>
            <w:vAlign w:val="bottom"/>
            <w:tcBorders>
              <w:top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gridSpan w:val="2"/>
            <w:vMerge w:val="restart"/>
          </w:tcPr>
          <w:p>
            <w:pPr>
              <w:jc w:val="right"/>
              <w:ind w:right="1554"/>
              <w:spacing w:after="0"/>
              <w:rPr>
                <w:sz w:val="20"/>
                <w:szCs w:val="20"/>
                <w:color w:val="auto"/>
              </w:rPr>
            </w:pPr>
            <w:r>
              <w:rPr>
                <w:rFonts w:ascii="Arial" w:cs="Arial" w:eastAsia="Arial" w:hAnsi="Arial"/>
                <w:sz w:val="14"/>
                <w:szCs w:val="14"/>
                <w:color w:val="auto"/>
                <w:w w:val="91"/>
              </w:rPr>
              <w:t>_______________________________</w:t>
            </w: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2016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39"/>
          </w:cols>
          <w:pgMar w:left="320" w:top="125"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0"/>
                <w:szCs w:val="20"/>
                <w:color w:val="auto"/>
              </w:rPr>
            </w:pPr>
          </w:p>
        </w:tc>
        <w:tc>
          <w:tcPr>
            <w:tcW w:w="9940" w:type="dxa"/>
            <w:vAlign w:val="bottom"/>
            <w:gridSpan w:val="8"/>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8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6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40" w:type="dxa"/>
            <w:vAlign w:val="bottom"/>
            <w:tcBorders>
              <w:top w:val="single" w:sz="8" w:color="auto"/>
            </w:tcBorders>
            <w:gridSpan w:val="8"/>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Certificate of Designations of Series C Junior Participating Preferred Stock of NN, Inc. (incorporated by reference to Exhibit 3.1 to NN,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Inc.’s Current Report on Form 8-K filed on April 16, 2020)</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8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Rights Agreement, dated as of April 15, 2020, between NN, Inc. and Computershare Inc., as Rights Agent. (incorporated by reference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Exhibit 4.1 to NN Inc.’s Current Report on Form 8-K filed on April 16, 2020)</w:t>
              </w:r>
            </w:hyperlink>
          </w:p>
        </w:tc>
        <w:tc>
          <w:tcPr>
            <w:tcW w:w="4220" w:type="dxa"/>
            <w:vAlign w:val="bottom"/>
            <w:tcBorders>
              <w:top w:val="single" w:sz="8" w:color="0000FF"/>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Executive Employment Agreement dated October 3, 2014, between the Company and John R. Buchan.</w:t>
              </w:r>
            </w:hyperlink>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Executive Employment Agreement dated September 9, 2014, between the Company and Christopher Qualters</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459"/>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62">
              <w:r>
                <w:rPr>
                  <w:rFonts w:ascii="Arial" w:cs="Arial" w:eastAsia="Arial" w:hAnsi="Arial"/>
                  <w:sz w:val="18"/>
                  <w:szCs w:val="18"/>
                  <w:color w:val="0000FF"/>
                  <w:w w:val="84"/>
                </w:rPr>
                <w:t>amended.</w:t>
              </w:r>
            </w:hyperlink>
          </w:p>
        </w:tc>
        <w:tc>
          <w:tcPr>
            <w:tcW w:w="9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63">
              <w:r>
                <w:rPr>
                  <w:rFonts w:ascii="Arial" w:cs="Arial" w:eastAsia="Arial" w:hAnsi="Arial"/>
                  <w:sz w:val="18"/>
                  <w:szCs w:val="18"/>
                  <w:color w:val="0000FF"/>
                  <w:w w:val="84"/>
                </w:rPr>
                <w:t>amended.</w:t>
              </w:r>
            </w:hyperlink>
          </w:p>
        </w:tc>
        <w:tc>
          <w:tcPr>
            <w:tcW w:w="886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Principal Financial Officer pursuant to Section 906 of the Sarbanes-Oxley Act of 2002.</w:t>
              </w:r>
            </w:hyperlink>
          </w:p>
        </w:tc>
        <w:tc>
          <w:tcPr>
            <w:tcW w:w="0" w:type="dxa"/>
            <w:vAlign w:val="bottom"/>
          </w:tcPr>
          <w:p>
            <w:pPr>
              <w:spacing w:after="0"/>
              <w:rPr>
                <w:sz w:val="1"/>
                <w:szCs w:val="1"/>
                <w:color w:val="auto"/>
              </w:rPr>
            </w:pPr>
          </w:p>
        </w:tc>
      </w:tr>
      <w:tr>
        <w:trPr>
          <w:trHeight w:val="499"/>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99"/>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500"/>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500"/>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500"/>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499"/>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125" w:right="4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Date: May 11, 2020 /s/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(Duly Authorized Officer)</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Date: May 11, 2020 /s/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(Duly Authorized Officer)</w:t>
      </w:r>
    </w:p>
    <w:p>
      <w:pPr>
        <w:spacing w:after="0" w:line="36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Date: May 11, 2020 /s/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C. Felcher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Vice President—Chief Accounting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25"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3</w:t>
      </w:r>
      <w:r>
        <w:rPr>
          <w:rFonts w:ascii="Arial" w:cs="Arial" w:eastAsia="Arial" w:hAnsi="Arial"/>
          <w:sz w:val="25"/>
          <w:szCs w:val="25"/>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2014, by and between NN, Inc., a Delaware Corporation with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Johnson City, Tennessee (the “Company”), and John R. Buchan (the “Executive”).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are hereby acknowledged, the parties hereby agree that the terms of their employment relationship are as follows:</w:t>
      </w:r>
    </w:p>
    <w:p>
      <w:pPr>
        <w:spacing w:after="0" w:line="180" w:lineRule="exact"/>
        <w:rPr>
          <w:sz w:val="20"/>
          <w:szCs w:val="20"/>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The Company agrees to employ the Executive, and the Executive agrees to be employed by the Company, on the terms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set forth herein. All capitalized terms that are not defined elsewhere in this Agreement have the meanings in Section 27.</w:t>
      </w:r>
    </w:p>
    <w:p>
      <w:pPr>
        <w:spacing w:after="0" w:line="146" w:lineRule="exact"/>
        <w:rPr>
          <w:rFonts w:ascii="Arial" w:cs="Arial" w:eastAsia="Arial" w:hAnsi="Arial"/>
          <w:sz w:val="17"/>
          <w:szCs w:val="17"/>
          <w:color w:val="auto"/>
        </w:rPr>
      </w:pPr>
    </w:p>
    <w:p>
      <w:pPr>
        <w:jc w:val="both"/>
        <w:ind w:left="660" w:hanging="652"/>
        <w:spacing w:after="0" w:line="26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Term of Employment</w:t>
      </w:r>
      <w:r>
        <w:rPr>
          <w:rFonts w:ascii="Arial" w:cs="Arial" w:eastAsia="Arial" w:hAnsi="Arial"/>
          <w:sz w:val="17"/>
          <w:szCs w:val="17"/>
          <w:color w:val="auto"/>
        </w:rPr>
        <w:t>. The term of this Agreement shall commence on October 3, 2014 (the “Commencement Date”), and shall end on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of such Commencement Date unless further extended or sooner terminated as hereinafter provided. On such first anniversary and on each subsequent anniversary, the term of the Executive’s employment hereunder shall be extended automatically one (1) additional year, unless at least 90 days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90 days written notice that the term of Executive’s employment hereunder shall not be extended at the end of the then current term, then Executive’s separation at the expiration of the then current term shall be treated as a Separation from Service by Company not for Cause pursuant to paragraph 6(a) of this Agreement. Notwithstanding the foregoing or any other provision in this Agreement, nothing in this paragraph 2 will affect either party’s ability to terminate Executive’s employment during the term of this Agreement by delivery of a Notice of Termination and, in such event, Executive will not be paid for the remainder of the then existing term, and said separation shall be evaluated pursuant to the applicable provisions of paragraph 6.</w:t>
      </w:r>
    </w:p>
    <w:p>
      <w:pPr>
        <w:spacing w:after="0" w:line="181" w:lineRule="exact"/>
        <w:rPr>
          <w:rFonts w:ascii="Arial" w:cs="Arial" w:eastAsia="Arial" w:hAnsi="Arial"/>
          <w:sz w:val="17"/>
          <w:szCs w:val="17"/>
          <w:color w:val="auto"/>
        </w:rPr>
      </w:pPr>
    </w:p>
    <w:p>
      <w:pPr>
        <w:jc w:val="both"/>
        <w:ind w:left="660" w:hanging="652"/>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Position and Duties</w:t>
      </w:r>
      <w:r>
        <w:rPr>
          <w:rFonts w:ascii="Arial" w:cs="Arial" w:eastAsia="Arial" w:hAnsi="Arial"/>
          <w:sz w:val="18"/>
          <w:szCs w:val="18"/>
          <w:color w:val="auto"/>
        </w:rPr>
        <w:t>. The Executive shall serve as the Vice President, Operations for the Autocam Precision Components Group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and/or the Board of Directors of the Company.</w:t>
      </w:r>
    </w:p>
    <w:p>
      <w:pPr>
        <w:spacing w:after="0" w:line="19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 In consideration of the Executive’s performance of his duties hereunder, the Company shall provide the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following compensation and benefits during the term of this Agreement.</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Two Hundred Ninety Thousand Dollars ($290,000.00) per annum, payable in accordance with the Company’s normal payroll practices. Such base salary may be changed from time to time in accordance with the normal business practices of the Company.</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The Executive shall be given the opportunity to earn an annual incentive bonus for each fiscal year of the Company in accordance with the annual bonus plan and payment policies generally applicable to the Company’s officers, as the same may be in effect from time to time. The Executive’s target annual incentive bonus opportunity shall be no less than 45% of his base salary for such year, but shall be dependent upon the achievement of the applicable performance goals established for such year.</w:t>
      </w:r>
    </w:p>
    <w:p>
      <w:pPr>
        <w:spacing w:after="0" w:line="17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entitled to participate in all Company employee benefit plans, policies and programs generally applicable to the Company’s officers (including, but not limited to, life, disability, health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39" w:name="page40"/>
    <w:bookmarkEnd w:id="39"/>
    <w:p>
      <w:pPr>
        <w:ind w:left="1292"/>
        <w:spacing w:after="0" w:line="277" w:lineRule="auto"/>
        <w:rPr>
          <w:sz w:val="20"/>
          <w:szCs w:val="20"/>
          <w:color w:val="auto"/>
        </w:rPr>
      </w:pPr>
      <w:r>
        <w:rPr>
          <w:rFonts w:ascii="Arial" w:cs="Arial" w:eastAsia="Arial" w:hAnsi="Arial"/>
          <w:sz w:val="18"/>
          <w:szCs w:val="18"/>
          <w:color w:val="auto"/>
        </w:rPr>
        <w:t>insurance, vacation or other paid time off, and savings plans and programs), as such plans, policies and programs may continue or be altered by the Company from time to time.</w:t>
      </w:r>
    </w:p>
    <w:p>
      <w:pPr>
        <w:spacing w:after="0" w:line="170" w:lineRule="exact"/>
        <w:rPr>
          <w:sz w:val="20"/>
          <w:szCs w:val="20"/>
          <w:color w:val="auto"/>
        </w:rPr>
      </w:pPr>
    </w:p>
    <w:p>
      <w:pPr>
        <w:ind w:left="652" w:hanging="652"/>
        <w:spacing w:after="0" w:line="277"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Except for the provisions of Paragraphs 7, 8, 9, 10, and 11, which shall continue in full force and effect, this Agreement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upon the first to occur of the following with respect to the Executive:</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Death;</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Disability;</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Benefits in the Event of Separation from Service</w:t>
      </w:r>
      <w:r>
        <w:rPr>
          <w:rFonts w:ascii="Arial" w:cs="Arial" w:eastAsia="Arial" w:hAnsi="Arial"/>
          <w:sz w:val="18"/>
          <w:szCs w:val="18"/>
          <w:color w:val="auto"/>
        </w:rPr>
        <w:t>. In the event of the Executive’s Separation from Service during the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or any renewal thereof, compensation and benefits shall be paid as set forth below.</w:t>
      </w:r>
    </w:p>
    <w:p>
      <w:pPr>
        <w:spacing w:after="0" w:line="170" w:lineRule="exact"/>
        <w:rPr>
          <w:rFonts w:ascii="Arial" w:cs="Arial" w:eastAsia="Arial" w:hAnsi="Arial"/>
          <w:sz w:val="18"/>
          <w:szCs w:val="18"/>
          <w:color w:val="auto"/>
        </w:rPr>
      </w:pPr>
    </w:p>
    <w:p>
      <w:pPr>
        <w:ind w:left="1292" w:hanging="644"/>
        <w:spacing w:after="0" w:line="308" w:lineRule="auto"/>
        <w:tabs>
          <w:tab w:leader="none" w:pos="129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Qualifying Termination Prior To A Change In Control</w:t>
      </w:r>
      <w:r>
        <w:rPr>
          <w:rFonts w:ascii="Arial" w:cs="Arial" w:eastAsia="Arial" w:hAnsi="Arial"/>
          <w:sz w:val="17"/>
          <w:szCs w:val="17"/>
          <w:color w:val="auto"/>
        </w:rPr>
        <w:t>. If the Executive has a Qualifying Termination after the Commencement Date and prior to a Change in Control, then upon such Qualifying Termination the Executive shall be entitled to receive the following:</w:t>
      </w:r>
    </w:p>
    <w:p>
      <w:pPr>
        <w:spacing w:after="0" w:line="146" w:lineRule="exact"/>
        <w:rPr>
          <w:rFonts w:ascii="Arial" w:cs="Arial" w:eastAsia="Arial" w:hAnsi="Arial"/>
          <w:sz w:val="17"/>
          <w:szCs w:val="17"/>
          <w:color w:val="auto"/>
        </w:rPr>
      </w:pPr>
    </w:p>
    <w:p>
      <w:pPr>
        <w:jc w:val="both"/>
        <w:ind w:left="1952" w:hanging="656"/>
        <w:spacing w:after="0" w:line="263" w:lineRule="auto"/>
        <w:tabs>
          <w:tab w:leader="none" w:pos="19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183" w:lineRule="exact"/>
        <w:rPr>
          <w:rFonts w:ascii="Arial" w:cs="Arial" w:eastAsia="Arial" w:hAnsi="Arial"/>
          <w:sz w:val="18"/>
          <w:szCs w:val="18"/>
          <w:color w:val="auto"/>
        </w:rPr>
      </w:pPr>
    </w:p>
    <w:p>
      <w:pPr>
        <w:jc w:val="both"/>
        <w:ind w:left="1952" w:hanging="656"/>
        <w:spacing w:after="0" w:line="291" w:lineRule="auto"/>
        <w:tabs>
          <w:tab w:leader="none" w:pos="1952"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employed twelve (12) years or less, Executive shall be entitled to receive an amount equal to twelve (12) months of his annual base salary in effect on the date of his Separation from Service. For each full year of service Executive has completed over twelve (12) years of service, Executive shall receive an additional amount equal to one month of such annual base salary, up to a maximum additional six (6) months if employed for eighteen (18) years or more. For purposes of this section, the Executive shall be credited with his prior years of service with Autocam Corporation. These amounts shall be payable in accordance with the Company’s regular payroll procedures over the 12 to 18 month period following the Executive’s Separation from Service; the duration of the payout period for this sum shall equal the number of months to be paid, as indicated in this section.</w:t>
      </w:r>
    </w:p>
    <w:p>
      <w:pPr>
        <w:spacing w:after="0" w:line="166" w:lineRule="exact"/>
        <w:rPr>
          <w:rFonts w:ascii="Arial" w:cs="Arial" w:eastAsia="Arial" w:hAnsi="Arial"/>
          <w:sz w:val="16"/>
          <w:szCs w:val="16"/>
          <w:color w:val="auto"/>
        </w:rPr>
      </w:pPr>
    </w:p>
    <w:p>
      <w:pPr>
        <w:ind w:left="1952" w:hanging="656"/>
        <w:spacing w:after="0"/>
        <w:tabs>
          <w:tab w:leader="none" w:pos="19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225" w:lineRule="exact"/>
        <w:rPr>
          <w:rFonts w:ascii="Arial" w:cs="Arial" w:eastAsia="Arial" w:hAnsi="Arial"/>
          <w:sz w:val="18"/>
          <w:szCs w:val="18"/>
          <w:color w:val="auto"/>
        </w:rPr>
      </w:pPr>
    </w:p>
    <w:p>
      <w:pPr>
        <w:ind w:left="1952" w:hanging="656"/>
        <w:spacing w:after="0" w:line="277" w:lineRule="auto"/>
        <w:tabs>
          <w:tab w:leader="none" w:pos="19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170" w:lineRule="exact"/>
        <w:rPr>
          <w:rFonts w:ascii="Arial" w:cs="Arial" w:eastAsia="Arial" w:hAnsi="Arial"/>
          <w:sz w:val="18"/>
          <w:szCs w:val="18"/>
          <w:color w:val="auto"/>
        </w:rPr>
      </w:pPr>
    </w:p>
    <w:p>
      <w:pPr>
        <w:ind w:left="1952" w:hanging="656"/>
        <w:spacing w:after="0"/>
        <w:tabs>
          <w:tab w:leader="none" w:pos="1952" w:val="left"/>
        </w:tabs>
        <w:numPr>
          <w:ilvl w:val="2"/>
          <w:numId w:val="19"/>
        </w:numPr>
        <w:rPr>
          <w:rFonts w:ascii="Arial" w:cs="Arial" w:eastAsia="Arial" w:hAnsi="Arial"/>
          <w:sz w:val="16"/>
          <w:szCs w:val="16"/>
          <w:color w:val="auto"/>
        </w:rPr>
      </w:pPr>
      <w:r>
        <w:rPr>
          <w:rFonts w:ascii="Arial" w:cs="Arial" w:eastAsia="Arial" w:hAnsi="Arial"/>
          <w:sz w:val="16"/>
          <w:szCs w:val="16"/>
          <w:color w:val="auto"/>
        </w:rPr>
        <w:t>Twelve Thousand Dollars ($12,000), payable in a single lump sum to assist with the Executive’s transition from employment</w:t>
      </w:r>
      <w:r>
        <w:rPr>
          <w:rFonts w:ascii="Arial" w:cs="Arial" w:eastAsia="Arial" w:hAnsi="Arial"/>
          <w:sz w:val="16"/>
          <w:szCs w:val="16"/>
          <w:color w:val="FF0000"/>
        </w:rPr>
        <w:t>.</w:t>
      </w:r>
    </w:p>
    <w:p>
      <w:pPr>
        <w:spacing w:after="0" w:line="248" w:lineRule="exact"/>
        <w:rPr>
          <w:sz w:val="20"/>
          <w:szCs w:val="20"/>
          <w:color w:val="auto"/>
        </w:rPr>
      </w:pPr>
    </w:p>
    <w:p>
      <w:pPr>
        <w:jc w:val="both"/>
        <w:ind w:left="1292"/>
        <w:spacing w:after="0" w:line="254" w:lineRule="auto"/>
        <w:rPr>
          <w:sz w:val="20"/>
          <w:szCs w:val="20"/>
          <w:color w:val="auto"/>
        </w:rPr>
      </w:pPr>
      <w:r>
        <w:rPr>
          <w:rFonts w:ascii="Arial" w:cs="Arial" w:eastAsia="Arial" w:hAnsi="Arial"/>
          <w:sz w:val="18"/>
          <w:szCs w:val="18"/>
          <w:color w:val="auto"/>
        </w:rPr>
        <w:t>Payments under (ii) and (v)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195" w:lineRule="exact"/>
        <w:rPr>
          <w:sz w:val="20"/>
          <w:szCs w:val="20"/>
          <w:color w:val="auto"/>
        </w:rPr>
      </w:pPr>
    </w:p>
    <w:p>
      <w:pPr>
        <w:jc w:val="both"/>
        <w:ind w:left="1292"/>
        <w:spacing w:after="0" w:line="275" w:lineRule="auto"/>
        <w:rPr>
          <w:sz w:val="20"/>
          <w:szCs w:val="20"/>
          <w:color w:val="auto"/>
        </w:rPr>
      </w:pPr>
      <w:r>
        <w:rPr>
          <w:rFonts w:ascii="Arial" w:cs="Arial" w:eastAsia="Arial" w:hAnsi="Arial"/>
          <w:sz w:val="17"/>
          <w:szCs w:val="17"/>
          <w:color w:val="auto"/>
        </w:rPr>
        <w:t xml:space="preserve">Notwithstanding the foregoing, if the Executive incurs a Qualifying Termination within 18 months following the effective closing time of that certain Agreement and Plan of Merger, dated as of July 21, 2014, by and among NN, Inc., Autocam Corporation and certain other parties, then the Executive’s severance under (a)(ii) above shall be paid as a lump sum payment equal to an amount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to this Agreement (the “Severance Payment”). The Severance Payment shall be made by wire transfer or immediately available funds to an account designated by Executive following the date of the Separation from Service.</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32"/>
          </w:cols>
          <w:pgMar w:left="328" w:top="557" w:right="339" w:bottom="1440" w:gutter="0" w:footer="0" w:header="0"/>
        </w:sectPr>
      </w:pPr>
    </w:p>
    <w:bookmarkStart w:id="40" w:name="page41"/>
    <w:bookmarkEnd w:id="40"/>
    <w:p>
      <w:pPr>
        <w:jc w:val="both"/>
        <w:ind w:left="644" w:hanging="644"/>
        <w:spacing w:after="0" w:line="259"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186" w:lineRule="exact"/>
        <w:rPr>
          <w:rFonts w:ascii="Arial" w:cs="Arial" w:eastAsia="Arial" w:hAnsi="Arial"/>
          <w:sz w:val="18"/>
          <w:szCs w:val="18"/>
          <w:color w:val="auto"/>
        </w:rPr>
      </w:pPr>
    </w:p>
    <w:p>
      <w:pPr>
        <w:jc w:val="both"/>
        <w:ind w:left="1304" w:hanging="656"/>
        <w:spacing w:after="0" w:line="263"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183" w:lineRule="exact"/>
        <w:rPr>
          <w:rFonts w:ascii="Arial" w:cs="Arial" w:eastAsia="Arial" w:hAnsi="Arial"/>
          <w:sz w:val="18"/>
          <w:szCs w:val="18"/>
          <w:color w:val="auto"/>
        </w:rPr>
      </w:pPr>
    </w:p>
    <w:p>
      <w:pPr>
        <w:ind w:left="1304" w:hanging="656"/>
        <w:spacing w:after="0"/>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225"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Qualifying Termination Following a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the event that Executive has a Qualifying Termination within 24 months following a Change in Control, Executive shall receive the following, subject to paragraph 6(c)(ii):</w:t>
      </w:r>
    </w:p>
    <w:p>
      <w:pPr>
        <w:spacing w:after="0" w:line="170" w:lineRule="exact"/>
        <w:rPr>
          <w:rFonts w:ascii="Arial" w:cs="Arial" w:eastAsia="Arial" w:hAnsi="Arial"/>
          <w:sz w:val="18"/>
          <w:szCs w:val="18"/>
          <w:color w:val="auto"/>
        </w:rPr>
      </w:pPr>
    </w:p>
    <w:p>
      <w:pPr>
        <w:ind w:left="1944" w:hanging="648"/>
        <w:spacing w:after="0"/>
        <w:tabs>
          <w:tab w:leader="none" w:pos="19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annual salary due to the Executive through the date of his Separation from Service.</w:t>
      </w:r>
    </w:p>
    <w:p>
      <w:pPr>
        <w:spacing w:after="0" w:line="225" w:lineRule="exact"/>
        <w:rPr>
          <w:rFonts w:ascii="Arial" w:cs="Arial" w:eastAsia="Arial" w:hAnsi="Arial"/>
          <w:sz w:val="18"/>
          <w:szCs w:val="18"/>
          <w:color w:val="auto"/>
        </w:rPr>
      </w:pPr>
    </w:p>
    <w:p>
      <w:pPr>
        <w:jc w:val="both"/>
        <w:ind w:left="1944" w:hanging="648"/>
        <w:spacing w:after="0" w:line="263" w:lineRule="auto"/>
        <w:tabs>
          <w:tab w:leader="none" w:pos="19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(the “Severance Payment”). The Severance Payment shall be made by wire transfer or immediately available funds to an account designated by Executive following the date of the Separation from Service.</w:t>
      </w:r>
    </w:p>
    <w:p>
      <w:pPr>
        <w:spacing w:after="0" w:line="183" w:lineRule="exact"/>
        <w:rPr>
          <w:rFonts w:ascii="Arial" w:cs="Arial" w:eastAsia="Arial" w:hAnsi="Arial"/>
          <w:sz w:val="18"/>
          <w:szCs w:val="18"/>
          <w:color w:val="auto"/>
        </w:rPr>
      </w:pPr>
    </w:p>
    <w:p>
      <w:pPr>
        <w:jc w:val="both"/>
        <w:ind w:left="1944" w:hanging="648"/>
        <w:spacing w:after="0" w:line="263" w:lineRule="auto"/>
        <w:tabs>
          <w:tab w:leader="none" w:pos="19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payment equal to the target annual bonus to which Executive would have been entitled but for Executive’s Separation from Service, for the year of Executive’s termination; pro-rated for the portion of the year during which he was employed by the Company (“Pro-rated Bonus”).</w:t>
      </w:r>
    </w:p>
    <w:p>
      <w:pPr>
        <w:spacing w:after="0" w:line="183" w:lineRule="exact"/>
        <w:rPr>
          <w:rFonts w:ascii="Arial" w:cs="Arial" w:eastAsia="Arial" w:hAnsi="Arial"/>
          <w:sz w:val="18"/>
          <w:szCs w:val="18"/>
          <w:color w:val="auto"/>
        </w:rPr>
      </w:pPr>
    </w:p>
    <w:p>
      <w:pPr>
        <w:ind w:left="1944" w:hanging="648"/>
        <w:spacing w:after="0"/>
        <w:tabs>
          <w:tab w:leader="none" w:pos="19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225" w:lineRule="exact"/>
        <w:rPr>
          <w:rFonts w:ascii="Arial" w:cs="Arial" w:eastAsia="Arial" w:hAnsi="Arial"/>
          <w:sz w:val="18"/>
          <w:szCs w:val="18"/>
          <w:color w:val="auto"/>
        </w:rPr>
      </w:pPr>
    </w:p>
    <w:p>
      <w:pPr>
        <w:ind w:left="1944" w:hanging="648"/>
        <w:spacing w:after="0" w:line="277" w:lineRule="auto"/>
        <w:tabs>
          <w:tab w:leader="none" w:pos="19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170" w:lineRule="exact"/>
        <w:rPr>
          <w:rFonts w:ascii="Arial" w:cs="Arial" w:eastAsia="Arial" w:hAnsi="Arial"/>
          <w:sz w:val="18"/>
          <w:szCs w:val="18"/>
          <w:color w:val="auto"/>
        </w:rPr>
      </w:pPr>
    </w:p>
    <w:p>
      <w:pPr>
        <w:ind w:left="1944" w:hanging="648"/>
        <w:spacing w:after="0" w:line="277" w:lineRule="auto"/>
        <w:tabs>
          <w:tab w:leader="none" w:pos="19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Twelve Thousand Dollars ($12,000), payable in a single lump sum to assist with the Executive’s transition from employment.</w:t>
      </w:r>
    </w:p>
    <w:p>
      <w:pPr>
        <w:spacing w:after="0" w:line="170" w:lineRule="exact"/>
        <w:rPr>
          <w:sz w:val="20"/>
          <w:szCs w:val="20"/>
          <w:color w:val="auto"/>
        </w:rPr>
      </w:pPr>
    </w:p>
    <w:p>
      <w:pPr>
        <w:jc w:val="both"/>
        <w:ind w:left="1304"/>
        <w:spacing w:after="0" w:line="272" w:lineRule="auto"/>
        <w:rPr>
          <w:sz w:val="20"/>
          <w:szCs w:val="20"/>
          <w:color w:val="auto"/>
        </w:rPr>
      </w:pPr>
      <w:r>
        <w:rPr>
          <w:rFonts w:ascii="Arial" w:cs="Arial" w:eastAsia="Arial" w:hAnsi="Arial"/>
          <w:sz w:val="17"/>
          <w:szCs w:val="17"/>
          <w:color w:val="auto"/>
        </w:rPr>
        <w:t>Payments under (2), (3) and (6)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177" w:lineRule="exact"/>
        <w:rPr>
          <w:sz w:val="20"/>
          <w:szCs w:val="20"/>
          <w:color w:val="auto"/>
        </w:rPr>
      </w:pPr>
    </w:p>
    <w:p>
      <w:pPr>
        <w:ind w:left="1304" w:hanging="656"/>
        <w:spacing w:after="0"/>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Excise Tax.</w:t>
      </w:r>
    </w:p>
    <w:p>
      <w:pPr>
        <w:spacing w:after="0" w:line="225" w:lineRule="exact"/>
        <w:rPr>
          <w:rFonts w:ascii="Arial" w:cs="Arial" w:eastAsia="Arial" w:hAnsi="Arial"/>
          <w:sz w:val="18"/>
          <w:szCs w:val="18"/>
          <w:color w:val="auto"/>
        </w:rPr>
      </w:pPr>
    </w:p>
    <w:p>
      <w:pPr>
        <w:jc w:val="both"/>
        <w:ind w:left="1944" w:hanging="648"/>
        <w:spacing w:after="0" w:line="290" w:lineRule="auto"/>
        <w:tabs>
          <w:tab w:leader="none" w:pos="1944"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“Change in Control Payment”),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w:t>
      </w:r>
    </w:p>
    <w:p>
      <w:pPr>
        <w:spacing w:after="0" w:line="3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557" w:right="339" w:bottom="1440" w:gutter="0" w:footer="0" w:header="0"/>
        </w:sectPr>
      </w:pPr>
    </w:p>
    <w:bookmarkStart w:id="41" w:name="page42"/>
    <w:bookmarkEnd w:id="41"/>
    <w:p>
      <w:pPr>
        <w:ind w:left="2600"/>
        <w:spacing w:after="0" w:line="277" w:lineRule="auto"/>
        <w:rPr>
          <w:sz w:val="20"/>
          <w:szCs w:val="20"/>
          <w:color w:val="auto"/>
        </w:rPr>
      </w:pPr>
      <w:r>
        <w:rPr>
          <w:rFonts w:ascii="Arial" w:cs="Arial" w:eastAsia="Arial" w:hAnsi="Arial"/>
          <w:sz w:val="18"/>
          <w:szCs w:val="18"/>
          <w:color w:val="auto"/>
        </w:rPr>
        <w:t>amount of severance payment payable pursuant to paragraph 6(c)(i)(1) of this Agreement and then, to the extent necessary, paragraph 6(c)(i)(2) of this Agreement.</w:t>
      </w:r>
    </w:p>
    <w:p>
      <w:pPr>
        <w:spacing w:after="0" w:line="170" w:lineRule="exact"/>
        <w:rPr>
          <w:sz w:val="20"/>
          <w:szCs w:val="20"/>
          <w:color w:val="auto"/>
        </w:rPr>
      </w:pPr>
    </w:p>
    <w:p>
      <w:pPr>
        <w:jc w:val="both"/>
        <w:ind w:left="2600" w:hanging="648"/>
        <w:spacing w:after="0" w:line="255" w:lineRule="auto"/>
        <w:tabs>
          <w:tab w:leader="none" w:pos="26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All determinations to be made under this paragraph 6(c)(ii) shall be made by an independent public accounting firm selected by the Company immediately prior to the Change in Control (the “Accounting Firm”),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6(c)(iii) shall be borne solely by the Company.</w:t>
      </w:r>
    </w:p>
    <w:p>
      <w:pPr>
        <w:spacing w:after="0" w:line="192"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Notwithstanding any provision in this Agreement to the contrary, if the Executive is entitled to any benefits from the Company under any other plan or agreement that are similar to the benefits described in this paragraph 6, the benefits described in this paragraph 6 shall be reduced to avoid duplication of benefits.</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Limit on Company Liability</w:t>
      </w:r>
      <w:r>
        <w:rPr>
          <w:rFonts w:ascii="Arial" w:cs="Arial" w:eastAsia="Arial" w:hAnsi="Arial"/>
          <w:sz w:val="17"/>
          <w:szCs w:val="17"/>
          <w:color w:val="auto"/>
        </w:rPr>
        <w:t>. Except as expressly set forth in this paragraph 6,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or make any further contribution for Executive’s benefit except as provided in this paragraph 6.</w:t>
      </w:r>
    </w:p>
    <w:p>
      <w:pPr>
        <w:spacing w:after="0" w:line="171" w:lineRule="exact"/>
        <w:rPr>
          <w:rFonts w:ascii="Arial" w:cs="Arial" w:eastAsia="Arial" w:hAnsi="Arial"/>
          <w:sz w:val="17"/>
          <w:szCs w:val="17"/>
          <w:color w:val="auto"/>
        </w:rPr>
      </w:pPr>
    </w:p>
    <w:p>
      <w:pPr>
        <w:jc w:val="both"/>
        <w:ind w:left="660" w:hanging="652"/>
        <w:spacing w:after="0" w:line="26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Disclosure of Confidential Information</w:t>
      </w:r>
      <w:r>
        <w:rPr>
          <w:rFonts w:ascii="Arial" w:cs="Arial" w:eastAsia="Arial" w:hAnsi="Arial"/>
          <w:sz w:val="17"/>
          <w:szCs w:val="17"/>
          <w:color w:val="auto"/>
        </w:rPr>
        <w:t>. The Company has developed confidential information, strategies and programs, which include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Executive agrees that whenever Executive’s employment with the Company ends for any reason, all documents containing or referring to Confidential Information of the Company, its affiliates, and/or its subsidiaries may be in Executive’s possession or control will be delivered by Executive to the Company immediately, with no request being required.</w:t>
      </w:r>
    </w:p>
    <w:p>
      <w:pPr>
        <w:spacing w:after="0" w:line="181" w:lineRule="exact"/>
        <w:rPr>
          <w:rFonts w:ascii="Arial" w:cs="Arial" w:eastAsia="Arial" w:hAnsi="Arial"/>
          <w:sz w:val="17"/>
          <w:szCs w:val="17"/>
          <w:color w:val="auto"/>
        </w:rPr>
      </w:pPr>
    </w:p>
    <w:p>
      <w:pPr>
        <w:jc w:val="both"/>
        <w:ind w:left="660" w:hanging="652"/>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Non-Interference with Personnel Relations</w:t>
      </w:r>
      <w:r>
        <w:rPr>
          <w:rFonts w:ascii="Arial" w:cs="Arial" w:eastAsia="Arial" w:hAnsi="Arial"/>
          <w:sz w:val="16"/>
          <w:szCs w:val="16"/>
          <w:color w:val="auto"/>
        </w:rPr>
        <w:t>. While Executive is employed by the Company and for the Restrictive Period after such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ends for any reason, Executive acting either directly or indirectly, or through any other person, firm, or corporation, will not hire, contract with or employ any employee of the Company, and/or any employee of an affiliate or subsidiary of the Company with which Executive interacted or about which Executive gained Confidential Information during his employment with Company (“Restricted Employees”). Further, Executive will not induce or attempt to induce or influence any of the Restricted Employees to terminate employment with the Company, affiliate, and/or subsidiary. However, this provision shall not apply to Executive in the case of the solicitation of his immediate family members.</w:t>
      </w:r>
    </w:p>
    <w:p>
      <w:pPr>
        <w:spacing w:after="0" w:line="164"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Non-Competition</w:t>
      </w:r>
      <w:r>
        <w:rPr>
          <w:rFonts w:ascii="Arial" w:cs="Arial" w:eastAsia="Arial" w:hAnsi="Arial"/>
          <w:sz w:val="18"/>
          <w:szCs w:val="18"/>
          <w:color w:val="auto"/>
        </w:rPr>
        <w:t>. While Executive is employed by the Company and for the Restrictive Period after such employment ends, Executive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7" w:right="339" w:bottom="1440" w:gutter="0" w:footer="0" w:header="0"/>
        </w:sectPr>
      </w:pPr>
    </w:p>
    <w:bookmarkStart w:id="42" w:name="page43"/>
    <w:bookmarkEnd w:id="42"/>
    <w:p>
      <w:pPr>
        <w:jc w:val="both"/>
        <w:ind w:left="660"/>
        <w:spacing w:after="0" w:line="290" w:lineRule="auto"/>
        <w:rPr>
          <w:sz w:val="20"/>
          <w:szCs w:val="20"/>
          <w:color w:val="auto"/>
        </w:rPr>
      </w:pPr>
      <w:r>
        <w:rPr>
          <w:rFonts w:ascii="Arial" w:cs="Arial" w:eastAsia="Arial" w:hAnsi="Arial"/>
          <w:sz w:val="16"/>
          <w:szCs w:val="16"/>
          <w:color w:val="auto"/>
        </w:rPr>
        <w:t>(whether actual or potential),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165" w:lineRule="exact"/>
        <w:rPr>
          <w:sz w:val="20"/>
          <w:szCs w:val="20"/>
          <w:color w:val="auto"/>
        </w:rPr>
      </w:pPr>
    </w:p>
    <w:p>
      <w:pPr>
        <w:jc w:val="both"/>
        <w:ind w:left="6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Notification to Subsequent Employers</w:t>
      </w:r>
      <w:r>
        <w:rPr>
          <w:rFonts w:ascii="Arial" w:cs="Arial" w:eastAsia="Arial" w:hAnsi="Arial"/>
          <w:sz w:val="18"/>
          <w:szCs w:val="18"/>
          <w:color w:val="auto"/>
        </w:rPr>
        <w:t>. Executive grants the Company the right to notify any future employer or prospective employer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concerning the existence of and terms of this Agreement and grants the Company the right to provide a copy of this Agreement to any such subsequent employer or prospective employer.</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Company 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Executive shall have no interest therein.</w:t>
      </w:r>
    </w:p>
    <w:p>
      <w:pPr>
        <w:spacing w:after="0" w:line="19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 and Warranty of Executive</w:t>
      </w:r>
      <w:r>
        <w:rPr>
          <w:rFonts w:ascii="Arial" w:cs="Arial" w:eastAsia="Arial" w:hAnsi="Arial"/>
          <w:sz w:val="18"/>
          <w:szCs w:val="18"/>
          <w:color w:val="auto"/>
        </w:rPr>
        <w:t>. Executive represents and warrants to the Company that he is not now under any obligation,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nature or otherwise, to any person, partnership, company or corporation that is inconsistent or in conflict with this Agreement or which would prevent, limit or impair in any way the performance by him of his obligations hereunder.</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Withholding</w:t>
      </w:r>
      <w:r>
        <w:rPr>
          <w:rFonts w:ascii="Arial" w:cs="Arial" w:eastAsia="Arial" w:hAnsi="Arial"/>
          <w:sz w:val="18"/>
          <w:szCs w:val="18"/>
          <w:color w:val="auto"/>
        </w:rPr>
        <w:t>. Any provision of this Agreement to the contrary notwithstanding, all payments made by the Company hereunder to the Executive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7"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Mitigation</w:t>
      </w:r>
      <w:r>
        <w:rPr>
          <w:rFonts w:ascii="Arial" w:cs="Arial" w:eastAsia="Arial" w:hAnsi="Arial"/>
          <w:sz w:val="18"/>
          <w:szCs w:val="18"/>
          <w:color w:val="auto"/>
        </w:rPr>
        <w:t>. The Company’s obligation to make the payments provided for in this Agreement and otherwise to perform its obligations 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demands and other communications provided for by this Agreement shall be in writing and shall be sufficiently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7" w:right="339" w:bottom="1440" w:gutter="0" w:footer="0" w:header="0"/>
        </w:sectPr>
      </w:pPr>
    </w:p>
    <w:bookmarkStart w:id="43" w:name="page44"/>
    <w:bookmarkEnd w:id="43"/>
    <w:p>
      <w:pPr>
        <w:ind w:left="840"/>
        <w:spacing w:after="0"/>
        <w:tabs>
          <w:tab w:leader="none" w:pos="4960" w:val="left"/>
        </w:tabs>
        <w:rPr>
          <w:sz w:val="20"/>
          <w:szCs w:val="20"/>
          <w:color w:val="auto"/>
        </w:rPr>
      </w:pPr>
      <w:r>
        <w:rPr>
          <w:rFonts w:ascii="Arial" w:cs="Arial" w:eastAsia="Arial" w:hAnsi="Arial"/>
          <w:sz w:val="18"/>
          <w:szCs w:val="18"/>
          <w:color w:val="auto"/>
        </w:rPr>
        <w:t>To the Company:</w:t>
      </w:r>
      <w:r>
        <w:rPr>
          <w:sz w:val="20"/>
          <w:szCs w:val="20"/>
          <w:color w:val="auto"/>
        </w:rPr>
        <w:tab/>
      </w:r>
      <w:r>
        <w:rPr>
          <w:rFonts w:ascii="Arial" w:cs="Arial" w:eastAsia="Arial" w:hAnsi="Arial"/>
          <w:sz w:val="17"/>
          <w:szCs w:val="17"/>
          <w:color w:val="auto"/>
        </w:rPr>
        <w:t>NN, Inc.</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Attn: William C. Kelly, Jr.</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2000 Waters Edge Drive</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14" w:lineRule="exact"/>
        <w:rPr>
          <w:sz w:val="20"/>
          <w:szCs w:val="20"/>
          <w:color w:val="auto"/>
        </w:rPr>
      </w:pPr>
    </w:p>
    <w:p>
      <w:pPr>
        <w:ind w:left="840"/>
        <w:spacing w:after="0"/>
        <w:tabs>
          <w:tab w:leader="none" w:pos="4960" w:val="left"/>
        </w:tabs>
        <w:rPr>
          <w:sz w:val="20"/>
          <w:szCs w:val="20"/>
          <w:color w:val="auto"/>
        </w:rPr>
      </w:pPr>
      <w:r>
        <w:rPr>
          <w:rFonts w:ascii="Arial" w:cs="Arial" w:eastAsia="Arial" w:hAnsi="Arial"/>
          <w:sz w:val="18"/>
          <w:szCs w:val="18"/>
          <w:color w:val="auto"/>
        </w:rPr>
        <w:t>To the Executive:</w:t>
      </w:r>
      <w:r>
        <w:rPr>
          <w:sz w:val="20"/>
          <w:szCs w:val="20"/>
          <w:color w:val="auto"/>
        </w:rPr>
        <w:tab/>
      </w:r>
      <w:r>
        <w:rPr>
          <w:rFonts w:ascii="Arial" w:cs="Arial" w:eastAsia="Arial" w:hAnsi="Arial"/>
          <w:sz w:val="16"/>
          <w:szCs w:val="16"/>
          <w:color w:val="auto"/>
        </w:rPr>
        <w:t>John R. Buchan</w:t>
      </w:r>
    </w:p>
    <w:p>
      <w:pPr>
        <w:spacing w:after="0" w:line="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4180 40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SE</w:t>
      </w:r>
    </w:p>
    <w:p>
      <w:pPr>
        <w:ind w:left="4980"/>
        <w:spacing w:after="0"/>
        <w:rPr>
          <w:sz w:val="20"/>
          <w:szCs w:val="20"/>
          <w:color w:val="auto"/>
        </w:rPr>
      </w:pPr>
      <w:r>
        <w:rPr>
          <w:rFonts w:ascii="Arial" w:cs="Arial" w:eastAsia="Arial" w:hAnsi="Arial"/>
          <w:sz w:val="18"/>
          <w:szCs w:val="18"/>
          <w:color w:val="auto"/>
        </w:rPr>
        <w:t>Kentwood, MI 49512</w:t>
      </w:r>
    </w:p>
    <w:p>
      <w:pPr>
        <w:spacing w:after="0" w:line="236" w:lineRule="exact"/>
        <w:rPr>
          <w:sz w:val="20"/>
          <w:szCs w:val="20"/>
          <w:color w:val="auto"/>
        </w:rPr>
      </w:pPr>
    </w:p>
    <w:p>
      <w:pPr>
        <w:jc w:val="both"/>
        <w:ind w:left="660" w:hanging="652"/>
        <w:spacing w:after="0" w:line="272"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Successors: Binding Agreement</w:t>
      </w:r>
      <w:r>
        <w:rPr>
          <w:rFonts w:ascii="Arial" w:cs="Arial" w:eastAsia="Arial" w:hAnsi="Arial"/>
          <w:sz w:val="17"/>
          <w:szCs w:val="17"/>
          <w:color w:val="auto"/>
        </w:rPr>
        <w:t>. The Company shall require any successor (whether direct or indirect, by purchase, merger, consolidation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177" w:lineRule="exact"/>
        <w:rPr>
          <w:rFonts w:ascii="Arial" w:cs="Arial" w:eastAsia="Arial" w:hAnsi="Arial"/>
          <w:sz w:val="17"/>
          <w:szCs w:val="17"/>
          <w:color w:val="auto"/>
        </w:rPr>
      </w:pPr>
    </w:p>
    <w:p>
      <w:pPr>
        <w:jc w:val="both"/>
        <w:ind w:left="660"/>
        <w:spacing w:after="0" w:line="301" w:lineRule="auto"/>
        <w:rPr>
          <w:rFonts w:ascii="Arial" w:cs="Arial" w:eastAsia="Arial" w:hAnsi="Arial"/>
          <w:sz w:val="17"/>
          <w:szCs w:val="17"/>
          <w:color w:val="auto"/>
        </w:rPr>
      </w:pPr>
      <w:r>
        <w:rPr>
          <w:rFonts w:ascii="Arial" w:cs="Arial" w:eastAsia="Arial" w:hAnsi="Arial"/>
          <w:sz w:val="16"/>
          <w:szCs w:val="16"/>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57" w:lineRule="exact"/>
        <w:rPr>
          <w:rFonts w:ascii="Arial" w:cs="Arial" w:eastAsia="Arial" w:hAnsi="Arial"/>
          <w:sz w:val="17"/>
          <w:szCs w:val="17"/>
          <w:color w:val="auto"/>
        </w:rPr>
      </w:pPr>
    </w:p>
    <w:p>
      <w:pPr>
        <w:jc w:val="both"/>
        <w:ind w:left="660" w:hanging="652"/>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Modification, Waiver or Discharge</w:t>
      </w:r>
      <w:r>
        <w:rPr>
          <w:rFonts w:ascii="Arial" w:cs="Arial" w:eastAsia="Arial" w:hAnsi="Arial"/>
          <w:sz w:val="17"/>
          <w:szCs w:val="17"/>
          <w:color w:val="auto"/>
        </w:rPr>
        <w:t>. No provision of this Agreement may be modified or discharged unless such modification or discharge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78" w:lineRule="exact"/>
        <w:rPr>
          <w:rFonts w:ascii="Arial" w:cs="Arial" w:eastAsia="Arial" w:hAnsi="Arial"/>
          <w:sz w:val="17"/>
          <w:szCs w:val="17"/>
          <w:color w:val="auto"/>
        </w:rPr>
      </w:pPr>
    </w:p>
    <w:p>
      <w:pPr>
        <w:jc w:val="both"/>
        <w:ind w:left="660" w:hanging="652"/>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Entire Agreement</w:t>
      </w:r>
      <w:r>
        <w:rPr>
          <w:rFonts w:ascii="Arial" w:cs="Arial" w:eastAsia="Arial" w:hAnsi="Arial"/>
          <w:sz w:val="17"/>
          <w:szCs w:val="17"/>
          <w:color w:val="auto"/>
        </w:rPr>
        <w:t>. This Agreement constitutes the entire understanding of the parties hereto with respect to its subject matter and supersedes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agreements between the parties hereto with respect to its subject matter, including, but not limited to, all employment agreements, change of control agreements, non-competition agreements or any other agreement related to Executive’s employment with the Company or Autocam Corporation; provided, however, nothing herein shall affect the terms of any indemnification agreement by and between the Company and Executive or any general indemnification policy in favor of Executive, which shall continue and remain in full force and effect. For avoidance of doubt, Executive acknowledges and agrees that he shall not be entitled to any payments or benefits under his Employment Agreement with Autocam Corporation following the effective closing time of that certain Agreement and Plan of Merger, dated as of July 21, 2014, by and among NN, Inc., Autocam Corporation and certain other parties.</w:t>
      </w:r>
    </w:p>
    <w:p>
      <w:pPr>
        <w:spacing w:after="0" w:line="17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interpretation, construction and performance of this Agreement shall be governed by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Tennessee to the extent federal law does not apply.</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Resolution of Disputes</w:t>
      </w:r>
      <w:r>
        <w:rPr>
          <w:rFonts w:ascii="Arial" w:cs="Arial" w:eastAsia="Arial" w:hAnsi="Arial"/>
          <w:sz w:val="18"/>
          <w:szCs w:val="18"/>
          <w:color w:val="auto"/>
        </w:rPr>
        <w:t>. Any dispute or claim arising out of or relating to this Agreement shall be settled by final and binding arbitration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which latter provisions shall remain in full force and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19" w:right="339" w:bottom="1440" w:gutter="0" w:footer="0" w:header="0"/>
        </w:sectPr>
      </w:pPr>
    </w:p>
    <w:bookmarkStart w:id="44" w:name="page45"/>
    <w:bookmarkEnd w:id="44"/>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It is intended that the Agreement will comply with Section 409A of the Code and the regulations and other guidance thereunder (“Section 409A”),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The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167"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Six Month Delay for Specified Employees</w:t>
      </w:r>
      <w:r>
        <w:rPr>
          <w:rFonts w:ascii="Arial" w:cs="Arial" w:eastAsia="Arial" w:hAnsi="Arial"/>
          <w:sz w:val="18"/>
          <w:szCs w:val="18"/>
          <w:color w:val="auto"/>
        </w:rPr>
        <w:t>.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187"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No Adequate Remedy At Law; Costs to Prevailing Party</w:t>
      </w:r>
      <w:r>
        <w:rPr>
          <w:rFonts w:ascii="Arial" w:cs="Arial" w:eastAsia="Arial" w:hAnsi="Arial"/>
          <w:sz w:val="18"/>
          <w:szCs w:val="18"/>
          <w:color w:val="auto"/>
        </w:rPr>
        <w:t>. The Company and the Executive recognize that each party may have no adequate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186"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76"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 or construction of any provision of this Agreement. Reference to Paragraphs are to Paragraphs in this Agreement.</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each of which shall be deemed to be an original, but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will constitute one and the same instrument.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“Cause” means any of the following:</w:t>
      </w:r>
    </w:p>
    <w:p>
      <w:pPr>
        <w:spacing w:after="0" w:line="225"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subparagraph (ii) below, remains uncorrected for 10 days following written notice to Executive by the Chief Executive Officer or the Board of Directors of the Company of such breach;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7" w:right="339" w:bottom="1440" w:gutter="0" w:footer="0" w:header="0"/>
        </w:sectPr>
      </w:pPr>
    </w:p>
    <w:bookmarkStart w:id="45" w:name="page46"/>
    <w:bookmarkEnd w:id="45"/>
    <w:p>
      <w:pPr>
        <w:ind w:left="1304" w:hanging="656"/>
        <w:spacing w:after="0" w:line="277" w:lineRule="auto"/>
        <w:tabs>
          <w:tab w:leader="none" w:pos="13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willful misconduct or gross negligence by the Executive, in either case that results in material damage to the business or reputation of the Company;</w:t>
      </w:r>
    </w:p>
    <w:p>
      <w:pPr>
        <w:spacing w:after="0" w:line="170" w:lineRule="exact"/>
        <w:rPr>
          <w:rFonts w:ascii="Arial" w:cs="Arial" w:eastAsia="Arial" w:hAnsi="Arial"/>
          <w:sz w:val="18"/>
          <w:szCs w:val="18"/>
          <w:color w:val="auto"/>
        </w:rPr>
      </w:pPr>
    </w:p>
    <w:p>
      <w:pPr>
        <w:ind w:left="1304" w:hanging="656"/>
        <w:spacing w:after="0" w:line="308" w:lineRule="auto"/>
        <w:tabs>
          <w:tab w:leader="none" w:pos="130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146" w:lineRule="exact"/>
        <w:rPr>
          <w:rFonts w:ascii="Arial" w:cs="Arial" w:eastAsia="Arial" w:hAnsi="Arial"/>
          <w:sz w:val="17"/>
          <w:szCs w:val="17"/>
          <w:color w:val="auto"/>
        </w:rPr>
      </w:pPr>
    </w:p>
    <w:p>
      <w:pPr>
        <w:ind w:left="1304" w:hanging="656"/>
        <w:spacing w:after="0" w:line="277" w:lineRule="auto"/>
        <w:tabs>
          <w:tab w:leader="none" w:pos="13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Executive is convicted of a felony or any other crime involving moral turpitude (whether or not in connection with the performance by Executive of his duties under this Agreement).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in Control” means, and shall occur on the date that any of the following occurs:</w:t>
      </w:r>
    </w:p>
    <w:p>
      <w:pPr>
        <w:spacing w:after="0" w:line="225" w:lineRule="exact"/>
        <w:rPr>
          <w:rFonts w:ascii="Arial" w:cs="Arial" w:eastAsia="Arial" w:hAnsi="Arial"/>
          <w:sz w:val="18"/>
          <w:szCs w:val="18"/>
          <w:color w:val="auto"/>
        </w:rPr>
      </w:pPr>
    </w:p>
    <w:p>
      <w:pPr>
        <w:jc w:val="both"/>
        <w:ind w:left="1304" w:hanging="656"/>
        <w:spacing w:after="0" w:line="254"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person, corporation, entity or group (1) makes a tender or exchange offer for the issued and outstanding voting stock of NN, Inc., (“NN”)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91" w:lineRule="exact"/>
        <w:rPr>
          <w:rFonts w:ascii="Arial" w:cs="Arial" w:eastAsia="Arial" w:hAnsi="Arial"/>
          <w:sz w:val="18"/>
          <w:szCs w:val="18"/>
          <w:color w:val="auto"/>
        </w:rPr>
      </w:pPr>
    </w:p>
    <w:p>
      <w:pPr>
        <w:jc w:val="both"/>
        <w:ind w:left="1304" w:hanging="656"/>
        <w:spacing w:after="0" w:line="263"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3" w:lineRule="exact"/>
        <w:rPr>
          <w:rFonts w:ascii="Arial" w:cs="Arial" w:eastAsia="Arial" w:hAnsi="Arial"/>
          <w:sz w:val="18"/>
          <w:szCs w:val="18"/>
          <w:color w:val="auto"/>
        </w:rPr>
      </w:pPr>
    </w:p>
    <w:p>
      <w:pPr>
        <w:ind w:left="1304" w:hanging="656"/>
        <w:spacing w:after="0"/>
        <w:tabs>
          <w:tab w:leader="none" w:pos="1304" w:val="left"/>
        </w:tabs>
        <w:numPr>
          <w:ilvl w:val="1"/>
          <w:numId w:val="29"/>
        </w:numPr>
        <w:rPr>
          <w:rFonts w:ascii="Arial" w:cs="Arial" w:eastAsia="Arial" w:hAnsi="Arial"/>
          <w:sz w:val="16"/>
          <w:szCs w:val="16"/>
          <w:color w:val="auto"/>
        </w:rPr>
      </w:pPr>
      <w:r>
        <w:rPr>
          <w:rFonts w:ascii="Arial" w:cs="Arial" w:eastAsia="Arial" w:hAnsi="Arial"/>
          <w:sz w:val="16"/>
          <w:szCs w:val="16"/>
          <w:color w:val="auto"/>
        </w:rPr>
        <w:t>NN sells fifty percent (50%) or more of its assets to any other person or persons (other than an affiliate or affiliates of NN); or</w:t>
      </w:r>
    </w:p>
    <w:p>
      <w:pPr>
        <w:spacing w:after="0" w:line="248" w:lineRule="exact"/>
        <w:rPr>
          <w:rFonts w:ascii="Arial" w:cs="Arial" w:eastAsia="Arial" w:hAnsi="Arial"/>
          <w:sz w:val="16"/>
          <w:szCs w:val="16"/>
          <w:color w:val="auto"/>
        </w:rPr>
      </w:pPr>
    </w:p>
    <w:p>
      <w:pPr>
        <w:jc w:val="both"/>
        <w:ind w:left="1304" w:hanging="656"/>
        <w:spacing w:after="0" w:line="293" w:lineRule="auto"/>
        <w:tabs>
          <w:tab w:leader="none" w:pos="1304"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Individuals who, during any 12-month period, constitute the Board (the “Incumbent Board”)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6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225" w:lineRule="exact"/>
        <w:rPr>
          <w:sz w:val="20"/>
          <w:szCs w:val="20"/>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jc w:val="both"/>
        <w:ind w:left="644" w:hanging="644"/>
        <w:spacing w:after="0" w:line="289" w:lineRule="auto"/>
        <w:tabs>
          <w:tab w:leader="none" w:pos="644"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“Disability”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166"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 Reason” means, except as provided below, any of the following events if not remedied by the Company within 30 days after receipt of notice thereof from the Executive: (i) assignment to the Executive of any duties</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557" w:right="339" w:bottom="1440" w:gutter="0" w:footer="0" w:header="0"/>
        </w:sectPr>
      </w:pPr>
    </w:p>
    <w:bookmarkStart w:id="46" w:name="page47"/>
    <w:bookmarkEnd w:id="46"/>
    <w:p>
      <w:pPr>
        <w:jc w:val="both"/>
        <w:ind w:left="1300"/>
        <w:spacing w:after="0" w:line="259" w:lineRule="auto"/>
        <w:rPr>
          <w:sz w:val="20"/>
          <w:szCs w:val="20"/>
          <w:color w:val="auto"/>
        </w:rPr>
      </w:pPr>
      <w:r>
        <w:rPr>
          <w:rFonts w:ascii="Arial" w:cs="Arial" w:eastAsia="Arial" w:hAnsi="Arial"/>
          <w:sz w:val="18"/>
          <w:szCs w:val="18"/>
          <w:color w:val="auto"/>
        </w:rPr>
        <w:t>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 material adverse change in Executive’s annual compensation and benefits; or (iv) a requirement to relocate in excess of fifty (50) miles from the Executive’s then current place of employment</w:t>
      </w:r>
    </w:p>
    <w:p>
      <w:pPr>
        <w:spacing w:after="0" w:line="187"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Notwithstanding anything in this definition to the contrary, an alleged act by the Company shall not constitute a “Good Reason” event for purposes of this Agreement unless Executive gives written notice of the same to the Company within 30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188" w:lineRule="exact"/>
        <w:rPr>
          <w:sz w:val="20"/>
          <w:szCs w:val="20"/>
          <w:color w:val="auto"/>
        </w:rPr>
      </w:pPr>
    </w:p>
    <w:p>
      <w:pPr>
        <w:jc w:val="both"/>
        <w:ind w:left="1300" w:hanging="644"/>
        <w:spacing w:after="0" w:line="25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“Notice of Termination”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8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“Qualifying Termination” means a Separation from Service by action of the Company that is not for Cause, or a Separation from Service by action of the Executive that is for Good Reason.</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Period” means (i) a period of 12 to 18 months following Executive’s termination of employment pursuant to paragraph 6(a) above, or a period of 12 months following Executive’s termination of employment pursuant to paragraph 6(b) above, prior to a Change in Control; or (ii) a period of 24 months following Executive’s termination of employment pursuant to paragraph 6(c) after a Change in Control.</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“Separation from Service” means Executive’s “separation from service” as defined in Treasury Regulation Section 1.409A-1(h).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By:___________________________________________</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sectPr>
      </w:pPr>
    </w:p>
    <w:bookmarkStart w:id="47" w:name="page48"/>
    <w:bookmarkEnd w:id="47"/>
    <w:p>
      <w:pPr>
        <w:ind w:left="3244"/>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Arial" w:cs="Arial" w:eastAsia="Arial" w:hAnsi="Arial"/>
          <w:sz w:val="16"/>
          <w:szCs w:val="16"/>
          <w:color w:val="auto"/>
        </w:rPr>
        <w:t>Executive’s Severance Payment subsequent to a Change in Control as provided in paragraph 6(c)(i) shall be a lump sum payment equal to:</w:t>
      </w:r>
    </w:p>
    <w:p>
      <w:pPr>
        <w:spacing w:after="0" w:line="248" w:lineRule="exact"/>
        <w:rPr>
          <w:sz w:val="20"/>
          <w:szCs w:val="20"/>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84"/>
          </w:cols>
          <w:pgMar w:left="976" w:top="553" w:right="9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is made as of this 9th day of September 2014, by and between NN, Inc., a Delaware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its principal place of business in Johnson City, Tennessee (the “Company”), and Christopher Qualters (the “Executive”).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mutually desire that their employment relationship be set forth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written Employment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of the promises, covenants and mutual agreements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below, and other good and valuable consideration, the receipt and sufficiency of which are hereby acknowledged, the parties hereby agree that the terms of their employment relationship are as follows:</w:t>
      </w:r>
    </w:p>
    <w:p>
      <w:pPr>
        <w:spacing w:after="0" w:line="182" w:lineRule="exact"/>
        <w:rPr>
          <w:sz w:val="20"/>
          <w:szCs w:val="20"/>
          <w:color w:val="auto"/>
        </w:rPr>
      </w:pPr>
    </w:p>
    <w:p>
      <w:pPr>
        <w:jc w:val="both"/>
        <w:ind w:left="660" w:hanging="652"/>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22"/>
          <w:szCs w:val="22"/>
          <w:b w:val="1"/>
          <w:bCs w:val="1"/>
          <w:i w:val="1"/>
          <w:iCs w:val="1"/>
          <w:color w:val="auto"/>
        </w:rPr>
        <w:t>Employment</w:t>
      </w:r>
      <w:r>
        <w:rPr>
          <w:rFonts w:ascii="Arial" w:cs="Arial" w:eastAsia="Arial" w:hAnsi="Arial"/>
          <w:sz w:val="22"/>
          <w:szCs w:val="22"/>
          <w:color w:val="auto"/>
        </w:rPr>
        <w:t>. The Company agrees to employ the Executive, and the Executive agrees to be employed by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the terms and conditions set forth herein. All capitalized terms that are not defined elsewhere in this Agreement have the meanings in Section 27.</w:t>
      </w:r>
    </w:p>
    <w:p>
      <w:pPr>
        <w:spacing w:after="0" w:line="185"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9"/>
          <w:szCs w:val="19"/>
          <w:b w:val="1"/>
          <w:bCs w:val="1"/>
          <w:i w:val="1"/>
          <w:iCs w:val="1"/>
          <w:color w:val="auto"/>
        </w:rPr>
        <w:t>Term of Employment</w:t>
      </w:r>
      <w:r>
        <w:rPr>
          <w:rFonts w:ascii="Arial" w:cs="Arial" w:eastAsia="Arial" w:hAnsi="Arial"/>
          <w:sz w:val="19"/>
          <w:szCs w:val="19"/>
          <w:color w:val="auto"/>
        </w:rPr>
        <w:t>. The term of this Agreement shall commence on September 9, 2014 (the “Commencement Date”),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shall end on the first anniversary of such Commencement Date unless further extended or sooner terminated as hereinafter provided. On such first anniversary and on each subsequent anniversary, the term of the Executive’s employment hereunder shall be extended automatically one (1) additional year, unless at least 90 days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90 days written notice that the term of Executive’s employment hereunder shall not be extended at the end of the then current term, then Executive’s separation at the expiration of the then current term shall be treated as a Separation from Service by Company not for Cause pursuant to paragraph 6(a) of this Agreement. Notwithstanding the foregoing or any other provision in this Agreement, nothing in this paragraph 2 will affect either party’s ability to terminate Executive’s employment during the term of this Agreement by delivery of a Notice of Termination and, in such event, Executive will not be paid for the remainder of the then existing term, and said separation shall be evaluated pursuant to the applicable provisions of paragraph 6.</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jc w:val="both"/>
        <w:ind w:left="660" w:hanging="652"/>
        <w:spacing w:after="0" w:line="29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9"/>
          <w:szCs w:val="19"/>
          <w:b w:val="1"/>
          <w:bCs w:val="1"/>
          <w:i w:val="1"/>
          <w:iCs w:val="1"/>
          <w:color w:val="auto"/>
        </w:rPr>
        <w:t>Position and Duties</w:t>
      </w:r>
      <w:r>
        <w:rPr>
          <w:rFonts w:ascii="Arial" w:cs="Arial" w:eastAsia="Arial" w:hAnsi="Arial"/>
          <w:sz w:val="19"/>
          <w:szCs w:val="19"/>
          <w:color w:val="auto"/>
        </w:rPr>
        <w:t>. The Executive shall serve as the Vice President, Sales and Marketing for the Autocam Precision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Components Group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and/or the Board of Directors of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9" w:name="page50"/>
    <w:bookmarkEnd w:id="49"/>
    <w:p>
      <w:pPr>
        <w:ind w:left="660" w:hanging="652"/>
        <w:spacing w:after="0" w:line="343"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9"/>
          <w:szCs w:val="19"/>
          <w:b w:val="1"/>
          <w:bCs w:val="1"/>
          <w:i w:val="1"/>
          <w:iCs w:val="1"/>
          <w:color w:val="auto"/>
        </w:rPr>
        <w:t>Compensation and Benefits</w:t>
      </w:r>
      <w:r>
        <w:rPr>
          <w:rFonts w:ascii="Arial" w:cs="Arial" w:eastAsia="Arial" w:hAnsi="Arial"/>
          <w:sz w:val="19"/>
          <w:szCs w:val="19"/>
          <w:color w:val="auto"/>
        </w:rPr>
        <w:t>. In consideration of the Executive’s performance of his duties hereunder, the Company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 the Executive with the following compensation and benefits during the term of this Agreement.</w:t>
      </w:r>
    </w:p>
    <w:p>
      <w:pPr>
        <w:spacing w:after="0" w:line="104"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to the Executive an aggregate base salary at a rate of Two Hundred Thirty Five Thousand Dollars ($235,000.00) per annum, payable in accordance with the Company’s normal payroll practices. Such base salary may be changed from time to time in accordance with the normal business practices of the Company.</w:t>
      </w:r>
    </w:p>
    <w:p>
      <w:pPr>
        <w:spacing w:after="0" w:line="18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The Executive shall be given the opportunity to earn an annual incentive bonus for each fiscal year of the Company in accordance with the annual bonus plan and payment policies generally applicable to the Company’s officers, as the same may be in effect from time to time. The Executive’s target annual incentive bonus opportunity shall be no less than 45% of his base salary for such year, but shall be dependent upon the achievement of the applicable performance goals established for such year.</w:t>
      </w:r>
    </w:p>
    <w:p>
      <w:pPr>
        <w:spacing w:after="0" w:line="175" w:lineRule="exact"/>
        <w:rPr>
          <w:rFonts w:ascii="Arial" w:cs="Arial" w:eastAsia="Arial" w:hAnsi="Arial"/>
          <w:sz w:val="17"/>
          <w:szCs w:val="17"/>
          <w:color w:val="auto"/>
        </w:rPr>
      </w:pPr>
    </w:p>
    <w:p>
      <w:pPr>
        <w:jc w:val="both"/>
        <w:ind w:left="1300" w:hanging="644"/>
        <w:spacing w:after="0" w:line="250"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The Executive shall be entitled to participate in all Company employee benefit plans, policies and programs generally applicable to the Company’s officers (including, but not limited to, life, disability, health insurance, vacation or other paid time off, and savings plans and programs), as such plans, policies and programs may continue or be altered by the Company from time to time.</w:t>
      </w:r>
    </w:p>
    <w:p>
      <w:pPr>
        <w:spacing w:after="0" w:line="187" w:lineRule="exact"/>
        <w:rPr>
          <w:rFonts w:ascii="Arial" w:cs="Arial" w:eastAsia="Arial" w:hAnsi="Arial"/>
          <w:sz w:val="18"/>
          <w:szCs w:val="18"/>
          <w:color w:val="auto"/>
        </w:rPr>
      </w:pPr>
    </w:p>
    <w:p>
      <w:pPr>
        <w:ind w:left="660" w:hanging="652"/>
        <w:spacing w:after="0" w:line="287"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21"/>
          <w:szCs w:val="21"/>
          <w:b w:val="1"/>
          <w:bCs w:val="1"/>
          <w:i w:val="1"/>
          <w:iCs w:val="1"/>
          <w:color w:val="auto"/>
        </w:rPr>
        <w:t>Termination</w:t>
      </w:r>
      <w:r>
        <w:rPr>
          <w:rFonts w:ascii="Arial" w:cs="Arial" w:eastAsia="Arial" w:hAnsi="Arial"/>
          <w:sz w:val="21"/>
          <w:szCs w:val="21"/>
          <w:color w:val="auto"/>
        </w:rPr>
        <w:t>. Except for the provisions of Paragraphs 7, 8, 9, 10, and 11, which shall continue in full force and effect, this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 shall terminate upon the first to occur of the following with respect to the Executive:</w:t>
      </w:r>
    </w:p>
    <w:p>
      <w:pPr>
        <w:spacing w:after="0" w:line="151" w:lineRule="exact"/>
        <w:rPr>
          <w:rFonts w:ascii="Arial" w:cs="Arial" w:eastAsia="Arial" w:hAnsi="Arial"/>
          <w:sz w:val="17"/>
          <w:szCs w:val="17"/>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22"/>
          <w:szCs w:val="22"/>
          <w:color w:val="auto"/>
        </w:rPr>
        <w:t>Death;</w:t>
      </w:r>
    </w:p>
    <w:p>
      <w:pPr>
        <w:spacing w:after="0" w:line="219"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22"/>
          <w:szCs w:val="22"/>
          <w:color w:val="auto"/>
        </w:rPr>
        <w:t>Disability;</w:t>
      </w:r>
    </w:p>
    <w:p>
      <w:pPr>
        <w:spacing w:after="0" w:line="219"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22"/>
          <w:szCs w:val="22"/>
          <w:color w:val="auto"/>
        </w:rPr>
        <w:t>Separation from Service.</w:t>
      </w:r>
    </w:p>
    <w:p>
      <w:pPr>
        <w:spacing w:after="0" w:line="219" w:lineRule="exact"/>
        <w:rPr>
          <w:rFonts w:ascii="Arial" w:cs="Arial" w:eastAsia="Arial" w:hAnsi="Arial"/>
          <w:sz w:val="18"/>
          <w:szCs w:val="18"/>
          <w:color w:val="auto"/>
        </w:rPr>
      </w:pPr>
    </w:p>
    <w:p>
      <w:pPr>
        <w:jc w:val="both"/>
        <w:ind w:left="660" w:right="20" w:hanging="652"/>
        <w:spacing w:after="0" w:line="25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22"/>
          <w:szCs w:val="22"/>
          <w:b w:val="1"/>
          <w:bCs w:val="1"/>
          <w:i w:val="1"/>
          <w:iCs w:val="1"/>
          <w:color w:val="auto"/>
        </w:rPr>
        <w:t>Compensation and Benefits in the Event of Separation from Service</w:t>
      </w:r>
      <w:r>
        <w:rPr>
          <w:rFonts w:ascii="Arial" w:cs="Arial" w:eastAsia="Arial" w:hAnsi="Arial"/>
          <w:sz w:val="22"/>
          <w:szCs w:val="22"/>
          <w:color w:val="auto"/>
        </w:rPr>
        <w:t>. In the event of the Executive’s Separation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Service during the term of this Agreement or any renewal thereof, compensation and benefits shall be paid as set forth below.</w:t>
      </w:r>
    </w:p>
    <w:p>
      <w:pPr>
        <w:spacing w:after="0" w:line="18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22"/>
          <w:szCs w:val="22"/>
          <w:u w:val="single" w:color="auto"/>
          <w:color w:val="auto"/>
        </w:rPr>
        <w:t>Qualifying Termination Prior To A Change In Control</w:t>
      </w:r>
      <w:r>
        <w:rPr>
          <w:rFonts w:ascii="Arial" w:cs="Arial" w:eastAsia="Arial" w:hAnsi="Arial"/>
          <w:sz w:val="22"/>
          <w:szCs w:val="22"/>
          <w:color w:val="auto"/>
        </w:rPr>
        <w:t>. If the Executive has a Qualifying Termination after the Commencement Date and prior to a Change in Control, then upon such Qualifying Termination the Executive shall be entitled to receive the following:</w:t>
      </w:r>
    </w:p>
    <w:p>
      <w:pPr>
        <w:spacing w:after="0" w:line="185" w:lineRule="exact"/>
        <w:rPr>
          <w:rFonts w:ascii="Arial" w:cs="Arial" w:eastAsia="Arial" w:hAnsi="Arial"/>
          <w:sz w:val="18"/>
          <w:szCs w:val="18"/>
          <w:color w:val="auto"/>
        </w:rPr>
      </w:pPr>
    </w:p>
    <w:p>
      <w:pPr>
        <w:jc w:val="both"/>
        <w:ind w:left="1960" w:hanging="656"/>
        <w:spacing w:after="0" w:line="253" w:lineRule="auto"/>
        <w:tabs>
          <w:tab w:leader="none" w:pos="1960" w:val="left"/>
        </w:tabs>
        <w:numPr>
          <w:ilvl w:val="2"/>
          <w:numId w:val="34"/>
        </w:numPr>
        <w:rPr>
          <w:rFonts w:ascii="Arial" w:cs="Arial" w:eastAsia="Arial" w:hAnsi="Arial"/>
          <w:sz w:val="18"/>
          <w:szCs w:val="18"/>
          <w:color w:val="auto"/>
        </w:rPr>
      </w:pPr>
      <w:r>
        <w:rPr>
          <w:rFonts w:ascii="Arial" w:cs="Arial" w:eastAsia="Arial" w:hAnsi="Arial"/>
          <w:sz w:val="22"/>
          <w:szCs w:val="22"/>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185" w:lineRule="exact"/>
        <w:rPr>
          <w:rFonts w:ascii="Arial" w:cs="Arial" w:eastAsia="Arial" w:hAnsi="Arial"/>
          <w:sz w:val="18"/>
          <w:szCs w:val="18"/>
          <w:color w:val="auto"/>
        </w:rPr>
      </w:pPr>
    </w:p>
    <w:p>
      <w:pPr>
        <w:jc w:val="both"/>
        <w:ind w:left="1960" w:hanging="656"/>
        <w:spacing w:after="0" w:line="297" w:lineRule="auto"/>
        <w:tabs>
          <w:tab w:leader="none" w:pos="1960" w:val="left"/>
        </w:tabs>
        <w:numPr>
          <w:ilvl w:val="2"/>
          <w:numId w:val="34"/>
        </w:numPr>
        <w:rPr>
          <w:rFonts w:ascii="Arial" w:cs="Arial" w:eastAsia="Arial" w:hAnsi="Arial"/>
          <w:sz w:val="16"/>
          <w:szCs w:val="16"/>
          <w:color w:val="auto"/>
        </w:rPr>
      </w:pPr>
      <w:r>
        <w:rPr>
          <w:rFonts w:ascii="Arial" w:cs="Arial" w:eastAsia="Arial" w:hAnsi="Arial"/>
          <w:sz w:val="19"/>
          <w:szCs w:val="19"/>
          <w:color w:val="auto"/>
        </w:rPr>
        <w:t>If employed twelve (12) years or less, Executive shall be entitled to receive an amount equal to twelve (12) months of his annual base salary in effect on the date of his Separation from Service. For each full year of service Executive has completed over twelve (12) years of service, Executive shall receive an additional amount equal to one month of such annual base salary, up to a maximum additional six (6) months if employed for eighteen (18) years or more. For purposes of this section, the Executive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48" w:right="339" w:bottom="1440" w:gutter="0" w:footer="0" w:header="0"/>
        </w:sectPr>
      </w:pPr>
    </w:p>
    <w:bookmarkStart w:id="50" w:name="page51"/>
    <w:bookmarkEnd w:id="50"/>
    <w:p>
      <w:pPr>
        <w:jc w:val="both"/>
        <w:ind w:left="1304"/>
        <w:spacing w:after="0" w:line="218" w:lineRule="auto"/>
        <w:rPr>
          <w:sz w:val="20"/>
          <w:szCs w:val="20"/>
          <w:color w:val="auto"/>
        </w:rPr>
      </w:pPr>
      <w:r>
        <w:rPr>
          <w:rFonts w:ascii="Arial" w:cs="Arial" w:eastAsia="Arial" w:hAnsi="Arial"/>
          <w:sz w:val="22"/>
          <w:szCs w:val="22"/>
          <w:color w:val="auto"/>
        </w:rPr>
        <w:t>shall be credited with his prior years of service with Autocam Corporation. These amounts shall be payable in accordance with the Company’s regular payroll procedures over the 12 to 18 month period following the Executive’s Separation from Service; the duration of the payout period for this sum shall equal the number of months to be paid, as indicated in this section.</w:t>
      </w:r>
    </w:p>
    <w:p>
      <w:pPr>
        <w:spacing w:after="0" w:line="188" w:lineRule="exact"/>
        <w:rPr>
          <w:sz w:val="20"/>
          <w:szCs w:val="20"/>
          <w:color w:val="auto"/>
        </w:rPr>
      </w:pPr>
    </w:p>
    <w:p>
      <w:pPr>
        <w:ind w:left="1304" w:hanging="656"/>
        <w:spacing w:after="0"/>
        <w:tabs>
          <w:tab w:leader="none" w:pos="1304" w:val="left"/>
        </w:tabs>
        <w:numPr>
          <w:ilvl w:val="0"/>
          <w:numId w:val="35"/>
        </w:numPr>
        <w:rPr>
          <w:rFonts w:ascii="Arial" w:cs="Arial" w:eastAsia="Arial" w:hAnsi="Arial"/>
          <w:sz w:val="18"/>
          <w:szCs w:val="18"/>
          <w:color w:val="auto"/>
        </w:rPr>
      </w:pPr>
      <w:r>
        <w:rPr>
          <w:rFonts w:ascii="Arial" w:cs="Arial" w:eastAsia="Arial" w:hAnsi="Arial"/>
          <w:sz w:val="22"/>
          <w:szCs w:val="22"/>
          <w:color w:val="auto"/>
        </w:rPr>
        <w:t>Any vested rights of Executive in accordance with the Company’s plans, programs or policies.</w:t>
      </w:r>
    </w:p>
    <w:p>
      <w:pPr>
        <w:spacing w:after="0" w:line="219" w:lineRule="exact"/>
        <w:rPr>
          <w:rFonts w:ascii="Arial" w:cs="Arial" w:eastAsia="Arial" w:hAnsi="Arial"/>
          <w:sz w:val="18"/>
          <w:szCs w:val="18"/>
          <w:color w:val="auto"/>
        </w:rPr>
      </w:pPr>
    </w:p>
    <w:p>
      <w:pPr>
        <w:ind w:left="1304" w:hanging="656"/>
        <w:spacing w:after="0" w:line="263"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22"/>
          <w:szCs w:val="22"/>
          <w:color w:val="auto"/>
        </w:rPr>
        <w:t>Prompt reimbursement for any and all reimbursable business expenses (to the extent not already reimbursed) upon Executive’s properly accounting for the same.</w:t>
      </w:r>
    </w:p>
    <w:p>
      <w:pPr>
        <w:spacing w:after="0" w:line="174" w:lineRule="exact"/>
        <w:rPr>
          <w:rFonts w:ascii="Arial" w:cs="Arial" w:eastAsia="Arial" w:hAnsi="Arial"/>
          <w:sz w:val="18"/>
          <w:szCs w:val="18"/>
          <w:color w:val="auto"/>
        </w:rPr>
      </w:pPr>
    </w:p>
    <w:p>
      <w:pPr>
        <w:ind w:left="1304" w:hanging="656"/>
        <w:spacing w:after="0" w:line="263"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22"/>
          <w:szCs w:val="22"/>
          <w:color w:val="auto"/>
        </w:rPr>
        <w:t>Twelve Thousand Dollars ($12,000), payable in a single lump sum to assist with the Executive’s transition from employment</w:t>
      </w:r>
      <w:r>
        <w:rPr>
          <w:rFonts w:ascii="Arial" w:cs="Arial" w:eastAsia="Arial" w:hAnsi="Arial"/>
          <w:sz w:val="22"/>
          <w:szCs w:val="22"/>
          <w:color w:val="FF0000"/>
        </w:rPr>
        <w:t>.</w:t>
      </w:r>
    </w:p>
    <w:p>
      <w:pPr>
        <w:spacing w:after="0" w:line="175" w:lineRule="exact"/>
        <w:rPr>
          <w:sz w:val="20"/>
          <w:szCs w:val="20"/>
          <w:color w:val="auto"/>
        </w:rPr>
      </w:pPr>
    </w:p>
    <w:p>
      <w:pPr>
        <w:jc w:val="both"/>
        <w:ind w:left="644"/>
        <w:spacing w:after="0" w:line="259" w:lineRule="auto"/>
        <w:rPr>
          <w:sz w:val="20"/>
          <w:szCs w:val="20"/>
          <w:color w:val="auto"/>
        </w:rPr>
      </w:pPr>
      <w:r>
        <w:rPr>
          <w:rFonts w:ascii="Arial" w:cs="Arial" w:eastAsia="Arial" w:hAnsi="Arial"/>
          <w:sz w:val="21"/>
          <w:szCs w:val="21"/>
          <w:color w:val="auto"/>
        </w:rPr>
        <w:t>Payments under (ii) and (v)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183" w:lineRule="exact"/>
        <w:rPr>
          <w:sz w:val="20"/>
          <w:szCs w:val="20"/>
          <w:color w:val="auto"/>
        </w:rPr>
      </w:pPr>
    </w:p>
    <w:p>
      <w:pPr>
        <w:jc w:val="both"/>
        <w:ind w:left="644"/>
        <w:spacing w:after="0" w:line="297" w:lineRule="auto"/>
        <w:rPr>
          <w:sz w:val="20"/>
          <w:szCs w:val="20"/>
          <w:color w:val="auto"/>
        </w:rPr>
      </w:pPr>
      <w:r>
        <w:rPr>
          <w:rFonts w:ascii="Arial" w:cs="Arial" w:eastAsia="Arial" w:hAnsi="Arial"/>
          <w:sz w:val="19"/>
          <w:szCs w:val="19"/>
          <w:color w:val="auto"/>
        </w:rPr>
        <w:t xml:space="preserve">Notwithstanding the foregoing, if the Executive incurs a Qualifying Termination within 18 months following the effective closing time of that certain Agreement and Plan of Merger, dated as of July 21, 2014, by and among NN, Inc., Autocam Corporation and certain other parties, then the Executive’s severance under (a)(ii) above shall be paid as a lump sum payment equal to an amount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to this Agreement (the “Severance Payment”). The Severance Payment shall be made by wire transfer or immediately available funds to an account designated by Executive following the date of the Separation from Service.</w:t>
      </w:r>
    </w:p>
    <w:p>
      <w:pPr>
        <w:spacing w:after="0" w:line="146" w:lineRule="exact"/>
        <w:rPr>
          <w:sz w:val="20"/>
          <w:szCs w:val="20"/>
          <w:color w:val="auto"/>
        </w:rPr>
      </w:pPr>
    </w:p>
    <w:p>
      <w:pPr>
        <w:jc w:val="both"/>
        <w:ind w:left="644" w:hanging="644"/>
        <w:spacing w:after="0" w:line="265" w:lineRule="auto"/>
        <w:tabs>
          <w:tab w:leader="none" w:pos="644" w:val="left"/>
        </w:tabs>
        <w:numPr>
          <w:ilvl w:val="0"/>
          <w:numId w:val="36"/>
        </w:numPr>
        <w:rPr>
          <w:rFonts w:ascii="Arial" w:cs="Arial" w:eastAsia="Arial" w:hAnsi="Arial"/>
          <w:sz w:val="17"/>
          <w:szCs w:val="17"/>
          <w:color w:val="auto"/>
        </w:rPr>
      </w:pPr>
      <w:r>
        <w:rPr>
          <w:rFonts w:ascii="Arial" w:cs="Arial" w:eastAsia="Arial" w:hAnsi="Arial"/>
          <w:sz w:val="21"/>
          <w:szCs w:val="21"/>
          <w:u w:val="single" w:color="auto"/>
          <w:color w:val="auto"/>
        </w:rPr>
        <w:t>Termination By The Company For Cause Or By The Executive Without Good Reason</w:t>
      </w:r>
      <w:r>
        <w:rPr>
          <w:rFonts w:ascii="Arial" w:cs="Arial" w:eastAsia="Arial" w:hAnsi="Arial"/>
          <w:sz w:val="21"/>
          <w:szCs w:val="21"/>
          <w:color w:val="auto"/>
        </w:rPr>
        <w:t>.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175" w:lineRule="exact"/>
        <w:rPr>
          <w:rFonts w:ascii="Arial" w:cs="Arial" w:eastAsia="Arial" w:hAnsi="Arial"/>
          <w:sz w:val="17"/>
          <w:szCs w:val="17"/>
          <w:color w:val="auto"/>
        </w:rPr>
      </w:pPr>
    </w:p>
    <w:p>
      <w:pPr>
        <w:jc w:val="both"/>
        <w:ind w:left="1304" w:hanging="656"/>
        <w:spacing w:after="0" w:line="253"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22"/>
          <w:szCs w:val="22"/>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185" w:lineRule="exact"/>
        <w:rPr>
          <w:rFonts w:ascii="Arial" w:cs="Arial" w:eastAsia="Arial" w:hAnsi="Arial"/>
          <w:sz w:val="18"/>
          <w:szCs w:val="18"/>
          <w:color w:val="auto"/>
        </w:rPr>
      </w:pPr>
    </w:p>
    <w:p>
      <w:pPr>
        <w:ind w:left="1304" w:hanging="656"/>
        <w:spacing w:after="0"/>
        <w:tabs>
          <w:tab w:leader="none" w:pos="1304" w:val="left"/>
        </w:tabs>
        <w:numPr>
          <w:ilvl w:val="1"/>
          <w:numId w:val="36"/>
        </w:numPr>
        <w:rPr>
          <w:rFonts w:ascii="Arial" w:cs="Arial" w:eastAsia="Arial" w:hAnsi="Arial"/>
          <w:sz w:val="18"/>
          <w:szCs w:val="18"/>
          <w:color w:val="auto"/>
        </w:rPr>
      </w:pPr>
      <w:r>
        <w:rPr>
          <w:rFonts w:ascii="Arial" w:cs="Arial" w:eastAsia="Arial" w:hAnsi="Arial"/>
          <w:sz w:val="22"/>
          <w:szCs w:val="22"/>
          <w:color w:val="auto"/>
        </w:rPr>
        <w:t>Any vested rights of Executive in accordance with the Company’s plans, programs or policies.</w:t>
      </w:r>
    </w:p>
    <w:p>
      <w:pPr>
        <w:spacing w:after="0" w:line="219" w:lineRule="exact"/>
        <w:rPr>
          <w:rFonts w:ascii="Arial" w:cs="Arial" w:eastAsia="Arial" w:hAnsi="Arial"/>
          <w:sz w:val="18"/>
          <w:szCs w:val="18"/>
          <w:color w:val="auto"/>
        </w:rPr>
      </w:pPr>
    </w:p>
    <w:p>
      <w:pPr>
        <w:ind w:left="1304" w:hanging="656"/>
        <w:spacing w:after="0" w:line="263"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22"/>
          <w:szCs w:val="22"/>
          <w:color w:val="auto"/>
        </w:rPr>
        <w:t>Prompt reimbursement for any and all reimbursable business expenses (to the extent not already reimbursed) upon Executive’s properly accounting for the same.</w:t>
      </w:r>
    </w:p>
    <w:p>
      <w:pPr>
        <w:spacing w:after="0" w:line="38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321" w:right="339" w:bottom="1440" w:gutter="0" w:footer="0" w:header="0"/>
        </w:sectPr>
      </w:pPr>
    </w:p>
    <w:bookmarkStart w:id="51" w:name="page52"/>
    <w:bookmarkEnd w:id="51"/>
    <w:p>
      <w:pPr>
        <w:ind w:left="644" w:hanging="644"/>
        <w:spacing w:after="0"/>
        <w:tabs>
          <w:tab w:leader="none" w:pos="644" w:val="left"/>
        </w:tabs>
        <w:numPr>
          <w:ilvl w:val="0"/>
          <w:numId w:val="37"/>
        </w:numPr>
        <w:rPr>
          <w:rFonts w:ascii="Arial" w:cs="Arial" w:eastAsia="Arial" w:hAnsi="Arial"/>
          <w:sz w:val="18"/>
          <w:szCs w:val="18"/>
          <w:color w:val="auto"/>
        </w:rPr>
      </w:pPr>
      <w:r>
        <w:rPr>
          <w:rFonts w:ascii="Arial" w:cs="Arial" w:eastAsia="Arial" w:hAnsi="Arial"/>
          <w:sz w:val="22"/>
          <w:szCs w:val="22"/>
          <w:u w:val="single" w:color="auto"/>
          <w:color w:val="auto"/>
        </w:rPr>
        <w:t>Qualifying Termination Following a Change in Control</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ind w:left="1304" w:hanging="656"/>
        <w:spacing w:after="0" w:line="263"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22"/>
          <w:szCs w:val="22"/>
          <w:color w:val="auto"/>
        </w:rPr>
        <w:t>In the event that Executive has a Qualifying Termination within 24 months following a Change in Control, Executive shall receive the following, subject to paragraph 6(c)(ii):</w:t>
      </w:r>
    </w:p>
    <w:p>
      <w:pPr>
        <w:spacing w:after="0" w:line="174" w:lineRule="exact"/>
        <w:rPr>
          <w:rFonts w:ascii="Arial" w:cs="Arial" w:eastAsia="Arial" w:hAnsi="Arial"/>
          <w:sz w:val="18"/>
          <w:szCs w:val="18"/>
          <w:color w:val="auto"/>
        </w:rPr>
      </w:pPr>
    </w:p>
    <w:p>
      <w:pPr>
        <w:ind w:left="1944" w:hanging="648"/>
        <w:spacing w:after="0"/>
        <w:tabs>
          <w:tab w:leader="none" w:pos="1944" w:val="left"/>
        </w:tabs>
        <w:numPr>
          <w:ilvl w:val="2"/>
          <w:numId w:val="37"/>
        </w:numPr>
        <w:rPr>
          <w:rFonts w:ascii="Arial" w:cs="Arial" w:eastAsia="Arial" w:hAnsi="Arial"/>
          <w:sz w:val="18"/>
          <w:szCs w:val="18"/>
          <w:color w:val="auto"/>
        </w:rPr>
      </w:pPr>
      <w:r>
        <w:rPr>
          <w:rFonts w:ascii="Arial" w:cs="Arial" w:eastAsia="Arial" w:hAnsi="Arial"/>
          <w:sz w:val="22"/>
          <w:szCs w:val="22"/>
          <w:color w:val="auto"/>
        </w:rPr>
        <w:t>The annual salary due to the Executive through the date of his Separation from Service.</w:t>
      </w:r>
    </w:p>
    <w:p>
      <w:pPr>
        <w:spacing w:after="0" w:line="219" w:lineRule="exact"/>
        <w:rPr>
          <w:rFonts w:ascii="Arial" w:cs="Arial" w:eastAsia="Arial" w:hAnsi="Arial"/>
          <w:sz w:val="18"/>
          <w:szCs w:val="18"/>
          <w:color w:val="auto"/>
        </w:rPr>
      </w:pPr>
    </w:p>
    <w:p>
      <w:pPr>
        <w:jc w:val="both"/>
        <w:ind w:left="1944" w:hanging="648"/>
        <w:spacing w:after="0" w:line="250" w:lineRule="auto"/>
        <w:tabs>
          <w:tab w:leader="none" w:pos="1944" w:val="left"/>
        </w:tabs>
        <w:numPr>
          <w:ilvl w:val="2"/>
          <w:numId w:val="37"/>
        </w:numPr>
        <w:rPr>
          <w:rFonts w:ascii="Arial" w:cs="Arial" w:eastAsia="Arial" w:hAnsi="Arial"/>
          <w:sz w:val="18"/>
          <w:szCs w:val="18"/>
          <w:color w:val="auto"/>
        </w:rPr>
      </w:pPr>
      <w:r>
        <w:rPr>
          <w:rFonts w:ascii="Arial" w:cs="Arial" w:eastAsia="Arial" w:hAnsi="Arial"/>
          <w:sz w:val="22"/>
          <w:szCs w:val="22"/>
          <w:color w:val="auto"/>
        </w:rPr>
        <w:t xml:space="preserve">A lump sum payment equal to an amount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 this Agreement (the “Severance Payment”). The Severance Payment shall be made by wire transfer or immediately available funds to an account designated by Executive following the date of the Separation from Service.</w:t>
      </w:r>
    </w:p>
    <w:p>
      <w:pPr>
        <w:spacing w:after="0" w:line="187" w:lineRule="exact"/>
        <w:rPr>
          <w:rFonts w:ascii="Arial" w:cs="Arial" w:eastAsia="Arial" w:hAnsi="Arial"/>
          <w:sz w:val="18"/>
          <w:szCs w:val="18"/>
          <w:color w:val="auto"/>
        </w:rPr>
      </w:pPr>
    </w:p>
    <w:p>
      <w:pPr>
        <w:jc w:val="both"/>
        <w:ind w:left="1944" w:hanging="648"/>
        <w:spacing w:after="0" w:line="271" w:lineRule="auto"/>
        <w:tabs>
          <w:tab w:leader="none" w:pos="1944" w:val="left"/>
        </w:tabs>
        <w:numPr>
          <w:ilvl w:val="2"/>
          <w:numId w:val="37"/>
        </w:numPr>
        <w:rPr>
          <w:rFonts w:ascii="Arial" w:cs="Arial" w:eastAsia="Arial" w:hAnsi="Arial"/>
          <w:sz w:val="17"/>
          <w:szCs w:val="17"/>
          <w:color w:val="auto"/>
        </w:rPr>
      </w:pPr>
      <w:r>
        <w:rPr>
          <w:rFonts w:ascii="Arial" w:cs="Arial" w:eastAsia="Arial" w:hAnsi="Arial"/>
          <w:sz w:val="21"/>
          <w:szCs w:val="21"/>
          <w:color w:val="auto"/>
        </w:rPr>
        <w:t>A payment equal to the target annual bonus to which Executive would have been entitled but for Executive’s Separation from Service, for the year of Executive’s termination; pro-rated for the portion of the year during which he was employed by the Company (“Pro-rated Bonus”).</w:t>
      </w:r>
    </w:p>
    <w:p>
      <w:pPr>
        <w:spacing w:after="0" w:line="167" w:lineRule="exact"/>
        <w:rPr>
          <w:rFonts w:ascii="Arial" w:cs="Arial" w:eastAsia="Arial" w:hAnsi="Arial"/>
          <w:sz w:val="17"/>
          <w:szCs w:val="17"/>
          <w:color w:val="auto"/>
        </w:rPr>
      </w:pPr>
    </w:p>
    <w:p>
      <w:pPr>
        <w:ind w:left="1944" w:hanging="648"/>
        <w:spacing w:after="0"/>
        <w:tabs>
          <w:tab w:leader="none" w:pos="1944" w:val="left"/>
        </w:tabs>
        <w:numPr>
          <w:ilvl w:val="2"/>
          <w:numId w:val="37"/>
        </w:numPr>
        <w:rPr>
          <w:rFonts w:ascii="Arial" w:cs="Arial" w:eastAsia="Arial" w:hAnsi="Arial"/>
          <w:sz w:val="16"/>
          <w:szCs w:val="16"/>
          <w:color w:val="auto"/>
        </w:rPr>
      </w:pPr>
      <w:r>
        <w:rPr>
          <w:rFonts w:ascii="Arial" w:cs="Arial" w:eastAsia="Arial" w:hAnsi="Arial"/>
          <w:sz w:val="19"/>
          <w:szCs w:val="19"/>
          <w:color w:val="auto"/>
        </w:rPr>
        <w:t>Any vested rights of Executive in accordance with the Company’s plans, programs or policies.</w:t>
      </w:r>
    </w:p>
    <w:p>
      <w:pPr>
        <w:spacing w:after="0" w:line="254" w:lineRule="exact"/>
        <w:rPr>
          <w:rFonts w:ascii="Arial" w:cs="Arial" w:eastAsia="Arial" w:hAnsi="Arial"/>
          <w:sz w:val="16"/>
          <w:szCs w:val="16"/>
          <w:color w:val="auto"/>
        </w:rPr>
      </w:pPr>
    </w:p>
    <w:p>
      <w:pPr>
        <w:ind w:left="1944" w:hanging="648"/>
        <w:spacing w:after="0" w:line="263" w:lineRule="auto"/>
        <w:tabs>
          <w:tab w:leader="none" w:pos="1944" w:val="left"/>
        </w:tabs>
        <w:numPr>
          <w:ilvl w:val="2"/>
          <w:numId w:val="37"/>
        </w:numPr>
        <w:rPr>
          <w:rFonts w:ascii="Arial" w:cs="Arial" w:eastAsia="Arial" w:hAnsi="Arial"/>
          <w:sz w:val="18"/>
          <w:szCs w:val="18"/>
          <w:color w:val="auto"/>
        </w:rPr>
      </w:pPr>
      <w:r>
        <w:rPr>
          <w:rFonts w:ascii="Arial" w:cs="Arial" w:eastAsia="Arial" w:hAnsi="Arial"/>
          <w:sz w:val="22"/>
          <w:szCs w:val="22"/>
          <w:color w:val="auto"/>
        </w:rPr>
        <w:t>Prompt reimbursement for any and all reimbursable business expenses (to the extent not already reimbursed) upon Executive’s properly accounting for the same.</w:t>
      </w:r>
    </w:p>
    <w:p>
      <w:pPr>
        <w:spacing w:after="0" w:line="174" w:lineRule="exact"/>
        <w:rPr>
          <w:rFonts w:ascii="Arial" w:cs="Arial" w:eastAsia="Arial" w:hAnsi="Arial"/>
          <w:sz w:val="18"/>
          <w:szCs w:val="18"/>
          <w:color w:val="auto"/>
        </w:rPr>
      </w:pPr>
    </w:p>
    <w:p>
      <w:pPr>
        <w:ind w:left="1944" w:hanging="648"/>
        <w:spacing w:after="0" w:line="263" w:lineRule="auto"/>
        <w:tabs>
          <w:tab w:leader="none" w:pos="1944" w:val="left"/>
        </w:tabs>
        <w:numPr>
          <w:ilvl w:val="2"/>
          <w:numId w:val="37"/>
        </w:numPr>
        <w:rPr>
          <w:rFonts w:ascii="Arial" w:cs="Arial" w:eastAsia="Arial" w:hAnsi="Arial"/>
          <w:sz w:val="18"/>
          <w:szCs w:val="18"/>
          <w:color w:val="auto"/>
        </w:rPr>
      </w:pPr>
      <w:r>
        <w:rPr>
          <w:rFonts w:ascii="Arial" w:cs="Arial" w:eastAsia="Arial" w:hAnsi="Arial"/>
          <w:sz w:val="22"/>
          <w:szCs w:val="22"/>
          <w:color w:val="auto"/>
        </w:rPr>
        <w:t>Twelve Thousand Dollars ($12,000), payable in a single lump sum to assist with the Executive’s transition from employment.</w:t>
      </w:r>
    </w:p>
    <w:p>
      <w:pPr>
        <w:spacing w:after="0" w:line="175" w:lineRule="exact"/>
        <w:rPr>
          <w:sz w:val="20"/>
          <w:szCs w:val="20"/>
          <w:color w:val="auto"/>
        </w:rPr>
      </w:pPr>
    </w:p>
    <w:p>
      <w:pPr>
        <w:jc w:val="both"/>
        <w:ind w:left="1304"/>
        <w:spacing w:after="0" w:line="290" w:lineRule="auto"/>
        <w:rPr>
          <w:sz w:val="20"/>
          <w:szCs w:val="20"/>
          <w:color w:val="auto"/>
        </w:rPr>
      </w:pPr>
      <w:r>
        <w:rPr>
          <w:rFonts w:ascii="Arial" w:cs="Arial" w:eastAsia="Arial" w:hAnsi="Arial"/>
          <w:sz w:val="19"/>
          <w:szCs w:val="19"/>
          <w:color w:val="auto"/>
        </w:rPr>
        <w:t>Payments under (2), (3) and (6)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156" w:lineRule="exact"/>
        <w:rPr>
          <w:sz w:val="20"/>
          <w:szCs w:val="20"/>
          <w:color w:val="auto"/>
        </w:rPr>
      </w:pPr>
    </w:p>
    <w:p>
      <w:pPr>
        <w:ind w:left="1304" w:hanging="656"/>
        <w:spacing w:after="0"/>
        <w:tabs>
          <w:tab w:leader="none" w:pos="1304" w:val="left"/>
        </w:tabs>
        <w:numPr>
          <w:ilvl w:val="0"/>
          <w:numId w:val="38"/>
        </w:numPr>
        <w:rPr>
          <w:rFonts w:ascii="Arial" w:cs="Arial" w:eastAsia="Arial" w:hAnsi="Arial"/>
          <w:sz w:val="18"/>
          <w:szCs w:val="18"/>
          <w:color w:val="auto"/>
        </w:rPr>
      </w:pPr>
      <w:r>
        <w:rPr>
          <w:rFonts w:ascii="Arial" w:cs="Arial" w:eastAsia="Arial" w:hAnsi="Arial"/>
          <w:sz w:val="22"/>
          <w:szCs w:val="22"/>
          <w:color w:val="auto"/>
        </w:rPr>
        <w:t>Excise Tax.</w:t>
      </w:r>
    </w:p>
    <w:p>
      <w:pPr>
        <w:spacing w:after="0" w:line="219" w:lineRule="exact"/>
        <w:rPr>
          <w:rFonts w:ascii="Arial" w:cs="Arial" w:eastAsia="Arial" w:hAnsi="Arial"/>
          <w:sz w:val="18"/>
          <w:szCs w:val="18"/>
          <w:color w:val="auto"/>
        </w:rPr>
      </w:pPr>
    </w:p>
    <w:p>
      <w:pPr>
        <w:jc w:val="both"/>
        <w:ind w:left="1944" w:hanging="648"/>
        <w:spacing w:after="0" w:line="246" w:lineRule="auto"/>
        <w:tabs>
          <w:tab w:leader="none" w:pos="1944" w:val="left"/>
        </w:tabs>
        <w:numPr>
          <w:ilvl w:val="1"/>
          <w:numId w:val="38"/>
        </w:numPr>
        <w:rPr>
          <w:rFonts w:ascii="Arial" w:cs="Arial" w:eastAsia="Arial" w:hAnsi="Arial"/>
          <w:sz w:val="18"/>
          <w:szCs w:val="18"/>
          <w:color w:val="auto"/>
        </w:rPr>
      </w:pPr>
      <w:r>
        <w:rPr>
          <w:rFonts w:ascii="Arial" w:cs="Arial" w:eastAsia="Arial" w:hAnsi="Arial"/>
          <w:sz w:val="22"/>
          <w:szCs w:val="22"/>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“Change in Control Payment”),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348" w:right="339" w:bottom="1440" w:gutter="0" w:footer="0" w:header="0"/>
        </w:sectPr>
      </w:pPr>
    </w:p>
    <w:bookmarkStart w:id="52" w:name="page53"/>
    <w:bookmarkEnd w:id="52"/>
    <w:p>
      <w:pPr>
        <w:jc w:val="both"/>
        <w:ind w:left="2600"/>
        <w:spacing w:after="0" w:line="216" w:lineRule="auto"/>
        <w:rPr>
          <w:sz w:val="20"/>
          <w:szCs w:val="20"/>
          <w:color w:val="auto"/>
        </w:rPr>
      </w:pPr>
      <w:r>
        <w:rPr>
          <w:rFonts w:ascii="Arial" w:cs="Arial" w:eastAsia="Arial" w:hAnsi="Arial"/>
          <w:sz w:val="22"/>
          <w:szCs w:val="22"/>
          <w:color w:val="auto"/>
        </w:rPr>
        <w:t>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6(c)(i)(1) of this Agreement and then, to the extent necessary, paragraph 6(c)(i)(2) of this Agreement.</w:t>
      </w:r>
    </w:p>
    <w:p>
      <w:pPr>
        <w:spacing w:after="0" w:line="185" w:lineRule="exact"/>
        <w:rPr>
          <w:sz w:val="20"/>
          <w:szCs w:val="20"/>
          <w:color w:val="auto"/>
        </w:rPr>
      </w:pPr>
    </w:p>
    <w:p>
      <w:pPr>
        <w:jc w:val="both"/>
        <w:ind w:left="2600" w:hanging="648"/>
        <w:spacing w:after="0" w:line="260" w:lineRule="auto"/>
        <w:tabs>
          <w:tab w:leader="none" w:pos="2600" w:val="left"/>
        </w:tabs>
        <w:numPr>
          <w:ilvl w:val="2"/>
          <w:numId w:val="39"/>
        </w:numPr>
        <w:rPr>
          <w:rFonts w:ascii="Arial" w:cs="Arial" w:eastAsia="Arial" w:hAnsi="Arial"/>
          <w:sz w:val="17"/>
          <w:szCs w:val="17"/>
          <w:color w:val="auto"/>
        </w:rPr>
      </w:pPr>
      <w:r>
        <w:rPr>
          <w:rFonts w:ascii="Arial" w:cs="Arial" w:eastAsia="Arial" w:hAnsi="Arial"/>
          <w:sz w:val="21"/>
          <w:szCs w:val="21"/>
          <w:color w:val="auto"/>
        </w:rPr>
        <w:t>All determinations to be made under this paragraph 6(c)(ii) shall be made by an independent public accounting firm selected by the Company immediately prior to the Change in Control (the “Accounting Firm”),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6(c)(iii) shall be borne solely by the Company.</w:t>
      </w:r>
    </w:p>
    <w:p>
      <w:pPr>
        <w:spacing w:after="0" w:line="180" w:lineRule="exact"/>
        <w:rPr>
          <w:rFonts w:ascii="Arial" w:cs="Arial" w:eastAsia="Arial" w:hAnsi="Arial"/>
          <w:sz w:val="17"/>
          <w:szCs w:val="17"/>
          <w:color w:val="auto"/>
        </w:rPr>
      </w:pPr>
    </w:p>
    <w:p>
      <w:pPr>
        <w:jc w:val="both"/>
        <w:ind w:left="1300" w:hanging="644"/>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22"/>
          <w:szCs w:val="22"/>
          <w:u w:val="single" w:color="auto"/>
          <w:color w:val="auto"/>
        </w:rPr>
        <w:t>Continuation of Benefits</w:t>
      </w:r>
      <w:r>
        <w:rPr>
          <w:rFonts w:ascii="Arial" w:cs="Arial" w:eastAsia="Arial" w:hAnsi="Arial"/>
          <w:sz w:val="22"/>
          <w:szCs w:val="22"/>
          <w:color w:val="auto"/>
        </w:rPr>
        <w:t>.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187"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22"/>
          <w:szCs w:val="22"/>
          <w:u w:val="single" w:color="auto"/>
          <w:color w:val="auto"/>
        </w:rPr>
        <w:t>Non-Duplication of Benefits</w:t>
      </w:r>
      <w:r>
        <w:rPr>
          <w:rFonts w:ascii="Arial" w:cs="Arial" w:eastAsia="Arial" w:hAnsi="Arial"/>
          <w:sz w:val="22"/>
          <w:szCs w:val="22"/>
          <w:color w:val="auto"/>
        </w:rPr>
        <w:t>. Notwithstanding any provision in this Agreement to the contrary, if the Executive is entitled to any benefits from the Company under any other plan or agreement that are similar to the benefits described in this paragraph 6, the benefits described in this paragraph 6 shall be reduced to avoid duplication of benefits.</w:t>
      </w:r>
    </w:p>
    <w:p>
      <w:pPr>
        <w:spacing w:after="0" w:line="18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21"/>
          <w:szCs w:val="21"/>
          <w:u w:val="single" w:color="auto"/>
          <w:color w:val="auto"/>
        </w:rPr>
        <w:t>Limit on Company Liability</w:t>
      </w:r>
      <w:r>
        <w:rPr>
          <w:rFonts w:ascii="Arial" w:cs="Arial" w:eastAsia="Arial" w:hAnsi="Arial"/>
          <w:sz w:val="21"/>
          <w:szCs w:val="21"/>
          <w:color w:val="auto"/>
        </w:rPr>
        <w:t>. Except as expressly set forth in this paragraph 6,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or make any further contribution for Executive’s benefit except as provided in this paragraph 6.</w:t>
      </w:r>
    </w:p>
    <w:p>
      <w:pPr>
        <w:spacing w:after="0" w:line="175"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9"/>
          <w:szCs w:val="19"/>
          <w:b w:val="1"/>
          <w:bCs w:val="1"/>
          <w:i w:val="1"/>
          <w:iCs w:val="1"/>
          <w:color w:val="auto"/>
        </w:rPr>
        <w:t>Disclosure of Confidential Information</w:t>
      </w:r>
      <w:r>
        <w:rPr>
          <w:rFonts w:ascii="Arial" w:cs="Arial" w:eastAsia="Arial" w:hAnsi="Arial"/>
          <w:sz w:val="19"/>
          <w:szCs w:val="19"/>
          <w:color w:val="auto"/>
        </w:rPr>
        <w:t>. The Company has developed confidential information, strategies and programs,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21" w:right="339" w:bottom="1440" w:gutter="0" w:footer="0" w:header="0"/>
        </w:sectPr>
      </w:pPr>
    </w:p>
    <w:bookmarkStart w:id="53" w:name="page54"/>
    <w:bookmarkEnd w:id="53"/>
    <w:p>
      <w:pPr>
        <w:jc w:val="both"/>
        <w:ind w:left="660"/>
        <w:spacing w:after="0" w:line="257" w:lineRule="auto"/>
        <w:rPr>
          <w:sz w:val="20"/>
          <w:szCs w:val="20"/>
          <w:color w:val="auto"/>
        </w:rPr>
      </w:pPr>
      <w:r>
        <w:rPr>
          <w:rFonts w:ascii="Arial" w:cs="Arial" w:eastAsia="Arial" w:hAnsi="Arial"/>
          <w:sz w:val="19"/>
          <w:szCs w:val="19"/>
          <w:color w:val="auto"/>
        </w:rPr>
        <w:t>Company, its affiliates, and/or its subsidiaries unless specifically directed by the Company to do so in writing. Executive agrees that whenever Executive’s employment with the Company ends for any reason, all documents containing or referring to Confidential Information of the Company, its affiliates, and/or its subsidiaries may be in Executive’s possession or control will be delivered by Executive to the Company immediately, with no request being required.</w:t>
      </w:r>
    </w:p>
    <w:p>
      <w:pPr>
        <w:spacing w:after="0" w:line="171" w:lineRule="exact"/>
        <w:rPr>
          <w:sz w:val="20"/>
          <w:szCs w:val="20"/>
          <w:color w:val="auto"/>
        </w:rPr>
      </w:pPr>
    </w:p>
    <w:p>
      <w:pPr>
        <w:jc w:val="both"/>
        <w:ind w:left="660" w:hanging="652"/>
        <w:spacing w:after="0" w:line="24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22"/>
          <w:szCs w:val="22"/>
          <w:b w:val="1"/>
          <w:bCs w:val="1"/>
          <w:i w:val="1"/>
          <w:iCs w:val="1"/>
          <w:color w:val="auto"/>
        </w:rPr>
        <w:t>Non-Interference with Personnel Relations</w:t>
      </w:r>
      <w:r>
        <w:rPr>
          <w:rFonts w:ascii="Arial" w:cs="Arial" w:eastAsia="Arial" w:hAnsi="Arial"/>
          <w:sz w:val="22"/>
          <w:szCs w:val="22"/>
          <w:color w:val="auto"/>
        </w:rPr>
        <w:t>. While Executive is employed by the Company and for the Restrictive Period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after such employment ends for any reason, Executive acting either directly or indirectly, or through any other person, firm, or corporation, will not hire, contract with or employ any employee of the Company, and/or any employee of an affiliate or subsidiary of the Company with which Executive interacted or about which Executive gained Confidential Information during his employment with Company (“Restricted Employees”). Further, Executive will not induce or attempt to induce or influence any of the Restricted Employees to terminate employment with the Company, affiliate, and/or subsidiary. However, this provision shall not apply to Executive in the case of the solicitation of his immediate family members.</w:t>
      </w:r>
    </w:p>
    <w:p>
      <w:pPr>
        <w:spacing w:after="0" w:line="19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9"/>
          <w:szCs w:val="19"/>
          <w:b w:val="1"/>
          <w:bCs w:val="1"/>
          <w:i w:val="1"/>
          <w:iCs w:val="1"/>
          <w:color w:val="auto"/>
        </w:rPr>
        <w:t>Non-Competition</w:t>
      </w:r>
      <w:r>
        <w:rPr>
          <w:rFonts w:ascii="Arial" w:cs="Arial" w:eastAsia="Arial" w:hAnsi="Arial"/>
          <w:sz w:val="19"/>
          <w:szCs w:val="19"/>
          <w:color w:val="auto"/>
        </w:rPr>
        <w:t>. While Executive is employed by the Company and for the Restrictive Period after such employment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ends, Executive 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(whether actual or potential),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jc w:val="both"/>
        <w:ind w:left="660" w:hanging="652"/>
        <w:spacing w:after="0" w:line="31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9"/>
          <w:szCs w:val="19"/>
          <w:b w:val="1"/>
          <w:bCs w:val="1"/>
          <w:i w:val="1"/>
          <w:iCs w:val="1"/>
          <w:color w:val="auto"/>
        </w:rPr>
        <w:t>Notification to Subsequent Employers</w:t>
      </w:r>
      <w:r>
        <w:rPr>
          <w:rFonts w:ascii="Arial" w:cs="Arial" w:eastAsia="Arial" w:hAnsi="Arial"/>
          <w:sz w:val="19"/>
          <w:szCs w:val="19"/>
          <w:color w:val="auto"/>
        </w:rPr>
        <w:t>. Executive grants the Company the right to notify any future employer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prospective employer of Executive concerning the existence of and terms of this Agreement and grants the Company the right to provide a copy of this Agreement to any such subsequent employer or prospective employer.</w:t>
      </w:r>
    </w:p>
    <w:p>
      <w:pPr>
        <w:spacing w:after="0" w:line="133"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22"/>
          <w:szCs w:val="22"/>
          <w:b w:val="1"/>
          <w:bCs w:val="1"/>
          <w:i w:val="1"/>
          <w:iCs w:val="1"/>
          <w:color w:val="auto"/>
        </w:rPr>
        <w:t>Company Proprietary Rights</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left="1300" w:hanging="644"/>
        <w:spacing w:after="0" w:line="246"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22"/>
          <w:szCs w:val="22"/>
          <w:u w:val="single" w:color="auto"/>
          <w:color w:val="auto"/>
        </w:rPr>
        <w:t>Company to Retain Rights</w:t>
      </w:r>
      <w:r>
        <w:rPr>
          <w:rFonts w:ascii="Arial" w:cs="Arial" w:eastAsia="Arial" w:hAnsi="Arial"/>
          <w:sz w:val="22"/>
          <w:szCs w:val="22"/>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Executive shall have no interest therein.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21" w:right="339" w:bottom="1440" w:gutter="0" w:footer="0" w:header="0"/>
        </w:sectPr>
      </w:pPr>
    </w:p>
    <w:bookmarkStart w:id="54" w:name="page55"/>
    <w:bookmarkEnd w:id="54"/>
    <w:p>
      <w:pPr>
        <w:jc w:val="both"/>
        <w:ind w:left="1300" w:hanging="644"/>
        <w:spacing w:after="0" w:line="248"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9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22"/>
          <w:szCs w:val="22"/>
          <w:u w:val="single" w:color="auto"/>
          <w:color w:val="auto"/>
        </w:rPr>
        <w:t>Return of Material</w:t>
      </w:r>
      <w:r>
        <w:rPr>
          <w:rFonts w:ascii="Arial" w:cs="Arial" w:eastAsia="Arial" w:hAnsi="Arial"/>
          <w:sz w:val="22"/>
          <w:szCs w:val="22"/>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187"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22"/>
          <w:szCs w:val="22"/>
          <w:b w:val="1"/>
          <w:bCs w:val="1"/>
          <w:i w:val="1"/>
          <w:iCs w:val="1"/>
          <w:color w:val="auto"/>
        </w:rPr>
        <w:t>Representation and Warranty of Executive</w:t>
      </w:r>
      <w:r>
        <w:rPr>
          <w:rFonts w:ascii="Arial" w:cs="Arial" w:eastAsia="Arial" w:hAnsi="Arial"/>
          <w:sz w:val="22"/>
          <w:szCs w:val="22"/>
          <w:color w:val="auto"/>
        </w:rPr>
        <w:t>. Executive represents and warrants to the Company that he is not now 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87"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9"/>
          <w:szCs w:val="19"/>
          <w:b w:val="1"/>
          <w:bCs w:val="1"/>
          <w:i w:val="1"/>
          <w:iCs w:val="1"/>
          <w:color w:val="auto"/>
        </w:rPr>
        <w:t>Withholding</w:t>
      </w:r>
      <w:r>
        <w:rPr>
          <w:rFonts w:ascii="Arial" w:cs="Arial" w:eastAsia="Arial" w:hAnsi="Arial"/>
          <w:sz w:val="19"/>
          <w:szCs w:val="19"/>
          <w:color w:val="auto"/>
        </w:rPr>
        <w:t>. Any provision of this Agreement to the contrary notwithstanding, all payments made by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46" w:lineRule="exact"/>
        <w:rPr>
          <w:rFonts w:ascii="Arial" w:cs="Arial" w:eastAsia="Arial" w:hAnsi="Arial"/>
          <w:sz w:val="16"/>
          <w:szCs w:val="16"/>
          <w:color w:val="auto"/>
        </w:rPr>
      </w:pPr>
    </w:p>
    <w:p>
      <w:pPr>
        <w:jc w:val="both"/>
        <w:ind w:left="660" w:hanging="652"/>
        <w:spacing w:after="0" w:line="29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9"/>
          <w:szCs w:val="19"/>
          <w:b w:val="1"/>
          <w:bCs w:val="1"/>
          <w:i w:val="1"/>
          <w:iCs w:val="1"/>
          <w:color w:val="auto"/>
        </w:rPr>
        <w:t>Mitigation</w:t>
      </w:r>
      <w:r>
        <w:rPr>
          <w:rFonts w:ascii="Arial" w:cs="Arial" w:eastAsia="Arial" w:hAnsi="Arial"/>
          <w:sz w:val="19"/>
          <w:szCs w:val="19"/>
          <w:color w:val="auto"/>
        </w:rPr>
        <w:t>. The Company’s obligation to make the payments provided for in this Agreement and otherwise to perform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46"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22"/>
          <w:szCs w:val="22"/>
          <w:b w:val="1"/>
          <w:bCs w:val="1"/>
          <w:i w:val="1"/>
          <w:iCs w:val="1"/>
          <w:color w:val="auto"/>
        </w:rPr>
        <w:t>Notices</w:t>
      </w:r>
      <w:r>
        <w:rPr>
          <w:rFonts w:ascii="Arial" w:cs="Arial" w:eastAsia="Arial" w:hAnsi="Arial"/>
          <w:sz w:val="22"/>
          <w:szCs w:val="22"/>
          <w:color w:val="auto"/>
        </w:rPr>
        <w:t>. All notices, requests, demands and other communications provided for by this Agreement shall be in writing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12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 the Company:</w:t>
            </w:r>
          </w:p>
        </w:tc>
        <w:tc>
          <w:tcPr>
            <w:tcW w:w="3320" w:type="dxa"/>
            <w:vAlign w:val="bottom"/>
          </w:tcPr>
          <w:p>
            <w:pPr>
              <w:ind w:left="1420"/>
              <w:spacing w:after="0"/>
              <w:rPr>
                <w:sz w:val="20"/>
                <w:szCs w:val="20"/>
                <w:color w:val="auto"/>
              </w:rPr>
            </w:pPr>
            <w:r>
              <w:rPr>
                <w:rFonts w:ascii="Arial" w:cs="Arial" w:eastAsia="Arial" w:hAnsi="Arial"/>
                <w:sz w:val="18"/>
                <w:szCs w:val="18"/>
                <w:color w:val="auto"/>
              </w:rPr>
              <w:t>NN, Inc.</w:t>
            </w:r>
          </w:p>
        </w:tc>
      </w:tr>
      <w:tr>
        <w:trPr>
          <w:trHeight w:val="270"/>
        </w:trPr>
        <w:tc>
          <w:tcPr>
            <w:tcW w:w="2700" w:type="dxa"/>
            <w:vAlign w:val="bottom"/>
          </w:tcPr>
          <w:p>
            <w:pPr>
              <w:spacing w:after="0"/>
              <w:rPr>
                <w:sz w:val="23"/>
                <w:szCs w:val="23"/>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w w:val="95"/>
              </w:rPr>
              <w:t>Attn: William C. Kelly, Jr.</w:t>
            </w:r>
          </w:p>
        </w:tc>
      </w:tr>
      <w:tr>
        <w:trPr>
          <w:trHeight w:val="270"/>
        </w:trPr>
        <w:tc>
          <w:tcPr>
            <w:tcW w:w="2700" w:type="dxa"/>
            <w:vAlign w:val="bottom"/>
          </w:tcPr>
          <w:p>
            <w:pPr>
              <w:spacing w:after="0"/>
              <w:rPr>
                <w:sz w:val="23"/>
                <w:szCs w:val="23"/>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w w:val="95"/>
              </w:rPr>
              <w:t>2000 Waters Edge Drive</w:t>
            </w:r>
          </w:p>
        </w:tc>
      </w:tr>
      <w:tr>
        <w:trPr>
          <w:trHeight w:val="270"/>
        </w:trPr>
        <w:tc>
          <w:tcPr>
            <w:tcW w:w="2700" w:type="dxa"/>
            <w:vAlign w:val="bottom"/>
          </w:tcPr>
          <w:p>
            <w:pPr>
              <w:spacing w:after="0"/>
              <w:rPr>
                <w:sz w:val="23"/>
                <w:szCs w:val="23"/>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w w:val="97"/>
              </w:rPr>
              <w:t>Johnson City, TN 37604</w:t>
            </w:r>
          </w:p>
        </w:tc>
      </w:tr>
      <w:tr>
        <w:trPr>
          <w:trHeight w:val="621"/>
        </w:trPr>
        <w:tc>
          <w:tcPr>
            <w:tcW w:w="2700" w:type="dxa"/>
            <w:vAlign w:val="bottom"/>
          </w:tcPr>
          <w:p>
            <w:pPr>
              <w:spacing w:after="0"/>
              <w:rPr>
                <w:sz w:val="20"/>
                <w:szCs w:val="20"/>
                <w:color w:val="auto"/>
              </w:rPr>
            </w:pPr>
            <w:r>
              <w:rPr>
                <w:rFonts w:ascii="Arial" w:cs="Arial" w:eastAsia="Arial" w:hAnsi="Arial"/>
                <w:sz w:val="18"/>
                <w:szCs w:val="18"/>
                <w:color w:val="auto"/>
              </w:rPr>
              <w:t>To the Executive:</w:t>
            </w:r>
          </w:p>
        </w:tc>
        <w:tc>
          <w:tcPr>
            <w:tcW w:w="3320" w:type="dxa"/>
            <w:vAlign w:val="bottom"/>
          </w:tcPr>
          <w:p>
            <w:pPr>
              <w:ind w:left="1400"/>
              <w:spacing w:after="0"/>
              <w:rPr>
                <w:sz w:val="20"/>
                <w:szCs w:val="20"/>
                <w:color w:val="auto"/>
              </w:rPr>
            </w:pPr>
            <w:r>
              <w:rPr>
                <w:rFonts w:ascii="Arial" w:cs="Arial" w:eastAsia="Arial" w:hAnsi="Arial"/>
                <w:sz w:val="18"/>
                <w:szCs w:val="18"/>
                <w:color w:val="auto"/>
              </w:rPr>
              <w:t>Christopher Qualters</w:t>
            </w:r>
          </w:p>
        </w:tc>
      </w:tr>
      <w:tr>
        <w:trPr>
          <w:trHeight w:val="270"/>
        </w:trPr>
        <w:tc>
          <w:tcPr>
            <w:tcW w:w="2700" w:type="dxa"/>
            <w:vAlign w:val="bottom"/>
          </w:tcPr>
          <w:p>
            <w:pPr>
              <w:spacing w:after="0"/>
              <w:rPr>
                <w:sz w:val="23"/>
                <w:szCs w:val="23"/>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4180 40th Street SE</w:t>
            </w:r>
          </w:p>
        </w:tc>
      </w:tr>
      <w:tr>
        <w:trPr>
          <w:trHeight w:val="270"/>
        </w:trPr>
        <w:tc>
          <w:tcPr>
            <w:tcW w:w="2700" w:type="dxa"/>
            <w:vAlign w:val="bottom"/>
          </w:tcPr>
          <w:p>
            <w:pPr>
              <w:spacing w:after="0"/>
              <w:rPr>
                <w:sz w:val="23"/>
                <w:szCs w:val="23"/>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Kentwood, MI 49512</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660" w:hanging="652"/>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22"/>
          <w:szCs w:val="22"/>
          <w:b w:val="1"/>
          <w:bCs w:val="1"/>
          <w:i w:val="1"/>
          <w:iCs w:val="1"/>
          <w:color w:val="auto"/>
        </w:rPr>
        <w:t>Successors: Binding Agreement</w:t>
      </w:r>
      <w:r>
        <w:rPr>
          <w:rFonts w:ascii="Arial" w:cs="Arial" w:eastAsia="Arial" w:hAnsi="Arial"/>
          <w:sz w:val="22"/>
          <w:szCs w:val="22"/>
          <w:color w:val="auto"/>
        </w:rPr>
        <w:t>. The Company shall require any successor (whether direct or indirect, by purchase,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merger, consolidation or otherwise) to all or substantially all of the business and/or assets of the Company, by agreement in the form and substance satisfactory to the Executive, to expressly assume and agree to perform this Agreement in the same manner and to the same extent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8" w:right="339" w:bottom="1440" w:gutter="0" w:footer="0" w:header="0"/>
        </w:sectPr>
      </w:pPr>
    </w:p>
    <w:bookmarkStart w:id="55" w:name="page56"/>
    <w:bookmarkEnd w:id="55"/>
    <w:p>
      <w:pPr>
        <w:jc w:val="both"/>
        <w:ind w:left="660"/>
        <w:spacing w:after="0" w:line="216" w:lineRule="auto"/>
        <w:rPr>
          <w:sz w:val="20"/>
          <w:szCs w:val="20"/>
          <w:color w:val="auto"/>
        </w:rPr>
      </w:pPr>
      <w:r>
        <w:rPr>
          <w:rFonts w:ascii="Arial" w:cs="Arial" w:eastAsia="Arial" w:hAnsi="Arial"/>
          <w:sz w:val="22"/>
          <w:szCs w:val="22"/>
          <w:color w:val="auto"/>
        </w:rPr>
        <w:t>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185"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47" w:lineRule="exact"/>
        <w:rPr>
          <w:sz w:val="20"/>
          <w:szCs w:val="20"/>
          <w:color w:val="auto"/>
        </w:rPr>
      </w:pPr>
    </w:p>
    <w:p>
      <w:pPr>
        <w:jc w:val="both"/>
        <w:ind w:left="660" w:hanging="652"/>
        <w:spacing w:after="0" w:line="289"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9"/>
          <w:szCs w:val="19"/>
          <w:b w:val="1"/>
          <w:bCs w:val="1"/>
          <w:i w:val="1"/>
          <w:iCs w:val="1"/>
          <w:color w:val="auto"/>
        </w:rPr>
        <w:t>Modification, Waiver or Discharge</w:t>
      </w:r>
      <w:r>
        <w:rPr>
          <w:rFonts w:ascii="Arial" w:cs="Arial" w:eastAsia="Arial" w:hAnsi="Arial"/>
          <w:sz w:val="19"/>
          <w:szCs w:val="19"/>
          <w:color w:val="auto"/>
        </w:rPr>
        <w:t>. No provision of this Agreement may be modified or discharged unless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56" w:lineRule="exact"/>
        <w:rPr>
          <w:rFonts w:ascii="Arial" w:cs="Arial" w:eastAsia="Arial" w:hAnsi="Arial"/>
          <w:sz w:val="16"/>
          <w:szCs w:val="16"/>
          <w:color w:val="auto"/>
        </w:rPr>
      </w:pPr>
    </w:p>
    <w:p>
      <w:pPr>
        <w:jc w:val="both"/>
        <w:ind w:left="660" w:hanging="652"/>
        <w:spacing w:after="0" w:line="289"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9"/>
          <w:szCs w:val="19"/>
          <w:b w:val="1"/>
          <w:bCs w:val="1"/>
          <w:i w:val="1"/>
          <w:iCs w:val="1"/>
          <w:color w:val="auto"/>
        </w:rPr>
        <w:t>Entire Agreement</w:t>
      </w:r>
      <w:r>
        <w:rPr>
          <w:rFonts w:ascii="Arial" w:cs="Arial" w:eastAsia="Arial" w:hAnsi="Arial"/>
          <w:sz w:val="19"/>
          <w:szCs w:val="19"/>
          <w:color w:val="auto"/>
        </w:rPr>
        <w:t>. This Agreement constitutes the entire understanding of the parties hereto with respect to its subject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or Autocam Corporation; provided, however, nothing herein shall affect the terms of any indemnification agreement by and between the Company and Executive or any general indemnification policy in favor of Executive, which shall continue and remain in full force and effect. For avoidance of doubt, Executive acknowledges and agrees that he shall not be entitled to any payments or benefits under his Employment Agreement with Autocam Corporation following the effective closing time of that certain Agreement and Plan of Merger, dated as of July 21, 2014, by and among NN, Inc., Autocam Corporation and certain other parties.</w:t>
      </w:r>
    </w:p>
    <w:p>
      <w:pPr>
        <w:spacing w:after="0" w:line="156" w:lineRule="exact"/>
        <w:rPr>
          <w:rFonts w:ascii="Arial" w:cs="Arial" w:eastAsia="Arial" w:hAnsi="Arial"/>
          <w:sz w:val="16"/>
          <w:szCs w:val="16"/>
          <w:color w:val="auto"/>
        </w:rPr>
      </w:pPr>
    </w:p>
    <w:p>
      <w:pPr>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22"/>
          <w:szCs w:val="22"/>
          <w:b w:val="1"/>
          <w:bCs w:val="1"/>
          <w:i w:val="1"/>
          <w:iCs w:val="1"/>
          <w:color w:val="auto"/>
        </w:rPr>
        <w:t>Governing Law</w:t>
      </w:r>
      <w:r>
        <w:rPr>
          <w:rFonts w:ascii="Arial" w:cs="Arial" w:eastAsia="Arial" w:hAnsi="Arial"/>
          <w:sz w:val="22"/>
          <w:szCs w:val="22"/>
          <w:color w:val="auto"/>
        </w:rPr>
        <w:t>. The validity, interpretation, construction and performance of this Agreement shall be governed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laws of the State of Tennessee to the extent federal law does not apply.</w:t>
      </w:r>
    </w:p>
    <w:p>
      <w:pPr>
        <w:spacing w:after="0" w:line="174"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9"/>
          <w:szCs w:val="19"/>
          <w:b w:val="1"/>
          <w:bCs w:val="1"/>
          <w:i w:val="1"/>
          <w:iCs w:val="1"/>
          <w:color w:val="auto"/>
        </w:rPr>
        <w:t>Resolution of Disputes</w:t>
      </w:r>
      <w:r>
        <w:rPr>
          <w:rFonts w:ascii="Arial" w:cs="Arial" w:eastAsia="Arial" w:hAnsi="Arial"/>
          <w:sz w:val="19"/>
          <w:szCs w:val="19"/>
          <w:color w:val="auto"/>
        </w:rPr>
        <w:t>. Any dispute or claim arising out of or relating to this Agreement shall be settled by final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21" w:right="339" w:bottom="1440" w:gutter="0" w:footer="0" w:header="0"/>
        </w:sectPr>
      </w:pPr>
    </w:p>
    <w:bookmarkStart w:id="56" w:name="page57"/>
    <w:bookmarkEnd w:id="56"/>
    <w:p>
      <w:pPr>
        <w:ind w:left="660" w:right="20" w:hanging="652"/>
        <w:spacing w:after="0" w:line="287"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21"/>
          <w:szCs w:val="21"/>
          <w:b w:val="1"/>
          <w:bCs w:val="1"/>
          <w:i w:val="1"/>
          <w:iCs w:val="1"/>
          <w:color w:val="auto"/>
        </w:rPr>
        <w:t>Validity</w:t>
      </w:r>
      <w:r>
        <w:rPr>
          <w:rFonts w:ascii="Arial" w:cs="Arial" w:eastAsia="Arial" w:hAnsi="Arial"/>
          <w:sz w:val="21"/>
          <w:szCs w:val="21"/>
          <w:color w:val="auto"/>
        </w:rPr>
        <w:t>. The invalidity or unenforceability of any provision of this Agreement shall not affect the validity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enforceability of the other provisions of this Agreement, which latter provisions shall remain in full force and effect.</w:t>
      </w:r>
    </w:p>
    <w:p>
      <w:pPr>
        <w:spacing w:after="0" w:line="151" w:lineRule="exact"/>
        <w:rPr>
          <w:rFonts w:ascii="Arial" w:cs="Arial" w:eastAsia="Arial" w:hAnsi="Arial"/>
          <w:sz w:val="17"/>
          <w:szCs w:val="17"/>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22"/>
          <w:szCs w:val="22"/>
          <w:b w:val="1"/>
          <w:bCs w:val="1"/>
          <w:i w:val="1"/>
          <w:iCs w:val="1"/>
          <w:color w:val="auto"/>
        </w:rPr>
        <w:t>Compliance with Section 409A</w:t>
      </w:r>
      <w:r>
        <w:rPr>
          <w:rFonts w:ascii="Arial" w:cs="Arial" w:eastAsia="Arial" w:hAnsi="Arial"/>
          <w:sz w:val="22"/>
          <w:szCs w:val="22"/>
          <w:color w:val="auto"/>
        </w:rPr>
        <w:t>.</w:t>
      </w:r>
    </w:p>
    <w:p>
      <w:pPr>
        <w:spacing w:after="0" w:line="219"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It is intended that the Agreement will comply with Section 409A of the Code and the regulations and other guidance thereunder (“Section 409A”),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The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jc w:val="both"/>
        <w:ind w:left="1300" w:hanging="644"/>
        <w:spacing w:after="0" w:line="24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22"/>
          <w:szCs w:val="22"/>
          <w:u w:val="single" w:color="auto"/>
          <w:color w:val="auto"/>
        </w:rPr>
        <w:t>Six Month Delay for Specified Employees</w:t>
      </w:r>
      <w:r>
        <w:rPr>
          <w:rFonts w:ascii="Arial" w:cs="Arial" w:eastAsia="Arial" w:hAnsi="Arial"/>
          <w:sz w:val="22"/>
          <w:szCs w:val="22"/>
          <w:color w:val="auto"/>
        </w:rPr>
        <w:t>.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192" w:lineRule="exact"/>
        <w:rPr>
          <w:rFonts w:ascii="Arial" w:cs="Arial" w:eastAsia="Arial" w:hAnsi="Arial"/>
          <w:sz w:val="18"/>
          <w:szCs w:val="18"/>
          <w:color w:val="auto"/>
        </w:rPr>
      </w:pPr>
    </w:p>
    <w:p>
      <w:pPr>
        <w:jc w:val="both"/>
        <w:ind w:left="660" w:hanging="652"/>
        <w:spacing w:after="0" w:line="24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22"/>
          <w:szCs w:val="22"/>
          <w:b w:val="1"/>
          <w:bCs w:val="1"/>
          <w:i w:val="1"/>
          <w:iCs w:val="1"/>
          <w:color w:val="auto"/>
        </w:rPr>
        <w:t>No Adequate Remedy At Law; Costs to Prevailing Party</w:t>
      </w:r>
      <w:r>
        <w:rPr>
          <w:rFonts w:ascii="Arial" w:cs="Arial" w:eastAsia="Arial" w:hAnsi="Arial"/>
          <w:sz w:val="22"/>
          <w:szCs w:val="22"/>
          <w:color w:val="auto"/>
        </w:rPr>
        <w:t>. The Company and the Executive recognize that each party may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191"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9"/>
          <w:szCs w:val="19"/>
          <w:b w:val="1"/>
          <w:bCs w:val="1"/>
          <w:i w:val="1"/>
          <w:iCs w:val="1"/>
          <w:color w:val="auto"/>
        </w:rPr>
        <w:t>Non-Assignability</w:t>
      </w:r>
      <w:r>
        <w:rPr>
          <w:rFonts w:ascii="Arial" w:cs="Arial" w:eastAsia="Arial" w:hAnsi="Arial"/>
          <w:sz w:val="19"/>
          <w:szCs w:val="19"/>
          <w:color w:val="auto"/>
        </w:rPr>
        <w:t>. This Agreement, and the rights and obligations of the parties hereunder, are personal and neither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8" w:right="339" w:bottom="1440" w:gutter="0" w:footer="0" w:header="0"/>
        </w:sectPr>
      </w:pPr>
    </w:p>
    <w:bookmarkStart w:id="57" w:name="page58"/>
    <w:bookmarkEnd w:id="57"/>
    <w:p>
      <w:pPr>
        <w:jc w:val="both"/>
        <w:ind w:left="660" w:hanging="652"/>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22"/>
          <w:szCs w:val="22"/>
          <w:b w:val="1"/>
          <w:bCs w:val="1"/>
          <w:i w:val="1"/>
          <w:iCs w:val="1"/>
          <w:color w:val="auto"/>
        </w:rPr>
        <w:t>Headings</w:t>
      </w:r>
      <w:r>
        <w:rPr>
          <w:rFonts w:ascii="Arial" w:cs="Arial" w:eastAsia="Arial" w:hAnsi="Arial"/>
          <w:sz w:val="22"/>
          <w:szCs w:val="22"/>
          <w:color w:val="auto"/>
        </w:rPr>
        <w:t>. The section headings contained in this Agreement are for convenience of reference only and will not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deemed to control or affect the meaning or construction of any provision of this Agreement. Reference to Paragraphs are to Paragraphs in this Agreement.</w:t>
      </w:r>
    </w:p>
    <w:p>
      <w:pPr>
        <w:spacing w:after="0" w:line="185" w:lineRule="exact"/>
        <w:rPr>
          <w:rFonts w:ascii="Arial" w:cs="Arial" w:eastAsia="Arial" w:hAnsi="Arial"/>
          <w:sz w:val="18"/>
          <w:szCs w:val="18"/>
          <w:color w:val="auto"/>
        </w:rPr>
      </w:pPr>
    </w:p>
    <w:p>
      <w:pPr>
        <w:ind w:left="66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original, but of which together will constitute one and the same instrument.</w:t>
      </w:r>
    </w:p>
    <w:p>
      <w:pPr>
        <w:spacing w:after="0" w:line="174"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For purposes of this Agreement, the following terms shall have the following meanings:</w:t>
      </w:r>
    </w:p>
    <w:p>
      <w:pPr>
        <w:spacing w:after="0" w:line="219"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22"/>
          <w:szCs w:val="22"/>
          <w:color w:val="auto"/>
        </w:rPr>
        <w:t>“Cause” means any of the following:</w:t>
      </w:r>
    </w:p>
    <w:p>
      <w:pPr>
        <w:spacing w:after="0" w:line="219" w:lineRule="exact"/>
        <w:rPr>
          <w:rFonts w:ascii="Arial" w:cs="Arial" w:eastAsia="Arial" w:hAnsi="Arial"/>
          <w:sz w:val="18"/>
          <w:szCs w:val="18"/>
          <w:color w:val="auto"/>
        </w:rPr>
      </w:pPr>
    </w:p>
    <w:p>
      <w:pPr>
        <w:jc w:val="both"/>
        <w:ind w:left="1960" w:hanging="656"/>
        <w:spacing w:after="0" w:line="248" w:lineRule="auto"/>
        <w:tabs>
          <w:tab w:leader="none" w:pos="1960" w:val="left"/>
        </w:tabs>
        <w:numPr>
          <w:ilvl w:val="2"/>
          <w:numId w:val="48"/>
        </w:numPr>
        <w:rPr>
          <w:rFonts w:ascii="Arial" w:cs="Arial" w:eastAsia="Arial" w:hAnsi="Arial"/>
          <w:sz w:val="18"/>
          <w:szCs w:val="18"/>
          <w:color w:val="auto"/>
        </w:rPr>
      </w:pPr>
      <w:r>
        <w:rPr>
          <w:rFonts w:ascii="Arial" w:cs="Arial" w:eastAsia="Arial" w:hAnsi="Arial"/>
          <w:sz w:val="22"/>
          <w:szCs w:val="22"/>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subparagraph (ii) below, remains uncorrected for 10 days following written notice to Executive by the Chief Executive Officer or the Board of Directors of the Company of such breach;</w:t>
      </w:r>
    </w:p>
    <w:p>
      <w:pPr>
        <w:spacing w:after="0" w:line="191" w:lineRule="exact"/>
        <w:rPr>
          <w:rFonts w:ascii="Arial" w:cs="Arial" w:eastAsia="Arial" w:hAnsi="Arial"/>
          <w:sz w:val="18"/>
          <w:szCs w:val="18"/>
          <w:color w:val="auto"/>
        </w:rPr>
      </w:pPr>
    </w:p>
    <w:p>
      <w:pPr>
        <w:ind w:left="1960" w:hanging="656"/>
        <w:spacing w:after="0" w:line="263" w:lineRule="auto"/>
        <w:tabs>
          <w:tab w:leader="none" w:pos="1960" w:val="left"/>
        </w:tabs>
        <w:numPr>
          <w:ilvl w:val="2"/>
          <w:numId w:val="48"/>
        </w:numPr>
        <w:rPr>
          <w:rFonts w:ascii="Arial" w:cs="Arial" w:eastAsia="Arial" w:hAnsi="Arial"/>
          <w:sz w:val="18"/>
          <w:szCs w:val="18"/>
          <w:color w:val="auto"/>
        </w:rPr>
      </w:pPr>
      <w:r>
        <w:rPr>
          <w:rFonts w:ascii="Arial" w:cs="Arial" w:eastAsia="Arial" w:hAnsi="Arial"/>
          <w:sz w:val="22"/>
          <w:szCs w:val="22"/>
          <w:color w:val="auto"/>
        </w:rPr>
        <w:t>willful misconduct or gross negligence by the Executive, in either case that results in material damage to the business or reputation of the Company;</w:t>
      </w:r>
    </w:p>
    <w:p>
      <w:pPr>
        <w:spacing w:after="0" w:line="174" w:lineRule="exact"/>
        <w:rPr>
          <w:rFonts w:ascii="Arial" w:cs="Arial" w:eastAsia="Arial" w:hAnsi="Arial"/>
          <w:sz w:val="18"/>
          <w:szCs w:val="18"/>
          <w:color w:val="auto"/>
        </w:rPr>
      </w:pPr>
    </w:p>
    <w:p>
      <w:pPr>
        <w:jc w:val="both"/>
        <w:ind w:left="1960" w:hanging="656"/>
        <w:spacing w:after="0" w:line="253" w:lineRule="auto"/>
        <w:tabs>
          <w:tab w:leader="none" w:pos="1960" w:val="left"/>
        </w:tabs>
        <w:numPr>
          <w:ilvl w:val="2"/>
          <w:numId w:val="48"/>
        </w:numPr>
        <w:rPr>
          <w:rFonts w:ascii="Arial" w:cs="Arial" w:eastAsia="Arial" w:hAnsi="Arial"/>
          <w:sz w:val="18"/>
          <w:szCs w:val="18"/>
          <w:color w:val="auto"/>
        </w:rPr>
      </w:pPr>
      <w:r>
        <w:rPr>
          <w:rFonts w:ascii="Arial" w:cs="Arial" w:eastAsia="Arial" w:hAnsi="Arial"/>
          <w:sz w:val="22"/>
          <w:szCs w:val="22"/>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185" w:lineRule="exact"/>
        <w:rPr>
          <w:rFonts w:ascii="Arial" w:cs="Arial" w:eastAsia="Arial" w:hAnsi="Arial"/>
          <w:sz w:val="18"/>
          <w:szCs w:val="18"/>
          <w:color w:val="auto"/>
        </w:rPr>
      </w:pPr>
    </w:p>
    <w:p>
      <w:pPr>
        <w:ind w:left="1960" w:hanging="656"/>
        <w:spacing w:after="0" w:line="263" w:lineRule="auto"/>
        <w:tabs>
          <w:tab w:leader="none" w:pos="1960" w:val="left"/>
        </w:tabs>
        <w:numPr>
          <w:ilvl w:val="2"/>
          <w:numId w:val="48"/>
        </w:numPr>
        <w:rPr>
          <w:rFonts w:ascii="Arial" w:cs="Arial" w:eastAsia="Arial" w:hAnsi="Arial"/>
          <w:sz w:val="18"/>
          <w:szCs w:val="18"/>
          <w:color w:val="auto"/>
        </w:rPr>
      </w:pPr>
      <w:r>
        <w:rPr>
          <w:rFonts w:ascii="Arial" w:cs="Arial" w:eastAsia="Arial" w:hAnsi="Arial"/>
          <w:sz w:val="22"/>
          <w:szCs w:val="22"/>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22"/>
          <w:szCs w:val="22"/>
          <w:color w:val="auto"/>
        </w:rPr>
        <w:t>“Change in Control” means, and shall occur on the date that any of the following occurs:</w:t>
      </w:r>
    </w:p>
    <w:p>
      <w:pPr>
        <w:spacing w:after="0" w:line="219" w:lineRule="exact"/>
        <w:rPr>
          <w:rFonts w:ascii="Arial" w:cs="Arial" w:eastAsia="Arial" w:hAnsi="Arial"/>
          <w:sz w:val="18"/>
          <w:szCs w:val="18"/>
          <w:color w:val="auto"/>
        </w:rPr>
      </w:pPr>
    </w:p>
    <w:p>
      <w:pPr>
        <w:jc w:val="both"/>
        <w:ind w:left="1960" w:hanging="656"/>
        <w:spacing w:after="0" w:line="289" w:lineRule="auto"/>
        <w:tabs>
          <w:tab w:leader="none" w:pos="1960" w:val="left"/>
        </w:tabs>
        <w:numPr>
          <w:ilvl w:val="2"/>
          <w:numId w:val="48"/>
        </w:numPr>
        <w:rPr>
          <w:rFonts w:ascii="Arial" w:cs="Arial" w:eastAsia="Arial" w:hAnsi="Arial"/>
          <w:sz w:val="16"/>
          <w:szCs w:val="16"/>
          <w:color w:val="auto"/>
        </w:rPr>
      </w:pPr>
      <w:r>
        <w:rPr>
          <w:rFonts w:ascii="Arial" w:cs="Arial" w:eastAsia="Arial" w:hAnsi="Arial"/>
          <w:sz w:val="19"/>
          <w:szCs w:val="19"/>
          <w:color w:val="auto"/>
        </w:rPr>
        <w:t>A person, corporation, entity or group (1) makes a tender or exchange offer for the issued and outstanding voting stock of NN, Inc., (“NN”)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156" w:lineRule="exact"/>
        <w:rPr>
          <w:rFonts w:ascii="Arial" w:cs="Arial" w:eastAsia="Arial" w:hAnsi="Arial"/>
          <w:sz w:val="16"/>
          <w:szCs w:val="16"/>
          <w:color w:val="auto"/>
        </w:rPr>
      </w:pPr>
    </w:p>
    <w:p>
      <w:pPr>
        <w:jc w:val="both"/>
        <w:ind w:left="1960" w:hanging="656"/>
        <w:spacing w:after="0" w:line="250" w:lineRule="auto"/>
        <w:tabs>
          <w:tab w:leader="none" w:pos="1960" w:val="left"/>
        </w:tabs>
        <w:numPr>
          <w:ilvl w:val="2"/>
          <w:numId w:val="48"/>
        </w:numPr>
        <w:rPr>
          <w:rFonts w:ascii="Arial" w:cs="Arial" w:eastAsia="Arial" w:hAnsi="Arial"/>
          <w:sz w:val="18"/>
          <w:szCs w:val="18"/>
          <w:color w:val="auto"/>
        </w:rPr>
      </w:pPr>
      <w:r>
        <w:rPr>
          <w:rFonts w:ascii="Arial" w:cs="Arial" w:eastAsia="Arial" w:hAnsi="Arial"/>
          <w:sz w:val="22"/>
          <w:szCs w:val="22"/>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187" w:lineRule="exact"/>
        <w:rPr>
          <w:rFonts w:ascii="Arial" w:cs="Arial" w:eastAsia="Arial" w:hAnsi="Arial"/>
          <w:sz w:val="18"/>
          <w:szCs w:val="18"/>
          <w:color w:val="auto"/>
        </w:rPr>
      </w:pPr>
    </w:p>
    <w:p>
      <w:pPr>
        <w:ind w:left="1960" w:right="20" w:hanging="656"/>
        <w:spacing w:after="0" w:line="263" w:lineRule="auto"/>
        <w:tabs>
          <w:tab w:leader="none" w:pos="1960" w:val="left"/>
        </w:tabs>
        <w:numPr>
          <w:ilvl w:val="2"/>
          <w:numId w:val="48"/>
        </w:numPr>
        <w:rPr>
          <w:rFonts w:ascii="Arial" w:cs="Arial" w:eastAsia="Arial" w:hAnsi="Arial"/>
          <w:sz w:val="18"/>
          <w:szCs w:val="18"/>
          <w:color w:val="auto"/>
        </w:rPr>
      </w:pPr>
      <w:r>
        <w:rPr>
          <w:rFonts w:ascii="Arial" w:cs="Arial" w:eastAsia="Arial" w:hAnsi="Arial"/>
          <w:sz w:val="22"/>
          <w:szCs w:val="22"/>
          <w:color w:val="auto"/>
        </w:rPr>
        <w:t>NN sells fifty percent (50%) or more of its assets to any other person or persons (other than an affiliate or affiliates of NN);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8" w:right="339" w:bottom="1440" w:gutter="0" w:footer="0" w:header="0"/>
        </w:sectPr>
      </w:pPr>
    </w:p>
    <w:bookmarkStart w:id="58" w:name="page59"/>
    <w:bookmarkEnd w:id="58"/>
    <w:p>
      <w:pPr>
        <w:jc w:val="both"/>
        <w:ind w:left="1304" w:hanging="656"/>
        <w:spacing w:after="0" w:line="246" w:lineRule="auto"/>
        <w:tabs>
          <w:tab w:leader="none" w:pos="1304" w:val="left"/>
        </w:tabs>
        <w:numPr>
          <w:ilvl w:val="0"/>
          <w:numId w:val="49"/>
        </w:numPr>
        <w:rPr>
          <w:rFonts w:ascii="Arial" w:cs="Arial" w:eastAsia="Arial" w:hAnsi="Arial"/>
          <w:sz w:val="18"/>
          <w:szCs w:val="18"/>
          <w:color w:val="auto"/>
        </w:rPr>
      </w:pPr>
      <w:r>
        <w:rPr>
          <w:rFonts w:ascii="Arial" w:cs="Arial" w:eastAsia="Arial" w:hAnsi="Arial"/>
          <w:sz w:val="22"/>
          <w:szCs w:val="22"/>
          <w:color w:val="auto"/>
        </w:rPr>
        <w:t>Individuals who, during any 12-month period, constitute the Board (the “Incumbent Board”)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94"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It is not intended that a Change in Control will serve as an event which entitles Executive to any payment hereunder.</w:t>
      </w:r>
    </w:p>
    <w:p>
      <w:pPr>
        <w:spacing w:after="0" w:line="175" w:lineRule="exact"/>
        <w:rPr>
          <w:sz w:val="20"/>
          <w:szCs w:val="20"/>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22"/>
          <w:szCs w:val="22"/>
          <w:color w:val="auto"/>
        </w:rPr>
        <w:t>“Code” means the Internal Revenue Code of 1986 as amended.</w:t>
      </w:r>
    </w:p>
    <w:p>
      <w:pPr>
        <w:spacing w:after="0" w:line="219"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21"/>
          <w:szCs w:val="21"/>
          <w:color w:val="auto"/>
        </w:rPr>
        <w:t>“Disability”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190" w:lineRule="exact"/>
        <w:rPr>
          <w:rFonts w:ascii="Arial" w:cs="Arial" w:eastAsia="Arial" w:hAnsi="Arial"/>
          <w:sz w:val="17"/>
          <w:szCs w:val="17"/>
          <w:color w:val="auto"/>
        </w:rPr>
      </w:pPr>
    </w:p>
    <w:p>
      <w:pPr>
        <w:jc w:val="both"/>
        <w:ind w:left="644" w:hanging="644"/>
        <w:spacing w:after="0" w:line="246"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22"/>
          <w:szCs w:val="22"/>
          <w:color w:val="auto"/>
        </w:rPr>
        <w:t>“Good Reason” means, except as provided below,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 material adverse change in Executive’s annual compensation and benefits; or (iv) a requirement to relocate in excess of fifty (50) miles from the Executive’s then current place of employment</w:t>
      </w:r>
    </w:p>
    <w:p>
      <w:pPr>
        <w:spacing w:after="0" w:line="196" w:lineRule="exact"/>
        <w:rPr>
          <w:rFonts w:ascii="Arial" w:cs="Arial" w:eastAsia="Arial" w:hAnsi="Arial"/>
          <w:sz w:val="18"/>
          <w:szCs w:val="18"/>
          <w:color w:val="auto"/>
        </w:rPr>
      </w:pPr>
    </w:p>
    <w:p>
      <w:pPr>
        <w:jc w:val="both"/>
        <w:ind w:left="644"/>
        <w:spacing w:after="0" w:line="297" w:lineRule="auto"/>
        <w:rPr>
          <w:rFonts w:ascii="Arial" w:cs="Arial" w:eastAsia="Arial" w:hAnsi="Arial"/>
          <w:sz w:val="18"/>
          <w:szCs w:val="18"/>
          <w:color w:val="auto"/>
        </w:rPr>
      </w:pPr>
      <w:r>
        <w:rPr>
          <w:rFonts w:ascii="Arial" w:cs="Arial" w:eastAsia="Arial" w:hAnsi="Arial"/>
          <w:sz w:val="19"/>
          <w:szCs w:val="19"/>
          <w:color w:val="auto"/>
        </w:rPr>
        <w:t>Notwithstanding anything in this definition to the contrary, an alleged act by the Company shall not constitute a “Good Reason” event for purposes of this Agreement unless Executive gives written notice of the same to the Company within 30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146"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22"/>
          <w:szCs w:val="22"/>
          <w:color w:val="auto"/>
        </w:rPr>
        <w:t>“Notice of Termination” means a written notice which shall include the specific termination provision under this Agreement relied upon, and shall set forth in reasonable detail the facts and circumstances claimed to provide a basis for termination of the Executive’s employment.</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348" w:right="339" w:bottom="1440" w:gutter="0" w:footer="0" w:header="0"/>
        </w:sectPr>
      </w:pPr>
    </w:p>
    <w:bookmarkStart w:id="59" w:name="page60"/>
    <w:bookmarkEnd w:id="59"/>
    <w:p>
      <w:pPr>
        <w:jc w:val="both"/>
        <w:ind w:left="1300"/>
        <w:spacing w:after="0" w:line="223" w:lineRule="auto"/>
        <w:rPr>
          <w:sz w:val="20"/>
          <w:szCs w:val="20"/>
          <w:color w:val="auto"/>
        </w:rPr>
      </w:pPr>
      <w:r>
        <w:rPr>
          <w:rFonts w:ascii="Arial" w:cs="Arial" w:eastAsia="Arial" w:hAnsi="Arial"/>
          <w:sz w:val="22"/>
          <w:szCs w:val="22"/>
          <w:color w:val="auto"/>
        </w:rPr>
        <w:t>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86" w:lineRule="exact"/>
        <w:rPr>
          <w:sz w:val="20"/>
          <w:szCs w:val="20"/>
          <w:color w:val="auto"/>
        </w:rPr>
      </w:pPr>
    </w:p>
    <w:p>
      <w:pPr>
        <w:ind w:left="1300" w:hanging="644"/>
        <w:spacing w:after="0" w:line="263"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22"/>
          <w:szCs w:val="22"/>
          <w:color w:val="auto"/>
        </w:rPr>
        <w:t>“Qualifying Termination” means a Separation from Service by action of the Company that is not for Cause, or a Separation from Service by action of the Executive that is for Good Reason.</w:t>
      </w:r>
    </w:p>
    <w:p>
      <w:pPr>
        <w:spacing w:after="0" w:line="174" w:lineRule="exact"/>
        <w:rPr>
          <w:rFonts w:ascii="Arial" w:cs="Arial" w:eastAsia="Arial" w:hAnsi="Arial"/>
          <w:sz w:val="18"/>
          <w:szCs w:val="18"/>
          <w:color w:val="auto"/>
        </w:rPr>
      </w:pPr>
    </w:p>
    <w:p>
      <w:pPr>
        <w:jc w:val="both"/>
        <w:ind w:left="1300" w:hanging="644"/>
        <w:spacing w:after="0" w:line="265"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21"/>
          <w:szCs w:val="21"/>
          <w:color w:val="auto"/>
        </w:rPr>
        <w:t>“Restrictive Period” means (i) a period of 12 to 18 months following Executive’s termination of employment pursuant to paragraph 6(a) above, or a period of 12 months following Executive’s termination of employment pursuant to paragraph 6(b) above, prior to a Change in Control; or (ii) a period of 24 months following Executive’s termination of employment pursuant to paragraph 6(c) after a Change in Control.</w:t>
      </w:r>
    </w:p>
    <w:p>
      <w:pPr>
        <w:spacing w:after="0" w:line="175" w:lineRule="exact"/>
        <w:rPr>
          <w:rFonts w:ascii="Arial" w:cs="Arial" w:eastAsia="Arial" w:hAnsi="Arial"/>
          <w:sz w:val="17"/>
          <w:szCs w:val="17"/>
          <w:color w:val="auto"/>
        </w:rPr>
      </w:pPr>
    </w:p>
    <w:p>
      <w:pPr>
        <w:ind w:left="1300" w:hanging="644"/>
        <w:spacing w:after="0" w:line="263"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22"/>
          <w:szCs w:val="22"/>
          <w:color w:val="auto"/>
        </w:rPr>
        <w:t>“Separation from Service” means Executive’s “separation from service” as defined in Treasury Regulation Section 1.409A-1(h).</w:t>
      </w:r>
    </w:p>
    <w:p>
      <w:pPr>
        <w:spacing w:after="0" w:line="385"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Executive and the Company (by action of its duly authorized officers) have executed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of the date first above written.</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NN, INC.</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21" w:right="339" w:bottom="1440" w:gutter="0" w:footer="0" w:header="0"/>
        </w:sectPr>
      </w:pPr>
    </w:p>
    <w:bookmarkStart w:id="60" w:name="page61"/>
    <w:bookmarkEnd w:id="60"/>
    <w:p>
      <w:pPr>
        <w:ind w:left="390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Executive’s Severance Payment subsequent to a Change in Control as provided in paragraph 6(c)(i) shall be a lump sum payment equal to:</w:t>
      </w:r>
    </w:p>
    <w:p>
      <w:pPr>
        <w:spacing w:after="0" w:line="175" w:lineRule="exact"/>
        <w:rPr>
          <w:sz w:val="20"/>
          <w:szCs w:val="20"/>
          <w:color w:val="auto"/>
        </w:rPr>
      </w:pPr>
    </w:p>
    <w:p>
      <w:pPr>
        <w:ind w:left="1000" w:hanging="344"/>
        <w:spacing w:after="0"/>
        <w:tabs>
          <w:tab w:leader="none" w:pos="10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2.0 times Executive’s base salary (as of the date of Executive’s termination); plus</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1.0 times Executive’s median bonus available at the following bonus target percentage: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4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880"/>
        <w:spacing w:after="0"/>
        <w:tabs>
          <w:tab w:leader="none" w:pos="622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97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D. DeByle, certify that:</w:t>
      </w:r>
    </w:p>
    <w:p>
      <w:pPr>
        <w:spacing w:after="0" w:line="171"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880"/>
        <w:spacing w:after="0"/>
        <w:tabs>
          <w:tab w:leader="none" w:pos="622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97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March 31,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80"/>
        <w:spacing w:after="0"/>
        <w:tabs>
          <w:tab w:leader="none" w:pos="622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97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March 31,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80"/>
        <w:spacing w:after="0"/>
        <w:tabs>
          <w:tab w:leader="none" w:pos="620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Roman"/>
      <w:start w:val="2"/>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lvl w:ilvl="1">
      <w:lvlJc w:val="left"/>
      <w:lvlText w:val="(%2)"/>
      <w:numFmt w:val="lowerLetter"/>
      <w:start w:val="1"/>
    </w:lvl>
  </w:abstractNum>
  <w:abstractNum w:abstractNumId="18">
    <w:nsid w:val="380482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77465F0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0">
    <w:nsid w:val="7724C67E"/>
    <w:multiLevelType w:val="hybridMultilevel"/>
    <w:lvl w:ilvl="0">
      <w:lvlJc w:val="left"/>
      <w:lvlText w:val="(%1)"/>
      <w:numFmt w:val="lowerRoman"/>
      <w:start w:val="2"/>
    </w:lvl>
    <w:lvl w:ilvl="1">
      <w:lvlJc w:val="left"/>
      <w:lvlText w:val="(%2)"/>
      <w:numFmt w:val="decimal"/>
      <w:start w:val="1"/>
    </w:lvl>
  </w:abstractNum>
  <w:abstractNum w:abstractNumId="21">
    <w:nsid w:val="5C482A9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2">
    <w:nsid w:val="2463B9EA"/>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3">
    <w:nsid w:val="5E884AD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4">
    <w:nsid w:val="51EAD36B"/>
    <w:multiLevelType w:val="hybridMultilevel"/>
    <w:lvl w:ilvl="0">
      <w:lvlJc w:val="left"/>
      <w:lvlText w:val="%1."/>
      <w:numFmt w:val="decimal"/>
      <w:start w:val="10"/>
    </w:lvl>
    <w:lvl w:ilvl="1">
      <w:lvlJc w:val="left"/>
      <w:lvlText w:val="(%2)"/>
      <w:numFmt w:val="lowerLetter"/>
      <w:start w:val="1"/>
    </w:lvl>
  </w:abstractNum>
  <w:abstractNum w:abstractNumId="25">
    <w:nsid w:val="2D517796"/>
    <w:multiLevelType w:val="hybridMultilevel"/>
    <w:lvl w:ilvl="0">
      <w:lvlJc w:val="left"/>
      <w:lvlText w:val="%1."/>
      <w:numFmt w:val="decimal"/>
      <w:start w:val="16"/>
    </w:lvl>
  </w:abstractNum>
  <w:abstractNum w:abstractNumId="26">
    <w:nsid w:val="580BD78F"/>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27">
    <w:nsid w:val="153EA438"/>
    <w:multiLevelType w:val="hybridMultilevel"/>
    <w:lvl w:ilvl="0">
      <w:lvlJc w:val="left"/>
      <w:lvlText w:val="%1"/>
      <w:numFmt w:val="lowerLetter"/>
      <w:start w:val="1"/>
    </w:lvl>
    <w:lvl w:ilvl="1">
      <w:lvlJc w:val="left"/>
      <w:lvlText w:val="(%2)"/>
      <w:numFmt w:val="lowerRoman"/>
      <w:start w:val="2"/>
    </w:lvl>
  </w:abstractNum>
  <w:abstractNum w:abstractNumId="28">
    <w:nsid w:val="3855585C"/>
    <w:multiLevelType w:val="hybridMultilevel"/>
    <w:lvl w:ilvl="0">
      <w:lvlJc w:val="left"/>
      <w:lvlText w:val="(%1)"/>
      <w:numFmt w:val="lowerLetter"/>
      <w:start w:val="2"/>
    </w:lvl>
    <w:lvl w:ilvl="1">
      <w:lvlJc w:val="left"/>
      <w:lvlText w:val="(%2)"/>
      <w:numFmt w:val="lowerRoman"/>
      <w:start w:val="1"/>
    </w:lvl>
  </w:abstractNum>
  <w:abstractNum w:abstractNumId="29">
    <w:nsid w:val="70A64E2A"/>
    <w:multiLevelType w:val="hybridMultilevel"/>
    <w:lvl w:ilvl="0">
      <w:lvlJc w:val="left"/>
      <w:lvlText w:val="(%1)"/>
      <w:numFmt w:val="lowerLetter"/>
      <w:start w:val="3"/>
    </w:lvl>
  </w:abstractNum>
  <w:abstractNum w:abstractNumId="30">
    <w:nsid w:val="6A2342EC"/>
    <w:multiLevelType w:val="hybridMultilevel"/>
    <w:lvl w:ilvl="0">
      <w:lvlJc w:val="left"/>
      <w:lvlText w:val="(%1)"/>
      <w:numFmt w:val="lowerLetter"/>
      <w:start w:val="6"/>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2CD89A32"/>
    <w:multiLevelType w:val="hybridMultilevel"/>
    <w:lvl w:ilvl="0">
      <w:lvlJc w:val="left"/>
      <w:lvlText w:val="(%1)"/>
      <w:numFmt w:val="lowerRoman"/>
      <w:start w:val="3"/>
    </w:lvl>
  </w:abstractNum>
  <w:abstractNum w:abstractNumId="35">
    <w:nsid w:val="57E4CCAF"/>
    <w:multiLevelType w:val="hybridMultilevel"/>
    <w:lvl w:ilvl="0">
      <w:lvlJc w:val="left"/>
      <w:lvlText w:val="(%1)"/>
      <w:numFmt w:val="lowerLetter"/>
      <w:start w:val="2"/>
    </w:lvl>
    <w:lvl w:ilvl="1">
      <w:lvlJc w:val="left"/>
      <w:lvlText w:val="(%2)"/>
      <w:numFmt w:val="lowerRoman"/>
      <w:start w:val="1"/>
    </w:lvl>
  </w:abstractNum>
  <w:abstractNum w:abstractNumId="36">
    <w:nsid w:val="7A6D8D3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7">
    <w:nsid w:val="4B588F54"/>
    <w:multiLevelType w:val="hybridMultilevel"/>
    <w:lvl w:ilvl="0">
      <w:lvlJc w:val="left"/>
      <w:lvlText w:val="(%1)"/>
      <w:numFmt w:val="lowerRoman"/>
      <w:start w:val="2"/>
    </w:lvl>
    <w:lvl w:ilvl="1">
      <w:lvlJc w:val="left"/>
      <w:lvlText w:val="(%2)"/>
      <w:numFmt w:val="decimal"/>
      <w:start w:val="1"/>
    </w:lvl>
  </w:abstractNum>
  <w:abstractNum w:abstractNumId="38">
    <w:nsid w:val="542289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9">
    <w:nsid w:val="6DE91B18"/>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40">
    <w:nsid w:val="38437FD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1">
    <w:nsid w:val="7644A45C"/>
    <w:multiLevelType w:val="hybridMultilevel"/>
    <w:lvl w:ilvl="0">
      <w:lvlJc w:val="left"/>
      <w:lvlText w:val="%1."/>
      <w:numFmt w:val="decimal"/>
      <w:start w:val="8"/>
    </w:lvl>
    <w:lvl w:ilvl="1">
      <w:lvlJc w:val="left"/>
      <w:lvlText w:val="(%2)"/>
      <w:numFmt w:val="lowerLetter"/>
      <w:start w:val="1"/>
    </w:lvl>
  </w:abstractNum>
  <w:abstractNum w:abstractNumId="42">
    <w:nsid w:val="32FFF902"/>
    <w:multiLevelType w:val="hybridMultilevel"/>
    <w:lvl w:ilvl="0">
      <w:lvlJc w:val="left"/>
      <w:lvlText w:val="%1"/>
      <w:numFmt w:val="decimal"/>
      <w:start w:val="1"/>
    </w:lvl>
    <w:lvl w:ilvl="1">
      <w:lvlJc w:val="left"/>
      <w:lvlText w:val="(%2)"/>
      <w:numFmt w:val="lowerLetter"/>
      <w:start w:val="2"/>
    </w:lvl>
  </w:abstractNum>
  <w:abstractNum w:abstractNumId="43">
    <w:nsid w:val="684A481A"/>
    <w:multiLevelType w:val="hybridMultilevel"/>
    <w:lvl w:ilvl="0">
      <w:lvlJc w:val="left"/>
      <w:lvlText w:val="%1."/>
      <w:numFmt w:val="decimal"/>
      <w:start w:val="12"/>
    </w:lvl>
    <w:lvl w:ilvl="1">
      <w:lvlJc w:val="left"/>
      <w:lvlText w:val="%2"/>
      <w:numFmt w:val="lowerLetter"/>
      <w:start w:val="1"/>
    </w:lvl>
  </w:abstractNum>
  <w:abstractNum w:abstractNumId="44">
    <w:nsid w:val="579478FE"/>
    <w:multiLevelType w:val="hybridMultilevel"/>
    <w:lvl w:ilvl="0">
      <w:lvlJc w:val="left"/>
      <w:lvlText w:val="%1."/>
      <w:numFmt w:val="decimal"/>
      <w:start w:val="16"/>
    </w:lvl>
  </w:abstractNum>
  <w:abstractNum w:abstractNumId="45">
    <w:nsid w:val="749ABB43"/>
    <w:multiLevelType w:val="hybridMultilevel"/>
    <w:lvl w:ilvl="0">
      <w:lvlJc w:val="left"/>
      <w:lvlText w:val="%1."/>
      <w:numFmt w:val="decimal"/>
      <w:start w:val="17"/>
    </w:lvl>
  </w:abstractNum>
  <w:abstractNum w:abstractNumId="46">
    <w:nsid w:val="3DC240FB"/>
    <w:multiLevelType w:val="hybridMultilevel"/>
    <w:lvl w:ilvl="0">
      <w:lvlJc w:val="left"/>
      <w:lvlText w:val="%1."/>
      <w:numFmt w:val="decimal"/>
      <w:start w:val="21"/>
    </w:lvl>
    <w:lvl w:ilvl="1">
      <w:lvlJc w:val="left"/>
      <w:lvlText w:val="(%2)"/>
      <w:numFmt w:val="lowerLetter"/>
      <w:start w:val="1"/>
    </w:lvl>
  </w:abstractNum>
  <w:abstractNum w:abstractNumId="47">
    <w:nsid w:val="1BA026FA"/>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48">
    <w:nsid w:val="79A1DEAA"/>
    <w:multiLevelType w:val="hybridMultilevel"/>
    <w:lvl w:ilvl="0">
      <w:lvlJc w:val="left"/>
      <w:lvlText w:val="(%1)"/>
      <w:numFmt w:val="lowerRoman"/>
      <w:start w:val="4"/>
    </w:lvl>
  </w:abstractNum>
  <w:abstractNum w:abstractNumId="49">
    <w:nsid w:val="75C6C33A"/>
    <w:multiLevelType w:val="hybridMultilevel"/>
    <w:lvl w:ilvl="0">
      <w:lvlJc w:val="left"/>
      <w:lvlText w:val="(%1)"/>
      <w:numFmt w:val="lowerLetter"/>
      <w:start w:val="3"/>
    </w:lvl>
  </w:abstractNum>
  <w:abstractNum w:abstractNumId="50">
    <w:nsid w:val="12E685FB"/>
    <w:multiLevelType w:val="hybridMultilevel"/>
    <w:lvl w:ilvl="0">
      <w:lvlJc w:val="left"/>
      <w:lvlText w:val="(%1)"/>
      <w:numFmt w:val="lowerLetter"/>
      <w:start w:val="7"/>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28" Type="http://schemas.openxmlformats.org/officeDocument/2006/relationships/hyperlink" Target="http://www.sec.gov/Archives/edgar/data/918541/000119312520108738/d852780dex31.htm" TargetMode="External"/><Relationship Id="rId29" Type="http://schemas.openxmlformats.org/officeDocument/2006/relationships/hyperlink" Target="http://www.sec.gov/Archives/edgar/data/918541/000119312520108738/d85278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2020-05-11T14:02:31Z</dcterms:created>
  <dcterms:modified xsi:type="dcterms:W3CDTF">2020-05-11T14:02:31Z</dcterms:modified>
</cp:coreProperties>
</file>