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148590</wp:posOffset>
            </wp:positionH>
            <wp:positionV relativeFrom="page">
              <wp:posOffset>109855</wp:posOffset>
            </wp:positionV>
            <wp:extent cx="726440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6195"/>
                    </a:xfrm>
                    <a:prstGeom prst="rect">
                      <a:avLst/>
                    </a:prstGeom>
                    <a:noFill/>
                  </pic:spPr>
                </pic:pic>
              </a:graphicData>
            </a:graphic>
          </wp:anchor>
        </w:drawing>
        <w:t>UNITED STATES</w:t>
      </w:r>
    </w:p>
    <w:p>
      <w:pPr>
        <w:spacing w:after="0" w:line="25" w:lineRule="exact"/>
        <w:rPr>
          <w:sz w:val="24"/>
          <w:szCs w:val="24"/>
          <w:color w:val="auto"/>
        </w:rPr>
      </w:pPr>
    </w:p>
    <w:p>
      <w:pPr>
        <w:jc w:val="center"/>
        <w:ind w:right="-779"/>
        <w:spacing w:after="0"/>
        <w:rPr>
          <w:sz w:val="20"/>
          <w:szCs w:val="20"/>
          <w:color w:val="auto"/>
        </w:rPr>
      </w:pPr>
      <w:r>
        <w:rPr>
          <w:rFonts w:ascii="Arial" w:cs="Arial" w:eastAsia="Arial" w:hAnsi="Arial"/>
          <w:sz w:val="23"/>
          <w:szCs w:val="23"/>
          <w:color w:val="auto"/>
        </w:rPr>
        <w:t>SECURITIES AND EXCHANGE COMMISSION</w:t>
      </w:r>
    </w:p>
    <w:p>
      <w:pPr>
        <w:spacing w:after="0" w:line="2" w:lineRule="exact"/>
        <w:rPr>
          <w:sz w:val="24"/>
          <w:szCs w:val="24"/>
          <w:color w:val="auto"/>
        </w:rPr>
      </w:pPr>
    </w:p>
    <w:p>
      <w:pPr>
        <w:ind w:left="4940"/>
        <w:spacing w:after="0"/>
        <w:rPr>
          <w:sz w:val="20"/>
          <w:szCs w:val="20"/>
          <w:color w:val="auto"/>
        </w:rPr>
      </w:pPr>
      <w:r>
        <w:rPr>
          <w:rFonts w:ascii="Arial" w:cs="Arial" w:eastAsia="Arial" w:hAnsi="Arial"/>
          <w:sz w:val="16"/>
          <w:szCs w:val="16"/>
          <w:color w:val="auto"/>
        </w:rPr>
        <w:t>Washington, DC 20549</w:t>
      </w:r>
    </w:p>
    <w:p>
      <w:pPr>
        <w:spacing w:after="0" w:line="200" w:lineRule="exact"/>
        <w:rPr>
          <w:sz w:val="24"/>
          <w:szCs w:val="24"/>
          <w:color w:val="auto"/>
        </w:rPr>
      </w:pPr>
    </w:p>
    <w:p>
      <w:pPr>
        <w:spacing w:after="0" w:line="213" w:lineRule="exact"/>
        <w:rPr>
          <w:sz w:val="24"/>
          <w:szCs w:val="24"/>
          <w:color w:val="auto"/>
        </w:rPr>
      </w:pPr>
    </w:p>
    <w:p>
      <w:pPr>
        <w:ind w:left="5000"/>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65" w:lineRule="exact"/>
        <w:rPr>
          <w:sz w:val="24"/>
          <w:szCs w:val="24"/>
          <w:color w:val="auto"/>
        </w:rPr>
      </w:pPr>
    </w:p>
    <w:p>
      <w:pPr>
        <w:ind w:left="5000"/>
        <w:spacing w:after="0"/>
        <w:rPr>
          <w:sz w:val="20"/>
          <w:szCs w:val="20"/>
          <w:color w:val="auto"/>
        </w:rPr>
      </w:pPr>
      <w:r>
        <w:rPr>
          <w:rFonts w:ascii="Arial" w:cs="Arial" w:eastAsia="Arial" w:hAnsi="Arial"/>
          <w:sz w:val="16"/>
          <w:szCs w:val="16"/>
          <w:color w:val="auto"/>
        </w:rPr>
        <w:t>CURRENT REPORT</w:t>
      </w:r>
    </w:p>
    <w:p>
      <w:pPr>
        <w:spacing w:after="0" w:line="200" w:lineRule="exact"/>
        <w:rPr>
          <w:sz w:val="24"/>
          <w:szCs w:val="24"/>
          <w:color w:val="auto"/>
        </w:rPr>
      </w:pPr>
    </w:p>
    <w:p>
      <w:pPr>
        <w:spacing w:after="0" w:line="253" w:lineRule="exact"/>
        <w:rPr>
          <w:sz w:val="24"/>
          <w:szCs w:val="24"/>
          <w:color w:val="auto"/>
        </w:rPr>
      </w:pPr>
    </w:p>
    <w:p>
      <w:pPr>
        <w:ind w:left="2600"/>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Date of Report (Date of earliest event reported): November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3375660</wp:posOffset>
            </wp:positionH>
            <wp:positionV relativeFrom="paragraph">
              <wp:posOffset>155575</wp:posOffset>
            </wp:positionV>
            <wp:extent cx="513715"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3715"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920"/>
        <w:spacing w:after="0"/>
        <w:rPr>
          <w:sz w:val="20"/>
          <w:szCs w:val="20"/>
          <w:color w:val="auto"/>
        </w:rPr>
      </w:pPr>
      <w:r>
        <w:rPr>
          <w:rFonts w:ascii="Arial" w:cs="Arial" w:eastAsia="Arial" w:hAnsi="Arial"/>
          <w:sz w:val="39"/>
          <w:szCs w:val="39"/>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354330</wp:posOffset>
            </wp:positionV>
            <wp:extent cx="7274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4220" w:type="dxa"/>
            <w:vAlign w:val="bottom"/>
          </w:tcPr>
          <w:p>
            <w:pPr>
              <w:jc w:val="center"/>
              <w:ind w:right="78"/>
              <w:spacing w:after="0"/>
              <w:rPr>
                <w:sz w:val="20"/>
                <w:szCs w:val="20"/>
                <w:color w:val="auto"/>
              </w:rPr>
            </w:pPr>
            <w:r>
              <w:rPr>
                <w:rFonts w:ascii="Arial" w:cs="Arial" w:eastAsia="Arial" w:hAnsi="Arial"/>
                <w:sz w:val="16"/>
                <w:szCs w:val="16"/>
                <w:color w:val="auto"/>
                <w:w w:val="92"/>
              </w:rPr>
              <w:t>(Exact name of registrant as specified in its charter)</w:t>
            </w:r>
          </w:p>
        </w:tc>
        <w:tc>
          <w:tcPr>
            <w:tcW w:w="2740" w:type="dxa"/>
            <w:vAlign w:val="bottom"/>
          </w:tcPr>
          <w:p>
            <w:pPr>
              <w:spacing w:after="0"/>
              <w:rPr>
                <w:sz w:val="18"/>
                <w:szCs w:val="18"/>
                <w:color w:val="auto"/>
              </w:rPr>
            </w:pPr>
          </w:p>
        </w:tc>
      </w:tr>
      <w:tr>
        <w:trPr>
          <w:trHeight w:val="626"/>
        </w:trPr>
        <w:tc>
          <w:tcPr>
            <w:tcW w:w="3220" w:type="dxa"/>
            <w:vAlign w:val="bottom"/>
          </w:tcPr>
          <w:p>
            <w:pPr>
              <w:jc w:val="center"/>
              <w:ind w:right="238"/>
              <w:spacing w:after="0"/>
              <w:rPr>
                <w:sz w:val="20"/>
                <w:szCs w:val="20"/>
                <w:color w:val="auto"/>
              </w:rPr>
            </w:pPr>
            <w:r>
              <w:rPr>
                <w:rFonts w:ascii="Arial" w:cs="Arial" w:eastAsia="Arial" w:hAnsi="Arial"/>
                <w:sz w:val="16"/>
                <w:szCs w:val="16"/>
                <w:color w:val="auto"/>
                <w:w w:val="91"/>
              </w:rPr>
              <w:t>Delaware</w:t>
            </w:r>
          </w:p>
        </w:tc>
        <w:tc>
          <w:tcPr>
            <w:tcW w:w="4220" w:type="dxa"/>
            <w:vAlign w:val="bottom"/>
          </w:tcPr>
          <w:p>
            <w:pPr>
              <w:jc w:val="center"/>
              <w:ind w:right="78"/>
              <w:spacing w:after="0"/>
              <w:rPr>
                <w:sz w:val="20"/>
                <w:szCs w:val="20"/>
                <w:color w:val="auto"/>
              </w:rPr>
            </w:pPr>
            <w:r>
              <w:rPr>
                <w:rFonts w:ascii="Arial" w:cs="Arial" w:eastAsia="Arial" w:hAnsi="Arial"/>
                <w:sz w:val="16"/>
                <w:szCs w:val="16"/>
                <w:color w:val="auto"/>
                <w:w w:val="91"/>
              </w:rPr>
              <w:t>0-23486</w:t>
            </w:r>
          </w:p>
        </w:tc>
        <w:tc>
          <w:tcPr>
            <w:tcW w:w="2740" w:type="dxa"/>
            <w:vAlign w:val="bottom"/>
          </w:tcPr>
          <w:p>
            <w:pPr>
              <w:jc w:val="right"/>
              <w:ind w:right="638"/>
              <w:spacing w:after="0"/>
              <w:rPr>
                <w:sz w:val="20"/>
                <w:szCs w:val="20"/>
                <w:color w:val="auto"/>
              </w:rPr>
            </w:pPr>
            <w:r>
              <w:rPr>
                <w:rFonts w:ascii="Arial" w:cs="Arial" w:eastAsia="Arial" w:hAnsi="Arial"/>
                <w:sz w:val="16"/>
                <w:szCs w:val="16"/>
                <w:color w:val="auto"/>
              </w:rPr>
              <w:t>62-1096725</w:t>
            </w:r>
          </w:p>
        </w:tc>
      </w:tr>
      <w:tr>
        <w:trPr>
          <w:trHeight w:val="208"/>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95"/>
              </w:rPr>
              <w:t>(State or other jurisdiction of incorporation)</w:t>
            </w:r>
          </w:p>
        </w:tc>
        <w:tc>
          <w:tcPr>
            <w:tcW w:w="4220" w:type="dxa"/>
            <w:vAlign w:val="bottom"/>
          </w:tcPr>
          <w:p>
            <w:pPr>
              <w:jc w:val="center"/>
              <w:ind w:right="58"/>
              <w:spacing w:after="0"/>
              <w:rPr>
                <w:sz w:val="20"/>
                <w:szCs w:val="20"/>
                <w:color w:val="auto"/>
              </w:rPr>
            </w:pPr>
            <w:r>
              <w:rPr>
                <w:rFonts w:ascii="Arial" w:cs="Arial" w:eastAsia="Arial" w:hAnsi="Arial"/>
                <w:sz w:val="16"/>
                <w:szCs w:val="16"/>
                <w:color w:val="auto"/>
                <w:w w:val="94"/>
              </w:rPr>
              <w:t>(Commission File Number)</w:t>
            </w:r>
          </w:p>
        </w:tc>
        <w:tc>
          <w:tcPr>
            <w:tcW w:w="2740" w:type="dxa"/>
            <w:vAlign w:val="bottom"/>
          </w:tcPr>
          <w:p>
            <w:pPr>
              <w:jc w:val="center"/>
              <w:ind w:left="418"/>
              <w:spacing w:after="0"/>
              <w:rPr>
                <w:sz w:val="20"/>
                <w:szCs w:val="20"/>
                <w:color w:val="auto"/>
              </w:rPr>
            </w:pPr>
            <w:r>
              <w:rPr>
                <w:rFonts w:ascii="Arial" w:cs="Arial" w:eastAsia="Arial" w:hAnsi="Arial"/>
                <w:sz w:val="16"/>
                <w:szCs w:val="16"/>
                <w:color w:val="auto"/>
                <w:w w:val="96"/>
              </w:rPr>
              <w:t>(IRS Employer Identification No.)</w:t>
            </w:r>
          </w:p>
        </w:tc>
      </w:tr>
      <w:tr>
        <w:trPr>
          <w:trHeight w:val="381"/>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91"/>
              </w:rPr>
              <w:t>2000 Waters Edge Drive</w:t>
            </w:r>
          </w:p>
        </w:tc>
        <w:tc>
          <w:tcPr>
            <w:tcW w:w="42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96"/>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88"/>
              </w:rPr>
              <w:t>Johnson City, Tennessee</w:t>
            </w:r>
          </w:p>
        </w:tc>
        <w:tc>
          <w:tcPr>
            <w:tcW w:w="4220" w:type="dxa"/>
            <w:vAlign w:val="bottom"/>
          </w:tcPr>
          <w:p>
            <w:pPr>
              <w:spacing w:after="0"/>
              <w:rPr>
                <w:sz w:val="17"/>
                <w:szCs w:val="17"/>
                <w:color w:val="auto"/>
              </w:rPr>
            </w:pPr>
          </w:p>
        </w:tc>
        <w:tc>
          <w:tcPr>
            <w:tcW w:w="2740" w:type="dxa"/>
            <w:vAlign w:val="bottom"/>
          </w:tcPr>
          <w:p>
            <w:pPr>
              <w:jc w:val="right"/>
              <w:ind w:right="838"/>
              <w:spacing w:after="0"/>
              <w:rPr>
                <w:sz w:val="20"/>
                <w:szCs w:val="20"/>
                <w:color w:val="auto"/>
              </w:rPr>
            </w:pPr>
            <w:r>
              <w:rPr>
                <w:rFonts w:ascii="Arial" w:cs="Arial" w:eastAsia="Arial" w:hAnsi="Arial"/>
                <w:sz w:val="16"/>
                <w:szCs w:val="16"/>
                <w:color w:val="auto"/>
              </w:rPr>
              <w:t>37604</w:t>
            </w:r>
          </w:p>
        </w:tc>
      </w:tr>
      <w:tr>
        <w:trPr>
          <w:trHeight w:val="208"/>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94"/>
              </w:rPr>
              <w:t>(Address of principal executive offices)</w:t>
            </w:r>
          </w:p>
        </w:tc>
        <w:tc>
          <w:tcPr>
            <w:tcW w:w="4220" w:type="dxa"/>
            <w:vAlign w:val="bottom"/>
          </w:tcPr>
          <w:p>
            <w:pPr>
              <w:spacing w:after="0"/>
              <w:rPr>
                <w:sz w:val="18"/>
                <w:szCs w:val="18"/>
                <w:color w:val="auto"/>
              </w:rPr>
            </w:pPr>
          </w:p>
        </w:tc>
        <w:tc>
          <w:tcPr>
            <w:tcW w:w="2740" w:type="dxa"/>
            <w:vAlign w:val="bottom"/>
          </w:tcPr>
          <w:p>
            <w:pPr>
              <w:jc w:val="center"/>
              <w:ind w:left="418"/>
              <w:spacing w:after="0"/>
              <w:rPr>
                <w:sz w:val="20"/>
                <w:szCs w:val="20"/>
                <w:color w:val="auto"/>
              </w:rPr>
            </w:pPr>
            <w:r>
              <w:rPr>
                <w:rFonts w:ascii="Arial" w:cs="Arial" w:eastAsia="Arial" w:hAnsi="Arial"/>
                <w:sz w:val="16"/>
                <w:szCs w:val="16"/>
                <w:color w:val="auto"/>
                <w:w w:val="95"/>
              </w:rPr>
              <w:t>(Zip Code)</w:t>
            </w:r>
          </w:p>
        </w:tc>
      </w:tr>
    </w:tbl>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 (423)743-9151</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o Written communications pursuant to Rule 425 under the Securities Act (17CFT 230.425)</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Soliciting material pursuant to Rule 14a-12 under the Exchange Act (17CFT 240.14a-12)</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14d-2(b) under the Exchange Act (17CFT 240.14d-2(b))</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1226820</wp:posOffset>
            </wp:positionV>
            <wp:extent cx="726440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0640"/>
          </w:cols>
          <w:pgMar w:left="240" w:top="737" w:right="10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Published as Exhibit 99.1 is NN Inc.'s press release dated November 1, 2011 regarding the results for the third quarter ended September 30, 2011.</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attached press release includes the following non-GAAP measures restructuring changes and foreign exchange gain on intercompany loans.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uses financial information that does not include restructuring changes and foreign exchange gain on intercompany loans.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following exhibit is furnished pursuant to Item 2.02, is not considered "filed" under the Securities Exchange Act of 1934, as amended, and shall not be incorporated into any of the previous or future filings of NN, Inc. under the Securities Act of 1933, as amended, or the Exchange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620" w:type="dxa"/>
            <w:vAlign w:val="bottom"/>
            <w:gridSpan w:val="3"/>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of Exhibit</w:t>
            </w: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212"/>
        </w:trPr>
        <w:tc>
          <w:tcPr>
            <w:tcW w:w="580" w:type="dxa"/>
            <w:vAlign w:val="bottom"/>
          </w:tcPr>
          <w:p>
            <w:pPr>
              <w:jc w:val="right"/>
              <w:ind w:right="178"/>
              <w:spacing w:after="0"/>
              <w:rPr>
                <w:sz w:val="20"/>
                <w:szCs w:val="20"/>
                <w:color w:val="auto"/>
              </w:rPr>
            </w:pPr>
            <w:r>
              <w:rPr>
                <w:rFonts w:ascii="Arial" w:cs="Arial" w:eastAsia="Arial" w:hAnsi="Arial"/>
                <w:sz w:val="16"/>
                <w:szCs w:val="16"/>
                <w:color w:val="auto"/>
                <w:w w:val="96"/>
              </w:rPr>
              <w:t>99.1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gridSpan w:val="2"/>
          </w:tcPr>
          <w:p>
            <w:pPr>
              <w:ind w:left="40"/>
              <w:spacing w:after="0"/>
              <w:rPr>
                <w:sz w:val="20"/>
                <w:szCs w:val="20"/>
                <w:color w:val="auto"/>
              </w:rPr>
            </w:pPr>
            <w:r>
              <w:rPr>
                <w:rFonts w:ascii="Arial" w:cs="Arial" w:eastAsia="Arial" w:hAnsi="Arial"/>
                <w:sz w:val="16"/>
                <w:szCs w:val="16"/>
                <w:color w:val="auto"/>
              </w:rPr>
              <w:t>Press Release of NN, Inc. dated November 1, 2011</w:t>
            </w:r>
          </w:p>
        </w:tc>
      </w:tr>
      <w:tr>
        <w:trPr>
          <w:trHeight w:val="1039"/>
        </w:trPr>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6"/>
          <w:szCs w:val="16"/>
          <w:color w:val="auto"/>
        </w:rPr>
        <w:t>SIGNATURES</w:t>
      </w:r>
    </w:p>
    <w:p>
      <w:pPr>
        <w:spacing w:after="0" w:line="200" w:lineRule="exact"/>
        <w:rPr>
          <w:sz w:val="20"/>
          <w:szCs w:val="20"/>
          <w:color w:val="auto"/>
        </w:rPr>
      </w:pPr>
    </w:p>
    <w:p>
      <w:pPr>
        <w:spacing w:after="0" w:line="2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NN, INC.</w:t>
      </w:r>
    </w:p>
    <w:p>
      <w:pPr>
        <w:spacing w:after="0" w:line="212"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November 1, 2011</w:t>
      </w:r>
      <w:r>
        <w:rPr>
          <w:sz w:val="20"/>
          <w:szCs w:val="20"/>
          <w:color w:val="auto"/>
        </w:rPr>
        <w:tab/>
      </w: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23495</wp:posOffset>
            </wp:positionV>
            <wp:extent cx="25444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4445" cy="1587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Name : William C. Kelly Jr.</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Vice President and Chief Administrative Officer</w:t>
      </w:r>
    </w:p>
    <w:p>
      <w:pPr>
        <w:sectPr>
          <w:pgSz w:w="11900" w:h="16838" w:orient="portrait"/>
          <w:cols w:equalWidth="0" w:num="1">
            <w:col w:w="11100"/>
          </w:cols>
          <w:pgMar w:left="240" w:top="703"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10795</wp:posOffset>
            </wp:positionV>
            <wp:extent cx="2202180" cy="669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180" cy="669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679450</wp:posOffset>
            </wp:positionV>
            <wp:extent cx="1392555"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255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 NN, Inc.</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 Waters Edge Drive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gridSpan w:val="3"/>
          </w:tcPr>
          <w:p>
            <w:pPr>
              <w:spacing w:after="0"/>
              <w:rPr>
                <w:sz w:val="20"/>
                <w:szCs w:val="20"/>
                <w:color w:val="auto"/>
              </w:rPr>
            </w:pPr>
            <w:r>
              <w:rPr>
                <w:rFonts w:ascii="Arial" w:cs="Arial" w:eastAsia="Arial" w:hAnsi="Arial"/>
                <w:sz w:val="16"/>
                <w:szCs w:val="16"/>
                <w:color w:val="auto"/>
              </w:rPr>
              <w:t>FOR FURTHER INFORMATION:</w:t>
            </w:r>
          </w:p>
        </w:tc>
        <w:tc>
          <w:tcPr>
            <w:tcW w:w="2800" w:type="dxa"/>
            <w:vAlign w:val="bottom"/>
          </w:tcPr>
          <w:p>
            <w:pPr>
              <w:spacing w:after="0"/>
              <w:rPr>
                <w:sz w:val="18"/>
                <w:szCs w:val="18"/>
                <w:color w:val="auto"/>
              </w:rPr>
            </w:pPr>
          </w:p>
        </w:tc>
      </w:tr>
      <w:tr>
        <w:trPr>
          <w:trHeight w:val="822"/>
        </w:trPr>
        <w:tc>
          <w:tcPr>
            <w:tcW w:w="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AT THE COMPANY</w:t>
            </w:r>
          </w:p>
        </w:tc>
        <w:tc>
          <w:tcPr>
            <w:tcW w:w="2800" w:type="dxa"/>
            <w:vAlign w:val="bottom"/>
          </w:tcPr>
          <w:p>
            <w:pPr>
              <w:spacing w:after="0"/>
              <w:rPr>
                <w:sz w:val="20"/>
                <w:szCs w:val="20"/>
                <w:color w:val="auto"/>
              </w:rPr>
            </w:pPr>
            <w:r>
              <w:rPr>
                <w:rFonts w:ascii="Arial" w:cs="Arial" w:eastAsia="Arial" w:hAnsi="Arial"/>
                <w:sz w:val="16"/>
                <w:szCs w:val="16"/>
                <w:b w:val="1"/>
                <w:bCs w:val="1"/>
                <w:color w:val="auto"/>
              </w:rPr>
              <w:t>AT FINANCIAL RELATIONS BOARD</w:t>
            </w:r>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00"/>
        </w:trPr>
        <w:tc>
          <w:tcPr>
            <w:tcW w:w="5760" w:type="dxa"/>
            <w:vAlign w:val="bottom"/>
            <w:gridSpan w:val="3"/>
          </w:tcPr>
          <w:p>
            <w:pPr>
              <w:ind w:left="40"/>
              <w:spacing w:after="0"/>
              <w:rPr>
                <w:sz w:val="20"/>
                <w:szCs w:val="20"/>
                <w:color w:val="auto"/>
              </w:rPr>
            </w:pPr>
            <w:r>
              <w:rPr>
                <w:rFonts w:ascii="Arial" w:cs="Arial" w:eastAsia="Arial" w:hAnsi="Arial"/>
                <w:sz w:val="16"/>
                <w:szCs w:val="16"/>
                <w:color w:val="auto"/>
              </w:rPr>
              <w:t>Will Kelly</w:t>
            </w:r>
          </w:p>
        </w:tc>
        <w:tc>
          <w:tcPr>
            <w:tcW w:w="2800" w:type="dxa"/>
            <w:vAlign w:val="bottom"/>
          </w:tcPr>
          <w:p>
            <w:pPr>
              <w:spacing w:after="0"/>
              <w:rPr>
                <w:sz w:val="20"/>
                <w:szCs w:val="20"/>
                <w:color w:val="auto"/>
              </w:rPr>
            </w:pPr>
            <w:r>
              <w:rPr>
                <w:rFonts w:ascii="Arial" w:cs="Arial" w:eastAsia="Arial" w:hAnsi="Arial"/>
                <w:sz w:val="16"/>
                <w:szCs w:val="16"/>
                <w:color w:val="auto"/>
              </w:rPr>
              <w:t>Marilynn Meek</w:t>
            </w:r>
          </w:p>
        </w:tc>
      </w:tr>
      <w:tr>
        <w:trPr>
          <w:trHeight w:val="196"/>
        </w:trPr>
        <w:tc>
          <w:tcPr>
            <w:tcW w:w="5760" w:type="dxa"/>
            <w:vAlign w:val="bottom"/>
            <w:gridSpan w:val="3"/>
          </w:tcPr>
          <w:p>
            <w:pPr>
              <w:ind w:left="40"/>
              <w:spacing w:after="0"/>
              <w:rPr>
                <w:sz w:val="20"/>
                <w:szCs w:val="20"/>
                <w:color w:val="auto"/>
              </w:rPr>
            </w:pPr>
            <w:r>
              <w:rPr>
                <w:rFonts w:ascii="Arial" w:cs="Arial" w:eastAsia="Arial" w:hAnsi="Arial"/>
                <w:sz w:val="16"/>
                <w:szCs w:val="16"/>
                <w:color w:val="auto"/>
              </w:rPr>
              <w:t>Vice President and Chief Administrative Officer</w:t>
            </w:r>
          </w:p>
        </w:tc>
        <w:tc>
          <w:tcPr>
            <w:tcW w:w="2800" w:type="dxa"/>
            <w:vAlign w:val="bottom"/>
          </w:tcPr>
          <w:p>
            <w:pPr>
              <w:spacing w:after="0"/>
              <w:rPr>
                <w:sz w:val="20"/>
                <w:szCs w:val="20"/>
                <w:color w:val="auto"/>
              </w:rPr>
            </w:pPr>
            <w:r>
              <w:rPr>
                <w:rFonts w:ascii="Arial" w:cs="Arial" w:eastAsia="Arial" w:hAnsi="Arial"/>
                <w:sz w:val="16"/>
                <w:szCs w:val="16"/>
                <w:color w:val="auto"/>
              </w:rPr>
              <w:t>(General info)</w:t>
            </w:r>
          </w:p>
        </w:tc>
      </w:tr>
      <w:tr>
        <w:trPr>
          <w:trHeight w:val="208"/>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(423) 743-9151</w:t>
            </w:r>
          </w:p>
        </w:tc>
        <w:tc>
          <w:tcPr>
            <w:tcW w:w="42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212-827-3773</w:t>
            </w:r>
          </w:p>
        </w:tc>
      </w:tr>
      <w:tr>
        <w:trPr>
          <w:trHeight w:val="405"/>
        </w:trPr>
        <w:tc>
          <w:tcPr>
            <w:tcW w:w="5760" w:type="dxa"/>
            <w:vAlign w:val="bottom"/>
            <w:gridSpan w:val="3"/>
          </w:tcPr>
          <w:p>
            <w:pPr>
              <w:spacing w:after="0"/>
              <w:rPr>
                <w:sz w:val="20"/>
                <w:szCs w:val="20"/>
                <w:color w:val="auto"/>
              </w:rPr>
            </w:pPr>
            <w:r>
              <w:rPr>
                <w:rFonts w:ascii="Arial" w:cs="Arial" w:eastAsia="Arial" w:hAnsi="Arial"/>
                <w:sz w:val="16"/>
                <w:szCs w:val="16"/>
                <w:b w:val="1"/>
                <w:bCs w:val="1"/>
                <w:color w:val="auto"/>
              </w:rPr>
              <w:t>FOR IMMEDIATE RELEASE</w:t>
            </w:r>
          </w:p>
        </w:tc>
        <w:tc>
          <w:tcPr>
            <w:tcW w:w="2800" w:type="dxa"/>
            <w:vAlign w:val="bottom"/>
          </w:tcPr>
          <w:p>
            <w:pPr>
              <w:spacing w:after="0"/>
              <w:rPr>
                <w:sz w:val="24"/>
                <w:szCs w:val="24"/>
                <w:color w:val="auto"/>
              </w:rPr>
            </w:pPr>
          </w:p>
        </w:tc>
      </w:tr>
      <w:tr>
        <w:trPr>
          <w:trHeight w:val="208"/>
        </w:trPr>
        <w:tc>
          <w:tcPr>
            <w:tcW w:w="5760" w:type="dxa"/>
            <w:vAlign w:val="bottom"/>
            <w:gridSpan w:val="3"/>
          </w:tcPr>
          <w:p>
            <w:pPr>
              <w:spacing w:after="0"/>
              <w:rPr>
                <w:sz w:val="20"/>
                <w:szCs w:val="20"/>
                <w:color w:val="auto"/>
              </w:rPr>
            </w:pPr>
            <w:r>
              <w:rPr>
                <w:rFonts w:ascii="Arial" w:cs="Arial" w:eastAsia="Arial" w:hAnsi="Arial"/>
                <w:sz w:val="16"/>
                <w:szCs w:val="16"/>
                <w:color w:val="auto"/>
              </w:rPr>
              <w:t>November 1, 2011</w:t>
            </w:r>
          </w:p>
        </w:tc>
        <w:tc>
          <w:tcPr>
            <w:tcW w:w="2800" w:type="dxa"/>
            <w:vAlign w:val="bottom"/>
          </w:tcPr>
          <w:p>
            <w:pPr>
              <w:spacing w:after="0"/>
              <w:rPr>
                <w:sz w:val="18"/>
                <w:szCs w:val="18"/>
                <w:color w:val="auto"/>
              </w:rPr>
            </w:pPr>
          </w:p>
        </w:tc>
      </w:tr>
    </w:tbl>
    <w:p>
      <w:pPr>
        <w:spacing w:after="0" w:line="205" w:lineRule="exact"/>
        <w:rPr>
          <w:sz w:val="20"/>
          <w:szCs w:val="20"/>
          <w:color w:val="auto"/>
        </w:rPr>
      </w:pPr>
    </w:p>
    <w:p>
      <w:pPr>
        <w:ind w:left="3200" w:hanging="286"/>
        <w:spacing w:after="0"/>
        <w:tabs>
          <w:tab w:leader="none" w:pos="3200"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REPORTS RECORD THIRD QUARTER AND NINE MONTHS RESULTS</w:t>
      </w:r>
    </w:p>
    <w:p>
      <w:pPr>
        <w:spacing w:after="0" w:line="232" w:lineRule="exact"/>
        <w:rPr>
          <w:rFonts w:ascii="Arial" w:cs="Arial" w:eastAsia="Arial" w:hAnsi="Arial"/>
          <w:sz w:val="16"/>
          <w:szCs w:val="16"/>
          <w:b w:val="1"/>
          <w:bCs w:val="1"/>
          <w:color w:val="auto"/>
        </w:rPr>
      </w:pPr>
    </w:p>
    <w:p>
      <w:pPr>
        <w:ind w:left="580" w:hanging="116"/>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Third quarter revenues rose 11% for the quarter and 22% for first nine months over prior year</w:t>
      </w:r>
    </w:p>
    <w:p>
      <w:pPr>
        <w:spacing w:after="0" w:line="27" w:lineRule="exact"/>
        <w:rPr>
          <w:rFonts w:ascii="Arial" w:cs="Arial" w:eastAsia="Arial" w:hAnsi="Arial"/>
          <w:sz w:val="16"/>
          <w:szCs w:val="16"/>
          <w:color w:val="auto"/>
        </w:rPr>
      </w:pPr>
    </w:p>
    <w:p>
      <w:pPr>
        <w:ind w:left="580" w:right="20" w:hanging="116"/>
        <w:spacing w:after="0" w:line="255"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Net income from normal operations for the third quarter and nine months ended September 30, 2011 was $3.3 million and $15.0 million, respectively, as compared to $2.8 million and $8.5 million for the same periods in 2010</w:t>
      </w:r>
    </w:p>
    <w:p>
      <w:pPr>
        <w:spacing w:after="0" w:line="1" w:lineRule="exact"/>
        <w:rPr>
          <w:rFonts w:ascii="Arial" w:cs="Arial" w:eastAsia="Arial" w:hAnsi="Arial"/>
          <w:sz w:val="16"/>
          <w:szCs w:val="16"/>
          <w:color w:val="auto"/>
        </w:rPr>
      </w:pPr>
    </w:p>
    <w:p>
      <w:pPr>
        <w:ind w:left="580" w:right="20" w:hanging="116"/>
        <w:spacing w:after="0" w:line="27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Company revises full year revenue guidance from $435 million - $440 million to $425 million - $430 million due to economic uncertainty and strengthening dollar</w:t>
      </w:r>
    </w:p>
    <w:p>
      <w:pPr>
        <w:spacing w:after="0" w:line="182"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b w:val="1"/>
          <w:bCs w:val="1"/>
          <w:color w:val="auto"/>
        </w:rPr>
        <w:t xml:space="preserve">Johnson City, Tenn, November 1, 2011 – NN, Inc. </w:t>
      </w:r>
      <w:r>
        <w:rPr>
          <w:rFonts w:ascii="Arial" w:cs="Arial" w:eastAsia="Arial" w:hAnsi="Arial"/>
          <w:sz w:val="15"/>
          <w:szCs w:val="15"/>
          <w:color w:val="auto"/>
        </w:rPr>
        <w:t>(Nasdaq: NNBR) today reported its financial results for the third quarter and nine months ended September 30,</w:t>
      </w:r>
      <w:r>
        <w:rPr>
          <w:rFonts w:ascii="Arial" w:cs="Arial" w:eastAsia="Arial" w:hAnsi="Arial"/>
          <w:sz w:val="15"/>
          <w:szCs w:val="15"/>
          <w:b w:val="1"/>
          <w:bCs w:val="1"/>
          <w:color w:val="auto"/>
        </w:rPr>
        <w:t xml:space="preserve"> </w:t>
      </w:r>
      <w:r>
        <w:rPr>
          <w:rFonts w:ascii="Arial" w:cs="Arial" w:eastAsia="Arial" w:hAnsi="Arial"/>
          <w:sz w:val="15"/>
          <w:szCs w:val="15"/>
          <w:color w:val="auto"/>
        </w:rPr>
        <w:t>2011. Net sales for the third quarter of 2011 were $101.1 million, an increase of $10.1 million or 11.2%, compared to net sales of $91.0 million for the third quarter of 2010. Approximately $2.0 million, or 20% of the increase, was due to increased sales volume at our Precision Metals segment and increased demand at the U.S. and China operations of the Metal Bearings segment, offset by decreased demand at European operations of our Metal Bearings segment. Foreign currency translation had a positive impact on net sales of $3.9 million. Raw material pass through and price increases accounted for an additional $4.2 million of the increase.</w:t>
      </w:r>
    </w:p>
    <w:p>
      <w:pPr>
        <w:spacing w:after="0" w:line="177"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Reported net income for the current quarter of $4.7 million, or $0.28 per diluted share included approximately $1.4 million net of tax non-operating foreign currency exchange gains on intercompany loans. Excluding this gain, net income from normal operations was $3.3 million, or $0.20 per diluted share. Reported net loss for the third quarter of 2010 of $1.0 million, or $(0.06) per diluted share included $2.5 million net of tax non-operating costs related to plant closing and restructuring costs, and $1.3 million net of tax foreign currency exchange losses on intercompany loans. Excluding these charges, the Company generated net income from normal operations in the third quarter of 2010 of $2.8 million, or $0.17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6440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4" w:name="page5"/>
    <w:bookmarkEnd w:id="4"/>
    <w:p>
      <w:pPr>
        <w:ind w:right="20"/>
        <w:spacing w:after="0" w:line="265" w:lineRule="auto"/>
        <w:rPr>
          <w:sz w:val="20"/>
          <w:szCs w:val="20"/>
          <w:color w:val="auto"/>
        </w:rPr>
      </w:pPr>
      <w:r>
        <w:rPr>
          <w:rFonts w:ascii="Arial" w:cs="Arial" w:eastAsia="Arial" w:hAnsi="Arial"/>
          <w:sz w:val="16"/>
          <w:szCs w:val="16"/>
          <w:color w:val="auto"/>
        </w:rPr>
        <w:t>Net sales for the first nine months of 2011 were $328.4 million, an increase of $59.3 million, or 22.1% compared to net sales of $269.0 million for the first nine months of 2010. Approximately $33.8 million of the increase was attributable to the recovering demand for NN’s products, particularly in industrial and automotive end markets and the addition of new sales programs at Whirlaway. Price increases and the positive effect of raw material pass through accounted for another $15.1 million and the positive effect of foreign currency translation accounted for the remaining $10.4 million of the increase.</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Reported net income for the first nine months of 2011 of $16.0 million, or $0.95 per diluted share included the net of tax benefit of $0.8 million in restructuring gains and $0.2 million in foreign currency exchange gains on intercompany loans. Excluding these gains, the Company generated $15.0 million, or $0.88 per diluted share in net income from normal operations for the first nine months of 2011. Reported net income for the first nine months of 2010 of $4.3 million, or $0.26 per diluted share, included $4.1 million net of tax of non-operating charges comprised of $1.0 million in foreign currency exchange gains on intercompany loans, $4.7 million of plant closing and restructuring charges and $0.5 million of other net charges. Net income from normal operations for the first nine months of 2010 was $8.5 million, or $0.51 per diluted share.</w:t>
      </w:r>
    </w:p>
    <w:p>
      <w:pPr>
        <w:spacing w:after="0" w:line="180"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James H. Dorton, Sr. Vice President and Chief Financial Officer commented, “As a percentage of net sales, cost of products sold of 82.6% was relatively flat with last year’s third quarter of 82.5%. Cost of products sold for the first nine months of this year was 81.8% as compared to 80.8% for the same period last year. The increase is attributed to raw material inflation and start-up costs at our Whirlaway operation. Excluding these factors, cost of products sold for the first nine months of 2011 would have been 79.5%.”</w:t>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Mr. Dorton continued, “Selling, general and administrative expenses were $7.5 million, or 7.4% of net sales for the third quarter of 2011, compared to $7.3 million, or 8.0% of net sales for the third quarter of 2010. We reported SG&amp;A expenses of $23.2 million, or 7.1% of net sales, for the first nine months of this year, compared to $22.4 million, or 8.3% of net sales for the comparable period last year. Throughout the third quarter and the first nine months of the year, we continued to further leverage our increased sales volumes and hold SG&amp;A expenses as a percentage of sales below our historic levels.”</w:t>
      </w:r>
    </w:p>
    <w:p>
      <w:pPr>
        <w:spacing w:after="0" w:line="19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debt, net of cash, was $78.3 million at September 30, 2011, an increase of $10.5 million over the December 31, 2010 amount of $67.8 million. The increase in net debt for the first nine months of the year was due to the funding of working capital increases associated with higher sales volume coupled with the timing of the payment of accounts payable balances. During the first nine months of the year, we have funded approximately $14.8 million, or 62% of our planned 2011 capital budget of $24.0 million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6440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 w:name="page6"/>
    <w:bookmarkEnd w:id="5"/>
    <w:p>
      <w:pPr>
        <w:ind w:right="100"/>
        <w:spacing w:after="0" w:line="263" w:lineRule="auto"/>
        <w:rPr>
          <w:sz w:val="20"/>
          <w:szCs w:val="20"/>
          <w:color w:val="auto"/>
        </w:rPr>
      </w:pPr>
      <w:r>
        <w:rPr>
          <w:rFonts w:ascii="Arial" w:cs="Arial" w:eastAsia="Arial" w:hAnsi="Arial"/>
          <w:sz w:val="16"/>
          <w:szCs w:val="16"/>
          <w:color w:val="auto"/>
        </w:rPr>
        <w:t>“On September 30, 2011, we amended our $100 million revolving credit agreement agented by Keybank and our long-term agreement with Prudential Capital in order to adjust the fixed charge coverage ratio covenant. This adjustment will provide a better correlation between current and expected levels of capital spending and other fixed charges with earnings before taxes, interest and depreciation (EBITDA). The amendment also provides that we will assure the total outstanding amounts under the revolving credit agreement will be at least $10 million less than the total committed amount of $100 million during the period commencing September 30, 2011 and ending September 30, 2012.”</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Roderick R. Baty, Chairman and Chief Executive Officer, commented, “As expected, our third quarter was the weakest of the year, due to normal seasonality in our business, especially in Europe. This year’s revenues were further negatively impacted in Europe due to weak demand in the automotive industry. Demand for our products in the North America automotive and industrial, European industrial markets and the Asian automotive and industrial markets remained relatively strong.”</w:t>
      </w:r>
    </w:p>
    <w:p>
      <w:pPr>
        <w:spacing w:after="0" w:line="16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Whirlaway, we continued to make incremental quarter over quarter improvements in addressing start up manufacturing issues. We have reduced the costs and the resulting losses recorded at Whirlaway as a result of these issues from $2.2 million in the first quarter of this year to $1.1 million in the second quarter to $0.5 million for the third quarter. Importantly, we recorded a slight profit in the last two months of the third quarter. We expect to operate slightly above breakeven levels for the remainder of the year and begin to return to normal levels of profitability in the first half of next year.”</w:t>
      </w:r>
    </w:p>
    <w:p>
      <w:pPr>
        <w:spacing w:after="0" w:line="19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Mr. Baty concluded, “Uncertainty in the global economic markets is expected to continue for the remainder of the year. We are anticipating good levels of demand to continue for the North American automotive and industrial markets, the European industrial markets and the Asian markets with somewhat weaker demand in the European automotive industry. Last quarter we increased our revenue guidance for the full year to a range of $435 million to $440 million from $420 million to $425 million based on customer orders and forecasts. However, we now expect our fourth quarter revenues to be flat to slightly down sequentially to our third quarter revenues. Accordingly, we now feel our full year revenues for 2011 will be closer to a range of $425 million to $430 million. This lower forecast still exceeds our original revenue guidance provided at the beginning of the year of $405 million to $415 million and represents a significant improvement over full year revenues of $365 million in 2010.”</w:t>
      </w:r>
    </w:p>
    <w:p>
      <w:pPr>
        <w:spacing w:after="0" w:line="200" w:lineRule="exact"/>
        <w:rPr>
          <w:sz w:val="20"/>
          <w:szCs w:val="20"/>
          <w:color w:val="auto"/>
        </w:rPr>
      </w:pP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$365 million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6440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2010.</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440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262" w:right="25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Statements of Income</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w w:val="96"/>
              </w:rPr>
              <w:t>Three Months Ended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6"/>
              </w:rPr>
              <w:t>September 30,</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w w:val="89"/>
              </w:rPr>
              <w:t>2011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2010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101,143</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90,996</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328,371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269,029</w:t>
            </w:r>
          </w:p>
        </w:tc>
        <w:tc>
          <w:tcPr>
            <w:tcW w:w="8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Cost of products sold (exclusive of</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depreciation shown separately below)</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268,530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217,403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w:t>
            </w:r>
          </w:p>
        </w:tc>
        <w:tc>
          <w:tcPr>
            <w:tcW w:w="8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15,152</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(Gain) loss on disposal of assets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Restructuring and impairment charges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9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11,378</w:t>
            </w:r>
          </w:p>
        </w:tc>
        <w:tc>
          <w:tcPr>
            <w:tcW w:w="8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8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Write-off of unamortized debt issue cost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vMerge w:val="restart"/>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7,559</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rPr>
                <w:sz w:val="17"/>
                <w:szCs w:val="17"/>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80" w:type="dxa"/>
            <w:vAlign w:val="bottom"/>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220" w:type="dxa"/>
            <w:vAlign w:val="bottom"/>
            <w:vMerge w:val="restart"/>
          </w:tcPr>
          <w:p>
            <w:pPr>
              <w:spacing w:after="0"/>
              <w:rPr>
                <w:sz w:val="16"/>
                <w:szCs w:val="16"/>
                <w:color w:val="auto"/>
              </w:rPr>
            </w:pPr>
          </w:p>
        </w:tc>
        <w:tc>
          <w:tcPr>
            <w:tcW w:w="41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Diluted income (loss) per common share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0" w:type="dxa"/>
            <w:vAlign w:val="bottom"/>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220" w:type="dxa"/>
            <w:vAlign w:val="bottom"/>
            <w:vMerge w:val="restart"/>
          </w:tcPr>
          <w:p>
            <w:pPr>
              <w:spacing w:after="0"/>
              <w:rPr>
                <w:sz w:val="16"/>
                <w:szCs w:val="16"/>
                <w:color w:val="auto"/>
              </w:rPr>
            </w:pPr>
          </w:p>
        </w:tc>
        <w:tc>
          <w:tcPr>
            <w:tcW w:w="41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diluted shares</w:t>
            </w: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2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99" w:right="1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Current assets: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2420" w:type="dxa"/>
            <w:vAlign w:val="bottom"/>
            <w:gridSpan w:val="2"/>
            <w:shd w:val="clear" w:color="auto" w:fill="CCEEFF"/>
          </w:tcPr>
          <w:p>
            <w:pPr>
              <w:ind w:left="2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63,331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41,882</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Other current assets</w:t>
            </w:r>
          </w:p>
        </w:tc>
        <w:tc>
          <w:tcPr>
            <w:tcW w:w="2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current assets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115,670</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118,488</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Goodwill and intangible assets, net</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9,296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2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Arial" w:cs="Arial" w:eastAsia="Arial" w:hAnsi="Arial"/>
                <w:sz w:val="16"/>
                <w:szCs w:val="16"/>
                <w:color w:val="auto"/>
              </w:rPr>
              <w:t>Total assets</w:t>
            </w:r>
          </w:p>
        </w:tc>
        <w:tc>
          <w:tcPr>
            <w:tcW w:w="2420" w:type="dxa"/>
            <w:vAlign w:val="bottom"/>
            <w:gridSpan w:val="2"/>
          </w:tcPr>
          <w:p>
            <w:pPr>
              <w:ind w:left="2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268,978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248,555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vMerge w:val="restart"/>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Liabilities and Stockholders’ Equity</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Accounts payable</w:t>
            </w:r>
          </w:p>
        </w:tc>
        <w:tc>
          <w:tcPr>
            <w:tcW w:w="2420" w:type="dxa"/>
            <w:vAlign w:val="bottom"/>
            <w:gridSpan w:val="2"/>
          </w:tcPr>
          <w:p>
            <w:pPr>
              <w:ind w:left="2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45,980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55,549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Accrued salaries, wages and benefits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8,776</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75,275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83,587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Non-current deferred tax liability</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67,643</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Other</w:t>
            </w:r>
          </w:p>
        </w:tc>
        <w:tc>
          <w:tcPr>
            <w:tcW w:w="2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9,958</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170,448</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vMerge w:val="continue"/>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98,605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78,107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420" w:type="dxa"/>
            <w:vAlign w:val="bottom"/>
            <w:gridSpan w:val="2"/>
            <w:shd w:val="clear" w:color="auto" w:fill="CCEEFF"/>
          </w:tcPr>
          <w:p>
            <w:pPr>
              <w:ind w:left="2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248,555</w:t>
            </w:r>
          </w:p>
        </w:tc>
        <w:tc>
          <w:tcPr>
            <w:tcW w:w="10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6"/>
        </w:trPr>
        <w:tc>
          <w:tcPr>
            <w:tcW w:w="1140" w:type="dxa"/>
            <w:vAlign w:val="bottom"/>
            <w:tcBorders>
              <w:bottom w:val="single" w:sz="8" w:color="808080"/>
            </w:tcBorders>
          </w:tcPr>
          <w:p>
            <w:pPr>
              <w:spacing w:after="0"/>
              <w:rPr>
                <w:sz w:val="24"/>
                <w:szCs w:val="24"/>
                <w:color w:val="auto"/>
              </w:rPr>
            </w:pPr>
          </w:p>
        </w:tc>
        <w:tc>
          <w:tcPr>
            <w:tcW w:w="4840" w:type="dxa"/>
            <w:vAlign w:val="bottom"/>
            <w:tcBorders>
              <w:top w:val="single" w:sz="8" w:color="CCEEFF"/>
              <w:bottom w:val="single" w:sz="8" w:color="808080"/>
            </w:tcBorders>
          </w:tcPr>
          <w:p>
            <w:pPr>
              <w:spacing w:after="0"/>
              <w:rPr>
                <w:sz w:val="24"/>
                <w:szCs w:val="24"/>
                <w:color w:val="auto"/>
              </w:rPr>
            </w:pPr>
          </w:p>
        </w:tc>
        <w:tc>
          <w:tcPr>
            <w:tcW w:w="22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September 30, 2011</w:t>
            </w:r>
          </w:p>
        </w:tc>
        <w:tc>
          <w:tcPr>
            <w:tcW w:w="80" w:type="dxa"/>
            <w:vAlign w:val="bottom"/>
          </w:tcPr>
          <w:p>
            <w:pPr>
              <w:spacing w:after="0"/>
              <w:rPr>
                <w:sz w:val="17"/>
                <w:szCs w:val="17"/>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96"/>
              </w:rPr>
              <w:t>Diluted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6"/>
                <w:szCs w:val="16"/>
                <w:color w:val="auto"/>
              </w:rPr>
              <w:t>In</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Earnings</w:t>
            </w:r>
          </w:p>
        </w:tc>
        <w:tc>
          <w:tcPr>
            <w:tcW w:w="80" w:type="dxa"/>
            <w:vAlign w:val="bottom"/>
          </w:tcPr>
          <w:p>
            <w:pPr>
              <w:spacing w:after="0"/>
              <w:rPr>
                <w:sz w:val="17"/>
                <w:szCs w:val="17"/>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color w:val="auto"/>
              </w:rPr>
              <w:t>In</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Earnings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8"/>
              </w:rPr>
              <w:t>Per Share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6"/>
              </w:rPr>
              <w:t>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Restructuring charges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gain on intercompany loans</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(1,357)</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(0.08)</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Net Income from normal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3,345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14,992</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Nine Months Ended</w:t>
            </w:r>
          </w:p>
        </w:tc>
      </w:tr>
      <w:tr>
        <w:trPr>
          <w:trHeight w:val="200"/>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September 30, 2010</w:t>
            </w:r>
          </w:p>
        </w:tc>
        <w:tc>
          <w:tcPr>
            <w:tcW w:w="80" w:type="dxa"/>
            <w:vAlign w:val="bottom"/>
          </w:tcPr>
          <w:p>
            <w:pPr>
              <w:spacing w:after="0"/>
              <w:rPr>
                <w:sz w:val="17"/>
                <w:szCs w:val="17"/>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September 30, 2010</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96"/>
              </w:rPr>
              <w:t>Diluted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rPr>
              <w:t>Diluted</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6"/>
                <w:szCs w:val="16"/>
                <w:color w:val="auto"/>
              </w:rPr>
              <w:t>In</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Earnings</w:t>
            </w:r>
          </w:p>
        </w:tc>
        <w:tc>
          <w:tcPr>
            <w:tcW w:w="80" w:type="dxa"/>
            <w:vAlign w:val="bottom"/>
          </w:tcPr>
          <w:p>
            <w:pPr>
              <w:spacing w:after="0"/>
              <w:rPr>
                <w:sz w:val="17"/>
                <w:szCs w:val="17"/>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color w:val="auto"/>
              </w:rPr>
              <w:t>In</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Earnings</w:t>
            </w: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8"/>
              </w:rPr>
              <w:t>Per Share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6"/>
              </w:rPr>
              <w:t>Per Share</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Restructuring charges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(gain) loss on intercompany loans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Other charges</w:t>
            </w:r>
          </w:p>
        </w:tc>
        <w:tc>
          <w:tcPr>
            <w:tcW w:w="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normal operations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160"/>
      </w:cols>
      <w:pgMar w:left="1380" w:top="47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upperLetter"/>
      <w:start w:val="4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2019-12-10T13:21:55Z</dcterms:created>
  <dcterms:modified xsi:type="dcterms:W3CDTF">2019-12-10T13:21:55Z</dcterms:modified>
</cp:coreProperties>
</file>