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33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337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KELLY WILLIAM C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WATERS EDGE DR.</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BUILDING C, SUITE 12</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367" w:hanging="367"/>
        <w:spacing w:after="0"/>
        <w:tabs>
          <w:tab w:leader="none" w:pos="367" w:val="left"/>
        </w:tabs>
        <w:numPr>
          <w:ilvl w:val="0"/>
          <w:numId w:val="1"/>
        </w:numPr>
        <w:rPr>
          <w:rFonts w:ascii="Arial" w:cs="Arial" w:eastAsia="Arial" w:hAnsi="Arial"/>
          <w:sz w:val="22"/>
          <w:szCs w:val="22"/>
          <w:color w:val="0000EE"/>
        </w:rPr>
      </w:pPr>
      <w:hyperlink r:id="rId13">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ind w:left="7"/>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ind w:left="7"/>
        <w:spacing w:after="0"/>
        <w:rPr>
          <w:sz w:val="20"/>
          <w:szCs w:val="20"/>
          <w:color w:val="auto"/>
        </w:rPr>
      </w:pPr>
      <w:r>
        <w:rPr>
          <w:rFonts w:ascii="Arial" w:cs="Arial" w:eastAsia="Arial" w:hAnsi="Arial"/>
          <w:sz w:val="18"/>
          <w:szCs w:val="18"/>
          <w:color w:val="0000FF"/>
        </w:rPr>
        <w:t>09/23/2013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VP, Chief Adm. Officer</w:t>
      </w:r>
    </w:p>
    <w:p>
      <w:pPr>
        <w:spacing w:after="0" w:line="558" w:lineRule="exact"/>
        <w:rPr>
          <w:sz w:val="24"/>
          <w:szCs w:val="24"/>
          <w:color w:val="auto"/>
        </w:rPr>
      </w:pPr>
    </w:p>
    <w:p>
      <w:pPr>
        <w:sectPr>
          <w:pgSz w:w="11900" w:h="16838" w:orient="portrait"/>
          <w:cols w:equalWidth="0" w:num="3">
            <w:col w:w="3353" w:space="720"/>
            <w:col w:w="3264" w:space="720"/>
            <w:col w:w="3463"/>
          </w:cols>
          <w:pgMar w:left="240" w:top="226" w:right="1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JOHNSON</w:t>
            </w:r>
          </w:p>
        </w:tc>
        <w:tc>
          <w:tcPr>
            <w:tcW w:w="1080" w:type="dxa"/>
            <w:vAlign w:val="bottom"/>
            <w:vMerge w:val="restart"/>
          </w:tcPr>
          <w:p>
            <w:pPr>
              <w:ind w:left="240"/>
              <w:spacing w:after="0"/>
              <w:rPr>
                <w:sz w:val="20"/>
                <w:szCs w:val="20"/>
                <w:color w:val="auto"/>
              </w:rPr>
            </w:pPr>
            <w:r>
              <w:rPr>
                <w:rFonts w:ascii="Arial" w:cs="Arial" w:eastAsia="Arial" w:hAnsi="Arial"/>
                <w:sz w:val="18"/>
                <w:szCs w:val="18"/>
                <w:color w:val="0000FF"/>
              </w:rPr>
              <w:t>TN</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37604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CITY</w:t>
            </w:r>
          </w:p>
        </w:tc>
        <w:tc>
          <w:tcPr>
            <w:tcW w:w="10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09/23/2013</w:t>
            </w: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7"/>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3,000</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12.62</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48,550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09/23/2013</w:t>
            </w: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7"/>
              <w:spacing w:after="0"/>
              <w:rPr>
                <w:sz w:val="20"/>
                <w:szCs w:val="20"/>
                <w:color w:val="auto"/>
              </w:rPr>
            </w:pPr>
            <w:r>
              <w:rPr>
                <w:rFonts w:ascii="Arial" w:cs="Arial" w:eastAsia="Arial" w:hAnsi="Arial"/>
                <w:sz w:val="14"/>
                <w:szCs w:val="14"/>
                <w:color w:val="0000FF"/>
                <w:w w:val="85"/>
              </w:rPr>
              <w:t>S</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3,000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15.4</w:t>
            </w:r>
            <w:r>
              <w:rPr>
                <w:rFonts w:ascii="Arial" w:cs="Arial" w:eastAsia="Arial" w:hAnsi="Arial"/>
                <w:sz w:val="22"/>
                <w:szCs w:val="22"/>
                <w:color w:val="008000"/>
                <w:vertAlign w:val="superscript"/>
              </w:rPr>
              <w:t>(1)</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45,550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Options</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12.62</w:t>
            </w:r>
          </w:p>
        </w:tc>
        <w:tc>
          <w:tcPr>
            <w:tcW w:w="1140" w:type="dxa"/>
            <w:vAlign w:val="bottom"/>
          </w:tcPr>
          <w:p>
            <w:pPr>
              <w:ind w:left="260"/>
              <w:spacing w:after="0"/>
              <w:rPr>
                <w:sz w:val="20"/>
                <w:szCs w:val="20"/>
                <w:color w:val="auto"/>
              </w:rPr>
            </w:pPr>
            <w:r>
              <w:rPr>
                <w:rFonts w:ascii="Arial" w:cs="Arial" w:eastAsia="Arial" w:hAnsi="Arial"/>
                <w:sz w:val="14"/>
                <w:szCs w:val="14"/>
                <w:color w:val="0000FF"/>
              </w:rPr>
              <w:t>09/23/2013</w:t>
            </w:r>
          </w:p>
        </w:tc>
        <w:tc>
          <w:tcPr>
            <w:tcW w:w="1140" w:type="dxa"/>
            <w:vAlign w:val="bottom"/>
          </w:tcPr>
          <w:p>
            <w:pPr>
              <w:spacing w:after="0"/>
              <w:rPr>
                <w:sz w:val="17"/>
                <w:szCs w:val="17"/>
                <w:color w:val="auto"/>
              </w:rPr>
            </w:pPr>
          </w:p>
        </w:tc>
        <w:tc>
          <w:tcPr>
            <w:tcW w:w="660" w:type="dxa"/>
            <w:vAlign w:val="bottom"/>
          </w:tcPr>
          <w:p>
            <w:pPr>
              <w:ind w:left="160"/>
              <w:spacing w:after="0"/>
              <w:rPr>
                <w:sz w:val="20"/>
                <w:szCs w:val="20"/>
                <w:color w:val="auto"/>
              </w:rPr>
            </w:pPr>
            <w:r>
              <w:rPr>
                <w:rFonts w:ascii="Arial" w:cs="Arial" w:eastAsia="Arial" w:hAnsi="Arial"/>
                <w:sz w:val="14"/>
                <w:szCs w:val="14"/>
                <w:color w:val="0000FF"/>
              </w:rPr>
              <w:t>M</w:t>
            </w:r>
          </w:p>
        </w:tc>
        <w:tc>
          <w:tcPr>
            <w:tcW w:w="160" w:type="dxa"/>
            <w:vAlign w:val="bottom"/>
          </w:tcPr>
          <w:p>
            <w:pPr>
              <w:spacing w:after="0"/>
              <w:rPr>
                <w:sz w:val="17"/>
                <w:szCs w:val="17"/>
                <w:color w:val="auto"/>
              </w:rPr>
            </w:pPr>
          </w:p>
        </w:tc>
        <w:tc>
          <w:tcPr>
            <w:tcW w:w="500" w:type="dxa"/>
            <w:vAlign w:val="bottom"/>
          </w:tcPr>
          <w:p>
            <w:pPr>
              <w:ind w:left="100"/>
              <w:spacing w:after="0"/>
              <w:rPr>
                <w:sz w:val="20"/>
                <w:szCs w:val="20"/>
                <w:color w:val="auto"/>
              </w:rPr>
            </w:pPr>
            <w:r>
              <w:rPr>
                <w:rFonts w:ascii="Arial" w:cs="Arial" w:eastAsia="Arial" w:hAnsi="Arial"/>
                <w:sz w:val="14"/>
                <w:szCs w:val="14"/>
                <w:color w:val="0000FF"/>
              </w:rPr>
              <w:t>3,000</w:t>
            </w:r>
          </w:p>
        </w:tc>
        <w:tc>
          <w:tcPr>
            <w:tcW w:w="320" w:type="dxa"/>
            <w:vAlign w:val="bottom"/>
          </w:tcPr>
          <w:p>
            <w:pPr>
              <w:spacing w:after="0"/>
              <w:rPr>
                <w:sz w:val="17"/>
                <w:szCs w:val="17"/>
                <w:color w:val="auto"/>
              </w:rPr>
            </w:pP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rPr>
              <w:t>(2)</w:t>
            </w:r>
          </w:p>
        </w:tc>
        <w:tc>
          <w:tcPr>
            <w:tcW w:w="780" w:type="dxa"/>
            <w:vAlign w:val="bottom"/>
            <w:gridSpan w:val="2"/>
          </w:tcPr>
          <w:p>
            <w:pPr>
              <w:ind w:left="60"/>
              <w:spacing w:after="0"/>
              <w:rPr>
                <w:sz w:val="20"/>
                <w:szCs w:val="20"/>
                <w:color w:val="auto"/>
              </w:rPr>
            </w:pPr>
            <w:r>
              <w:rPr>
                <w:rFonts w:ascii="Arial" w:cs="Arial" w:eastAsia="Arial" w:hAnsi="Arial"/>
                <w:sz w:val="14"/>
                <w:szCs w:val="14"/>
                <w:color w:val="0000FF"/>
                <w:w w:val="99"/>
              </w:rPr>
              <w:t>03/01/2014</w:t>
            </w:r>
          </w:p>
        </w:tc>
        <w:tc>
          <w:tcPr>
            <w:tcW w:w="660" w:type="dxa"/>
            <w:vAlign w:val="bottom"/>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3,000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40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ind w:left="12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20" w:firstLine="9"/>
        <w:spacing w:after="0" w:line="233"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$15.19 to $15.50, inclusive. The reporting person undertakes to provide to NN, Inc., any security holder of NN, Inc.,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option became exercisable in three annual installments beginning on March 1, 2005, which was the first anniversary of the date of which the option was granted.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William C. Kelly, Jr.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09/25/2013</w:t>
            </w: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31"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2019-12-17T06:01:41Z</dcterms:created>
  <dcterms:modified xsi:type="dcterms:W3CDTF">2019-12-17T06:01:41Z</dcterms:modified>
</cp:coreProperties>
</file>