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3"/>
          <w:szCs w:val="23"/>
          <w:color w:val="auto"/>
        </w:rPr>
        <w:drawing>
          <wp:anchor simplePos="0" relativeHeight="251657728" behindDoc="1" locked="0" layoutInCell="0" allowOverlap="1">
            <wp:simplePos x="0" y="0"/>
            <wp:positionH relativeFrom="page">
              <wp:posOffset>149225</wp:posOffset>
            </wp:positionH>
            <wp:positionV relativeFrom="page">
              <wp:posOffset>109855</wp:posOffset>
            </wp:positionV>
            <wp:extent cx="7263130" cy="361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130" cy="36195"/>
                    </a:xfrm>
                    <a:prstGeom prst="rect">
                      <a:avLst/>
                    </a:prstGeom>
                    <a:noFill/>
                  </pic:spPr>
                </pic:pic>
              </a:graphicData>
            </a:graphic>
          </wp:anchor>
        </w:drawing>
        <w:t>UNITED STATES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SECURITIES AND EXCHANGE COMMISSION</w:t>
      </w:r>
    </w:p>
    <w:p>
      <w:pPr>
        <w:spacing w:after="0" w:line="11" w:lineRule="exact"/>
        <w:rPr>
          <w:sz w:val="24"/>
          <w:szCs w:val="24"/>
          <w:color w:val="auto"/>
        </w:rPr>
      </w:pPr>
    </w:p>
    <w:p>
      <w:pPr>
        <w:jc w:val="center"/>
        <w:ind w:right="-40"/>
        <w:spacing w:after="0"/>
        <w:rPr>
          <w:sz w:val="20"/>
          <w:szCs w:val="20"/>
          <w:color w:val="auto"/>
        </w:rPr>
      </w:pPr>
      <w:r>
        <w:rPr>
          <w:rFonts w:ascii="Arial" w:cs="Arial" w:eastAsia="Arial" w:hAnsi="Arial"/>
          <w:sz w:val="20"/>
          <w:szCs w:val="20"/>
          <w:color w:val="auto"/>
        </w:rPr>
        <w:t>Washington, D.C. 20549</w:t>
      </w:r>
    </w:p>
    <w:p>
      <w:pPr>
        <w:spacing w:after="0" w:line="178" w:lineRule="exact"/>
        <w:rPr>
          <w:sz w:val="24"/>
          <w:szCs w:val="24"/>
          <w:color w:val="auto"/>
        </w:rPr>
      </w:pPr>
    </w:p>
    <w:p>
      <w:pPr>
        <w:jc w:val="center"/>
        <w:ind w:right="-40"/>
        <w:spacing w:after="0"/>
        <w:rPr>
          <w:sz w:val="20"/>
          <w:szCs w:val="20"/>
          <w:color w:val="auto"/>
        </w:rPr>
      </w:pPr>
      <w:r>
        <w:rPr>
          <w:rFonts w:ascii="Arial" w:cs="Arial" w:eastAsia="Arial" w:hAnsi="Arial"/>
          <w:sz w:val="30"/>
          <w:szCs w:val="30"/>
          <w:b w:val="1"/>
          <w:bCs w:val="1"/>
          <w:color w:val="auto"/>
        </w:rPr>
        <w:t>FORM 10-Q/A</w:t>
      </w:r>
    </w:p>
    <w:p>
      <w:pPr>
        <w:spacing w:after="0" w:line="236" w:lineRule="exact"/>
        <w:rPr>
          <w:sz w:val="24"/>
          <w:szCs w:val="24"/>
          <w:color w:val="auto"/>
        </w:rPr>
      </w:pPr>
    </w:p>
    <w:p>
      <w:pPr>
        <w:ind w:left="4001" w:right="3260" w:hanging="4001"/>
        <w:spacing w:after="0" w:line="546" w:lineRule="auto"/>
        <w:tabs>
          <w:tab w:leader="none" w:pos="198"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QUARTERLY REPORT PURSUANT TO SECTION 13 OR 15(d) OF THE SECURITIES EXCHANGE ACT OF 1934 For the quarterly period ended </w:t>
      </w:r>
      <w:r>
        <w:rPr>
          <w:rFonts w:ascii="Arial" w:cs="Arial" w:eastAsia="Arial" w:hAnsi="Arial"/>
          <w:sz w:val="16"/>
          <w:szCs w:val="16"/>
          <w:b w:val="1"/>
          <w:bCs w:val="1"/>
          <w:u w:val="single" w:color="auto"/>
          <w:color w:val="auto"/>
        </w:rPr>
        <w:t>September 30, 2007</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OR</w:t>
      </w:r>
    </w:p>
    <w:p>
      <w:pPr>
        <w:spacing w:after="0" w:line="235" w:lineRule="exact"/>
        <w:rPr>
          <w:sz w:val="24"/>
          <w:szCs w:val="24"/>
          <w:color w:val="auto"/>
        </w:rPr>
      </w:pPr>
    </w:p>
    <w:p>
      <w:pPr>
        <w:ind w:left="3881" w:right="3280" w:hanging="3881"/>
        <w:spacing w:after="0" w:line="583" w:lineRule="auto"/>
        <w:tabs>
          <w:tab w:leader="none" w:pos="169"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15(d) OF THE SECURITIES EXCHANGE ACT OF 1934 For the transition period from _________ to _________</w:t>
      </w:r>
    </w:p>
    <w:p>
      <w:pPr>
        <w:ind w:left="4561"/>
        <w:spacing w:after="0"/>
        <w:rPr>
          <w:rFonts w:ascii="Arial" w:cs="Arial" w:eastAsia="Arial" w:hAnsi="Arial"/>
          <w:sz w:val="15"/>
          <w:szCs w:val="15"/>
          <w:color w:val="auto"/>
        </w:rPr>
      </w:pPr>
      <w:r>
        <w:rPr>
          <w:rFonts w:ascii="Arial" w:cs="Arial" w:eastAsia="Arial" w:hAnsi="Arial"/>
          <w:sz w:val="16"/>
          <w:szCs w:val="16"/>
          <w:color w:val="auto"/>
        </w:rPr>
        <w:t xml:space="preserve">Commission File Number </w:t>
      </w:r>
      <w:r>
        <w:rPr>
          <w:rFonts w:ascii="Arial" w:cs="Arial" w:eastAsia="Arial" w:hAnsi="Arial"/>
          <w:sz w:val="16"/>
          <w:szCs w:val="16"/>
          <w:u w:val="single" w:color="auto"/>
          <w:color w:val="auto"/>
        </w:rPr>
        <w:t>0-23486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3375025</wp:posOffset>
            </wp:positionH>
            <wp:positionV relativeFrom="paragraph">
              <wp:posOffset>157480</wp:posOffset>
            </wp:positionV>
            <wp:extent cx="516890" cy="5092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890" cy="509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39"/>
          <w:szCs w:val="39"/>
          <w:b w:val="1"/>
          <w:bCs w:val="1"/>
          <w:color w:val="auto"/>
        </w:rPr>
        <w:t>NN, Inc.</w:t>
      </w:r>
    </w:p>
    <w:p>
      <w:pPr>
        <w:spacing w:after="0" w:line="49"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(Exact name of registrant as specified in its charter)</w:t>
      </w:r>
    </w:p>
    <w:p>
      <w:pPr>
        <w:sectPr>
          <w:pgSz w:w="11900" w:h="16838" w:orient="portrait"/>
          <w:cols w:equalWidth="0" w:num="1">
            <w:col w:w="11381"/>
          </w:cols>
          <w:pgMar w:left="239" w:top="741" w:right="279" w:bottom="1440" w:gutter="0" w:footer="0" w:header="0"/>
        </w:sectPr>
      </w:pPr>
    </w:p>
    <w:p>
      <w:pPr>
        <w:spacing w:after="0" w:line="217"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Delaware</w:t>
      </w:r>
    </w:p>
    <w:p>
      <w:pPr>
        <w:spacing w:after="0" w:line="28" w:lineRule="exact"/>
        <w:rPr>
          <w:sz w:val="24"/>
          <w:szCs w:val="24"/>
          <w:color w:val="auto"/>
        </w:rPr>
      </w:pPr>
    </w:p>
    <w:p>
      <w:pPr>
        <w:jc w:val="center"/>
        <w:ind w:right="939"/>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jc w:val="center"/>
        <w:ind w:right="1440"/>
        <w:spacing w:after="0"/>
        <w:rPr>
          <w:sz w:val="20"/>
          <w:szCs w:val="20"/>
          <w:color w:val="auto"/>
        </w:rPr>
      </w:pPr>
      <w:r>
        <w:rPr>
          <w:rFonts w:ascii="Arial" w:cs="Arial" w:eastAsia="Arial" w:hAnsi="Arial"/>
          <w:sz w:val="16"/>
          <w:szCs w:val="16"/>
          <w:b w:val="1"/>
          <w:bCs w:val="1"/>
          <w:color w:val="auto"/>
        </w:rPr>
        <w:t>62-1096725</w:t>
      </w:r>
    </w:p>
    <w:p>
      <w:pPr>
        <w:spacing w:after="0" w:line="28" w:lineRule="exact"/>
        <w:rPr>
          <w:sz w:val="24"/>
          <w:szCs w:val="24"/>
          <w:color w:val="auto"/>
        </w:rPr>
      </w:pPr>
    </w:p>
    <w:p>
      <w:pPr>
        <w:jc w:val="center"/>
        <w:ind w:right="1400"/>
        <w:spacing w:after="0"/>
        <w:rPr>
          <w:sz w:val="20"/>
          <w:szCs w:val="20"/>
          <w:color w:val="auto"/>
        </w:rPr>
      </w:pPr>
      <w:r>
        <w:rPr>
          <w:rFonts w:ascii="Arial" w:cs="Arial" w:eastAsia="Arial" w:hAnsi="Arial"/>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6581" w:space="720"/>
            <w:col w:w="4080"/>
          </w:cols>
          <w:pgMar w:left="239" w:top="741" w:right="279" w:bottom="144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2000 Waters Edge Drive</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Building C, Suite 12</w:t>
      </w:r>
    </w:p>
    <w:p>
      <w:pPr>
        <w:spacing w:after="0" w:line="1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Johnson City, Tennessee 37604</w:t>
      </w:r>
    </w:p>
    <w:p>
      <w:pPr>
        <w:spacing w:after="0" w:line="13"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220" w:lineRule="exact"/>
        <w:rPr>
          <w:sz w:val="24"/>
          <w:szCs w:val="24"/>
          <w:color w:val="auto"/>
        </w:rPr>
      </w:pPr>
    </w:p>
    <w:p>
      <w:pPr>
        <w:jc w:val="center"/>
        <w:ind w:right="-80"/>
        <w:spacing w:after="0"/>
        <w:rPr>
          <w:sz w:val="20"/>
          <w:szCs w:val="20"/>
          <w:color w:val="auto"/>
        </w:rPr>
      </w:pPr>
      <w:r>
        <w:rPr>
          <w:rFonts w:ascii="Arial" w:cs="Arial" w:eastAsia="Arial" w:hAnsi="Arial"/>
          <w:sz w:val="16"/>
          <w:szCs w:val="16"/>
          <w:b w:val="1"/>
          <w:bCs w:val="1"/>
          <w:color w:val="auto"/>
        </w:rPr>
        <w:t>(423) 743-9151</w:t>
      </w:r>
    </w:p>
    <w:p>
      <w:pPr>
        <w:spacing w:after="0" w:line="28"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p>
      <w:pPr>
        <w:ind w:left="1"/>
        <w:spacing w:after="0" w:line="264"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spacing w:after="0" w:line="1" w:lineRule="exact"/>
        <w:rPr>
          <w:sz w:val="24"/>
          <w:szCs w:val="24"/>
          <w:color w:val="auto"/>
        </w:rPr>
      </w:pPr>
    </w:p>
    <w:p>
      <w:pPr>
        <w:ind w:left="1"/>
        <w:spacing w:after="0"/>
        <w:tabs>
          <w:tab w:leader="none" w:pos="1241" w:val="left"/>
          <w:tab w:leader="none" w:pos="1921" w:val="left"/>
        </w:tabs>
        <w:rPr>
          <w:sz w:val="20"/>
          <w:szCs w:val="20"/>
          <w:color w:val="auto"/>
        </w:rPr>
      </w:pPr>
      <w:r>
        <w:rPr>
          <w:rFonts w:ascii="Arial" w:cs="Arial" w:eastAsia="Arial" w:hAnsi="Arial"/>
          <w:sz w:val="16"/>
          <w:szCs w:val="16"/>
          <w:color w:val="auto"/>
        </w:rPr>
        <w:t>the past 90 days.</w:t>
        <w:tab/>
        <w:t>Yes x</w:t>
      </w:r>
      <w:r>
        <w:rPr>
          <w:sz w:val="20"/>
          <w:szCs w:val="20"/>
          <w:color w:val="auto"/>
        </w:rPr>
        <w:tab/>
      </w:r>
      <w:r>
        <w:rPr>
          <w:rFonts w:ascii="Arial" w:cs="Arial" w:eastAsia="Arial" w:hAnsi="Arial"/>
          <w:sz w:val="15"/>
          <w:szCs w:val="15"/>
          <w:color w:val="auto"/>
        </w:rPr>
        <w:t>No o</w:t>
      </w:r>
    </w:p>
    <w:p>
      <w:pPr>
        <w:spacing w:after="0" w:line="224" w:lineRule="exact"/>
        <w:rPr>
          <w:sz w:val="24"/>
          <w:szCs w:val="24"/>
          <w:color w:val="auto"/>
        </w:rPr>
      </w:pPr>
    </w:p>
    <w:p>
      <w:pPr>
        <w:ind w:left="1"/>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 and large</w:t>
      </w:r>
    </w:p>
    <w:p>
      <w:pPr>
        <w:spacing w:after="0" w:line="36" w:lineRule="exact"/>
        <w:rPr>
          <w:sz w:val="24"/>
          <w:szCs w:val="24"/>
          <w:color w:val="auto"/>
        </w:rPr>
      </w:pPr>
    </w:p>
    <w:p>
      <w:pPr>
        <w:ind w:left="1"/>
        <w:spacing w:after="0"/>
        <w:rPr>
          <w:sz w:val="20"/>
          <w:szCs w:val="20"/>
          <w:color w:val="auto"/>
        </w:rPr>
      </w:pPr>
      <w:r>
        <w:rPr>
          <w:rFonts w:ascii="Arial" w:cs="Arial" w:eastAsia="Arial" w:hAnsi="Arial"/>
          <w:sz w:val="16"/>
          <w:szCs w:val="16"/>
          <w:color w:val="auto"/>
        </w:rPr>
        <w:t>accelerated filer” in Rule 12b-2 of the Exchange Act. (Check one):</w:t>
      </w:r>
    </w:p>
    <w:p>
      <w:pPr>
        <w:spacing w:after="0" w:line="13" w:lineRule="exact"/>
        <w:rPr>
          <w:sz w:val="24"/>
          <w:szCs w:val="24"/>
          <w:color w:val="auto"/>
        </w:rPr>
      </w:pPr>
    </w:p>
    <w:p>
      <w:pPr>
        <w:ind w:left="1"/>
        <w:spacing w:after="0"/>
        <w:tabs>
          <w:tab w:leader="none" w:pos="1901" w:val="left"/>
          <w:tab w:leader="none" w:pos="3501" w:val="left"/>
        </w:tabs>
        <w:rPr>
          <w:sz w:val="20"/>
          <w:szCs w:val="20"/>
          <w:color w:val="auto"/>
        </w:rPr>
      </w:pPr>
      <w:r>
        <w:rPr>
          <w:rFonts w:ascii="Arial" w:cs="Arial" w:eastAsia="Arial" w:hAnsi="Arial"/>
          <w:sz w:val="16"/>
          <w:szCs w:val="16"/>
          <w:color w:val="auto"/>
        </w:rPr>
        <w:t>Large accelerated filer o</w:t>
      </w:r>
      <w:r>
        <w:rPr>
          <w:sz w:val="20"/>
          <w:szCs w:val="20"/>
          <w:color w:val="auto"/>
        </w:rPr>
        <w:tab/>
      </w:r>
      <w:r>
        <w:rPr>
          <w:rFonts w:ascii="Arial" w:cs="Arial" w:eastAsia="Arial" w:hAnsi="Arial"/>
          <w:sz w:val="16"/>
          <w:szCs w:val="16"/>
          <w:color w:val="auto"/>
        </w:rPr>
        <w:t>Acelerated filer x</w:t>
      </w:r>
      <w:r>
        <w:rPr>
          <w:sz w:val="20"/>
          <w:szCs w:val="20"/>
          <w:color w:val="auto"/>
        </w:rPr>
        <w:tab/>
      </w:r>
      <w:r>
        <w:rPr>
          <w:rFonts w:ascii="Arial" w:cs="Arial" w:eastAsia="Arial" w:hAnsi="Arial"/>
          <w:sz w:val="15"/>
          <w:szCs w:val="15"/>
          <w:color w:val="auto"/>
        </w:rPr>
        <w:t>Non-accelerated filer o</w:t>
      </w:r>
    </w:p>
    <w:p>
      <w:pPr>
        <w:sectPr>
          <w:pgSz w:w="11900" w:h="16838" w:orient="portrait"/>
          <w:cols w:equalWidth="0" w:num="1">
            <w:col w:w="11381"/>
          </w:cols>
          <w:pgMar w:left="239" w:top="741" w:right="279" w:bottom="1440" w:gutter="0" w:footer="0" w:header="0"/>
          <w:type w:val="continuous"/>
        </w:sectPr>
      </w:pPr>
    </w:p>
    <w:p>
      <w:pPr>
        <w:spacing w:after="0" w:line="224" w:lineRule="exact"/>
        <w:rPr>
          <w:sz w:val="24"/>
          <w:szCs w:val="24"/>
          <w:color w:val="auto"/>
        </w:rPr>
      </w:pPr>
    </w:p>
    <w:p>
      <w:pPr>
        <w:ind w:left="1"/>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4"/>
          <w:szCs w:val="14"/>
          <w:color w:val="auto"/>
        </w:rPr>
        <w:t>Yes o</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No x</w:t>
      </w:r>
    </w:p>
    <w:p>
      <w:pPr>
        <w:spacing w:after="0" w:line="200" w:lineRule="exact"/>
        <w:rPr>
          <w:sz w:val="24"/>
          <w:szCs w:val="24"/>
          <w:color w:val="auto"/>
        </w:rPr>
      </w:pPr>
    </w:p>
    <w:p>
      <w:pPr>
        <w:sectPr>
          <w:pgSz w:w="11900" w:h="16838" w:orient="portrait"/>
          <w:cols w:equalWidth="0" w:num="3">
            <w:col w:w="7461" w:space="200"/>
            <w:col w:w="360" w:space="380"/>
            <w:col w:w="2980"/>
          </w:cols>
          <w:pgMar w:left="239" w:top="741" w:right="279" w:bottom="1440" w:gutter="0" w:footer="0" w:header="0"/>
          <w:type w:val="continuous"/>
        </w:sectPr>
      </w:pPr>
    </w:p>
    <w:p>
      <w:pPr>
        <w:spacing w:after="0" w:line="35" w:lineRule="exact"/>
        <w:rPr>
          <w:sz w:val="24"/>
          <w:szCs w:val="24"/>
          <w:color w:val="auto"/>
        </w:rPr>
      </w:pPr>
    </w:p>
    <w:p>
      <w:pPr>
        <w:ind w:left="1"/>
        <w:spacing w:after="0"/>
        <w:rPr>
          <w:sz w:val="20"/>
          <w:szCs w:val="20"/>
          <w:color w:val="auto"/>
        </w:rPr>
      </w:pPr>
      <w:r>
        <w:rPr>
          <w:rFonts w:ascii="Arial" w:cs="Arial" w:eastAsia="Arial" w:hAnsi="Arial"/>
          <w:sz w:val="14"/>
          <w:szCs w:val="14"/>
          <w:color w:val="auto"/>
        </w:rPr>
        <w:t>As of November 5, 2007, there were 16,279,997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686435</wp:posOffset>
            </wp:positionV>
            <wp:extent cx="7263130" cy="20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1"/>
          </w:cols>
          <w:pgMar w:left="239" w:top="741" w:right="279" w:bottom="1440" w:gutter="0" w:footer="0" w:header="0"/>
          <w:type w:val="continuous"/>
        </w:sectPr>
      </w:pPr>
    </w:p>
    <w:bookmarkStart w:id="1" w:name="page2"/>
    <w:bookmarkEnd w:id="1"/>
    <w:p>
      <w:pPr>
        <w:jc w:val="center"/>
        <w:ind w:right="-79"/>
        <w:spacing w:after="0"/>
        <w:rPr>
          <w:sz w:val="20"/>
          <w:szCs w:val="20"/>
          <w:color w:val="auto"/>
        </w:rPr>
      </w:pPr>
      <w:r>
        <w:rPr>
          <w:rFonts w:ascii="Arial" w:cs="Arial" w:eastAsia="Arial" w:hAnsi="Arial"/>
          <w:sz w:val="16"/>
          <w:szCs w:val="16"/>
          <w:b w:val="1"/>
          <w:bCs w:val="1"/>
          <w:color w:val="auto"/>
        </w:rPr>
        <w:t>Explanatory Note</w:t>
      </w:r>
    </w:p>
    <w:p>
      <w:pPr>
        <w:spacing w:after="0" w:line="2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purpose of this amendment on Form 10-Q/A to the Quarterly Report on Form 10-Q of NN, Inc. for the quarter ended September 30, 2007 is to restate our unaudited Condensed Consolidated Balance Sheet as of September 30, 2007 and the related Consolidated Statements of Income, Consolidated Statements of Changes in Stockholders’ Equity and Consolidated Statements of Cash Flows, for the three months and nine months ended September 30, 2007 to correct an error in asset groups and cash flow assumptions used to test impairment of a customer contract intangible asset under SFAS 144. See Note 2 to the Company's unaudited consolidated financial statements for additional information.</w:t>
      </w:r>
    </w:p>
    <w:p>
      <w:pPr>
        <w:spacing w:after="0" w:line="193" w:lineRule="exact"/>
        <w:rPr>
          <w:sz w:val="20"/>
          <w:szCs w:val="20"/>
          <w:color w:val="auto"/>
        </w:rPr>
      </w:pPr>
    </w:p>
    <w:p>
      <w:pPr>
        <w:ind w:right="40"/>
        <w:spacing w:after="0" w:line="291" w:lineRule="auto"/>
        <w:rPr>
          <w:sz w:val="20"/>
          <w:szCs w:val="20"/>
          <w:color w:val="auto"/>
        </w:rPr>
      </w:pPr>
      <w:r>
        <w:rPr>
          <w:rFonts w:ascii="Arial" w:cs="Arial" w:eastAsia="Arial" w:hAnsi="Arial"/>
          <w:sz w:val="15"/>
          <w:szCs w:val="15"/>
          <w:color w:val="auto"/>
        </w:rPr>
        <w:t>No attempt has been made in this Form 10-Q/A to modify or update other disclosures presented in the original report on Form 10-Q, except as required to reflect the effects of the restatement. Information not affected by the restatement is unchanged and reflects the disclosures made at the time of the original filing of the Form 10-Q on November 9, 2007. Accordingly, this Form 10-Q/A should be read in conjunction with our filings made with the Securities and Exchange Commission subsequent to the filing of the original Form 10-Q, including any amendments to those filings. The following items have been amended as a result of the restatement:</w:t>
      </w:r>
    </w:p>
    <w:p>
      <w:pPr>
        <w:spacing w:after="0" w:line="175" w:lineRule="exact"/>
        <w:rPr>
          <w:sz w:val="20"/>
          <w:szCs w:val="20"/>
          <w:color w:val="auto"/>
        </w:rPr>
      </w:pPr>
    </w:p>
    <w:p>
      <w:pPr>
        <w:ind w:left="600" w:hanging="133"/>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 I—Item 1—Financial Statements</w:t>
      </w:r>
    </w:p>
    <w:p>
      <w:pPr>
        <w:spacing w:after="0" w:line="235" w:lineRule="exact"/>
        <w:rPr>
          <w:rFonts w:ascii="Arial" w:cs="Arial" w:eastAsia="Arial" w:hAnsi="Arial"/>
          <w:sz w:val="16"/>
          <w:szCs w:val="16"/>
          <w:color w:val="auto"/>
        </w:rPr>
      </w:pPr>
    </w:p>
    <w:p>
      <w:pPr>
        <w:ind w:left="600" w:hanging="133"/>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 I—Item 2—Management's Discussion and Analysis of Financial Condition and Results of Operations</w:t>
      </w:r>
    </w:p>
    <w:p>
      <w:pPr>
        <w:spacing w:after="0" w:line="235" w:lineRule="exact"/>
        <w:rPr>
          <w:rFonts w:ascii="Arial" w:cs="Arial" w:eastAsia="Arial" w:hAnsi="Arial"/>
          <w:sz w:val="16"/>
          <w:szCs w:val="16"/>
          <w:color w:val="auto"/>
        </w:rPr>
      </w:pPr>
    </w:p>
    <w:p>
      <w:pPr>
        <w:ind w:left="600" w:hanging="133"/>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Part 1—Item 4—Controls and Procedures</w:t>
      </w:r>
    </w:p>
    <w:p>
      <w:pPr>
        <w:spacing w:after="0" w:line="235" w:lineRule="exact"/>
        <w:rPr>
          <w:sz w:val="20"/>
          <w:szCs w:val="20"/>
          <w:color w:val="auto"/>
        </w:rPr>
      </w:pPr>
    </w:p>
    <w:p>
      <w:pPr>
        <w:ind w:right="380"/>
        <w:spacing w:after="0" w:line="267" w:lineRule="auto"/>
        <w:rPr>
          <w:sz w:val="20"/>
          <w:szCs w:val="20"/>
          <w:color w:val="auto"/>
        </w:rPr>
      </w:pPr>
      <w:r>
        <w:rPr>
          <w:rFonts w:ascii="Arial" w:cs="Arial" w:eastAsia="Arial" w:hAnsi="Arial"/>
          <w:sz w:val="16"/>
          <w:szCs w:val="16"/>
          <w:color w:val="auto"/>
        </w:rPr>
        <w:t>The Company's Chief Executive Officer and Chief Financial Officer, with the assistance of other members of management, have re-evaluated the effectiveness of the Company's disclosure controls and procedures as of September 30, 2007, and, based on this re-evaluation, have determined that the Company's disclosure controls and procedures were ineffective as a result of a material weakness in internal control over financial reporting with respect to the accounting for the impairment of customer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503555</wp:posOffset>
            </wp:positionV>
            <wp:extent cx="7263130" cy="2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481" w:right="319" w:bottom="1440" w:gutter="0" w:footer="0" w:header="0"/>
        </w:sectPr>
      </w:pPr>
    </w:p>
    <w:bookmarkStart w:id="2" w:name="page3"/>
    <w:bookmarkEnd w:id="2"/>
    <w:p>
      <w:pPr>
        <w:ind w:left="542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ind w:left="5440"/>
        <w:spacing w:after="0"/>
        <w:rPr>
          <w:sz w:val="20"/>
          <w:szCs w:val="20"/>
          <w:color w:val="auto"/>
        </w:rPr>
      </w:pPr>
      <w:r>
        <w:rPr>
          <w:rFonts w:ascii="Arial" w:cs="Arial" w:eastAsia="Arial" w:hAnsi="Arial"/>
          <w:sz w:val="16"/>
          <w:szCs w:val="16"/>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 w:type="dxa"/>
            <w:vAlign w:val="bottom"/>
          </w:tcPr>
          <w:p>
            <w:pPr>
              <w:spacing w:after="0"/>
              <w:rPr>
                <w:sz w:val="17"/>
                <w:szCs w:val="17"/>
                <w:color w:val="auto"/>
              </w:rPr>
            </w:pPr>
          </w:p>
        </w:tc>
        <w:tc>
          <w:tcPr>
            <w:tcW w:w="1042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8"/>
        </w:trPr>
        <w:tc>
          <w:tcPr>
            <w:tcW w:w="760" w:type="dxa"/>
            <w:vAlign w:val="bottom"/>
          </w:tcPr>
          <w:p>
            <w:pPr>
              <w:spacing w:after="0"/>
              <w:rPr>
                <w:sz w:val="18"/>
                <w:szCs w:val="18"/>
                <w:color w:val="auto"/>
              </w:rPr>
            </w:pPr>
          </w:p>
        </w:tc>
        <w:tc>
          <w:tcPr>
            <w:tcW w:w="10420" w:type="dxa"/>
            <w:vAlign w:val="bottom"/>
          </w:tcPr>
          <w:p>
            <w:pPr>
              <w:spacing w:after="0"/>
              <w:rPr>
                <w:sz w:val="18"/>
                <w:szCs w:val="18"/>
                <w:color w:val="auto"/>
              </w:rPr>
            </w:pPr>
          </w:p>
        </w:tc>
        <w:tc>
          <w:tcPr>
            <w:tcW w:w="34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No.</w:t>
            </w:r>
          </w:p>
        </w:tc>
        <w:tc>
          <w:tcPr>
            <w:tcW w:w="0" w:type="dxa"/>
            <w:vAlign w:val="bottom"/>
          </w:tcPr>
          <w:p>
            <w:pPr>
              <w:spacing w:after="0"/>
              <w:rPr>
                <w:sz w:val="1"/>
                <w:szCs w:val="1"/>
                <w:color w:val="auto"/>
              </w:rPr>
            </w:pPr>
          </w:p>
        </w:tc>
      </w:tr>
      <w:tr>
        <w:trPr>
          <w:trHeight w:val="196"/>
        </w:trPr>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Part I.</w:t>
            </w:r>
          </w:p>
        </w:tc>
        <w:tc>
          <w:tcPr>
            <w:tcW w:w="10420" w:type="dxa"/>
            <w:vAlign w:val="bottom"/>
            <w:vMerge w:val="restart"/>
          </w:tcPr>
          <w:p>
            <w:pPr>
              <w:ind w:left="20"/>
              <w:spacing w:after="0"/>
              <w:rPr>
                <w:sz w:val="20"/>
                <w:szCs w:val="20"/>
                <w:color w:val="auto"/>
              </w:rPr>
            </w:pPr>
            <w:r>
              <w:rPr>
                <w:rFonts w:ascii="Arial" w:cs="Arial" w:eastAsia="Arial" w:hAnsi="Arial"/>
                <w:sz w:val="16"/>
                <w:szCs w:val="16"/>
                <w:color w:val="auto"/>
              </w:rPr>
              <w:t>Financial Statements:</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60" w:type="dxa"/>
            <w:vAlign w:val="bottom"/>
          </w:tcPr>
          <w:p>
            <w:pPr>
              <w:ind w:left="40"/>
              <w:spacing w:after="0"/>
              <w:rPr>
                <w:sz w:val="20"/>
                <w:szCs w:val="20"/>
                <w:color w:val="auto"/>
              </w:rPr>
            </w:pPr>
            <w:r>
              <w:rPr>
                <w:rFonts w:ascii="Arial" w:cs="Arial" w:eastAsia="Arial" w:hAnsi="Arial"/>
                <w:sz w:val="16"/>
                <w:szCs w:val="16"/>
                <w:color w:val="auto"/>
              </w:rPr>
              <w:t>Item 1.</w:t>
            </w:r>
          </w:p>
        </w:tc>
        <w:tc>
          <w:tcPr>
            <w:tcW w:w="10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20" w:type="dxa"/>
            <w:vAlign w:val="bottom"/>
          </w:tcPr>
          <w:p>
            <w:pPr>
              <w:ind w:left="20"/>
              <w:spacing w:after="0"/>
              <w:rPr>
                <w:sz w:val="20"/>
                <w:szCs w:val="20"/>
                <w:color w:val="auto"/>
              </w:rPr>
            </w:pPr>
            <w:r>
              <w:rPr>
                <w:rFonts w:ascii="Arial" w:cs="Arial" w:eastAsia="Arial" w:hAnsi="Arial"/>
                <w:sz w:val="16"/>
                <w:szCs w:val="16"/>
                <w:color w:val="auto"/>
              </w:rPr>
              <w:t>Consolidated Statements of Income and Comprehensive Income for the three and nine months ended September 30, 2007 and 2006 (unaudited)..</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20" w:type="dxa"/>
            <w:vAlign w:val="bottom"/>
          </w:tcPr>
          <w:p>
            <w:pPr>
              <w:ind w:left="20"/>
              <w:spacing w:after="0"/>
              <w:rPr>
                <w:sz w:val="20"/>
                <w:szCs w:val="20"/>
                <w:color w:val="auto"/>
              </w:rPr>
            </w:pPr>
            <w:r>
              <w:rPr>
                <w:rFonts w:ascii="Arial" w:cs="Arial" w:eastAsia="Arial" w:hAnsi="Arial"/>
                <w:sz w:val="16"/>
                <w:szCs w:val="16"/>
                <w:color w:val="auto"/>
                <w:w w:val="97"/>
              </w:rPr>
              <w:t>Condensed Consolidated Balance Sheets at September 30, 2007 and December 31, 2006 (unaudited) ............................................................................</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20" w:type="dxa"/>
            <w:vAlign w:val="bottom"/>
          </w:tcPr>
          <w:p>
            <w:pPr>
              <w:ind w:left="20"/>
              <w:spacing w:after="0"/>
              <w:rPr>
                <w:sz w:val="20"/>
                <w:szCs w:val="20"/>
                <w:color w:val="auto"/>
              </w:rPr>
            </w:pPr>
            <w:r>
              <w:rPr>
                <w:rFonts w:ascii="Arial" w:cs="Arial" w:eastAsia="Arial" w:hAnsi="Arial"/>
                <w:sz w:val="16"/>
                <w:szCs w:val="16"/>
                <w:color w:val="auto"/>
              </w:rPr>
              <w:t>Consolidated Statements of Changes in Stockholders’ Equity for the nine months ended September 30, 2007 (unaudited) .......................................</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20" w:type="dxa"/>
            <w:vAlign w:val="bottom"/>
          </w:tcPr>
          <w:p>
            <w:pPr>
              <w:ind w:left="20"/>
              <w:spacing w:after="0"/>
              <w:rPr>
                <w:sz w:val="20"/>
                <w:szCs w:val="20"/>
                <w:color w:val="auto"/>
              </w:rPr>
            </w:pPr>
            <w:r>
              <w:rPr>
                <w:rFonts w:ascii="Arial" w:cs="Arial" w:eastAsia="Arial" w:hAnsi="Arial"/>
                <w:sz w:val="16"/>
                <w:szCs w:val="16"/>
                <w:color w:val="auto"/>
                <w:w w:val="99"/>
              </w:rPr>
              <w:t>Consolidated Statements of Cash Flows for the nine months ended September 30, 2007 and 2006 (unaudited) ...........................................................</w:t>
            </w:r>
          </w:p>
        </w:tc>
        <w:tc>
          <w:tcPr>
            <w:tcW w:w="340" w:type="dxa"/>
            <w:vAlign w:val="bottom"/>
          </w:tcPr>
          <w:p>
            <w:pPr>
              <w:ind w:left="14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95"/>
        </w:trPr>
        <w:tc>
          <w:tcPr>
            <w:tcW w:w="760" w:type="dxa"/>
            <w:vAlign w:val="bottom"/>
          </w:tcPr>
          <w:p>
            <w:pPr>
              <w:spacing w:after="0"/>
              <w:rPr>
                <w:sz w:val="24"/>
                <w:szCs w:val="24"/>
                <w:color w:val="auto"/>
              </w:rPr>
            </w:pPr>
          </w:p>
        </w:tc>
        <w:tc>
          <w:tcPr>
            <w:tcW w:w="10420" w:type="dxa"/>
            <w:vAlign w:val="bottom"/>
          </w:tcPr>
          <w:p>
            <w:pPr>
              <w:ind w:left="20"/>
              <w:spacing w:after="0"/>
              <w:rPr>
                <w:sz w:val="20"/>
                <w:szCs w:val="20"/>
                <w:color w:val="auto"/>
              </w:rPr>
            </w:pPr>
            <w:r>
              <w:rPr>
                <w:rFonts w:ascii="Arial" w:cs="Arial" w:eastAsia="Arial" w:hAnsi="Arial"/>
                <w:sz w:val="16"/>
                <w:szCs w:val="16"/>
                <w:color w:val="auto"/>
                <w:w w:val="95"/>
              </w:rPr>
              <w:t>Notes to Consolidated Financial Statements (unaudited) .........................................................................................................................................................</w:t>
            </w:r>
          </w:p>
        </w:tc>
        <w:tc>
          <w:tcPr>
            <w:tcW w:w="340" w:type="dxa"/>
            <w:vAlign w:val="bottom"/>
          </w:tcPr>
          <w:p>
            <w:pPr>
              <w:ind w:left="1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2.</w:t>
            </w:r>
          </w:p>
        </w:tc>
        <w:tc>
          <w:tcPr>
            <w:tcW w:w="10420" w:type="dxa"/>
            <w:vAlign w:val="bottom"/>
          </w:tcPr>
          <w:p>
            <w:pPr>
              <w:ind w:left="20"/>
              <w:spacing w:after="0"/>
              <w:rPr>
                <w:sz w:val="20"/>
                <w:szCs w:val="20"/>
                <w:color w:val="auto"/>
              </w:rPr>
            </w:pPr>
            <w:r>
              <w:rPr>
                <w:rFonts w:ascii="Arial" w:cs="Arial" w:eastAsia="Arial" w:hAnsi="Arial"/>
                <w:sz w:val="16"/>
                <w:szCs w:val="16"/>
                <w:color w:val="auto"/>
                <w:w w:val="99"/>
              </w:rPr>
              <w:t>Management’s Discussion and Analysis of Financial Condition and Results of Operations.............................................................................................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19</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3.</w:t>
            </w:r>
          </w:p>
        </w:tc>
        <w:tc>
          <w:tcPr>
            <w:tcW w:w="10420" w:type="dxa"/>
            <w:vAlign w:val="bottom"/>
          </w:tcPr>
          <w:p>
            <w:pPr>
              <w:ind w:left="20"/>
              <w:spacing w:after="0"/>
              <w:rPr>
                <w:sz w:val="20"/>
                <w:szCs w:val="20"/>
                <w:color w:val="auto"/>
              </w:rPr>
            </w:pPr>
            <w:r>
              <w:rPr>
                <w:rFonts w:ascii="Arial" w:cs="Arial" w:eastAsia="Arial" w:hAnsi="Arial"/>
                <w:sz w:val="16"/>
                <w:szCs w:val="16"/>
                <w:color w:val="auto"/>
                <w:w w:val="96"/>
              </w:rPr>
              <w:t>Quantitative and Qualitative Disclosures about Market Risk...................................................................................................................................................</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4.</w:t>
            </w:r>
          </w:p>
        </w:tc>
        <w:tc>
          <w:tcPr>
            <w:tcW w:w="10420" w:type="dxa"/>
            <w:vAlign w:val="bottom"/>
          </w:tcPr>
          <w:p>
            <w:pPr>
              <w:ind w:left="20"/>
              <w:spacing w:after="0"/>
              <w:rPr>
                <w:sz w:val="20"/>
                <w:szCs w:val="20"/>
                <w:color w:val="auto"/>
              </w:rPr>
            </w:pPr>
            <w:r>
              <w:rPr>
                <w:rFonts w:ascii="Arial" w:cs="Arial" w:eastAsia="Arial" w:hAnsi="Arial"/>
                <w:sz w:val="16"/>
                <w:szCs w:val="16"/>
                <w:color w:val="auto"/>
                <w:w w:val="93"/>
              </w:rPr>
              <w:t>Controls and Procedures..................................................................................................................................................................................................................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27</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b w:val="1"/>
                <w:bCs w:val="1"/>
                <w:color w:val="auto"/>
              </w:rPr>
              <w:t>Part II.</w:t>
            </w:r>
          </w:p>
        </w:tc>
        <w:tc>
          <w:tcPr>
            <w:tcW w:w="10420" w:type="dxa"/>
            <w:vAlign w:val="bottom"/>
          </w:tcPr>
          <w:p>
            <w:pPr>
              <w:ind w:left="20"/>
              <w:spacing w:after="0"/>
              <w:rPr>
                <w:sz w:val="20"/>
                <w:szCs w:val="20"/>
                <w:color w:val="auto"/>
              </w:rPr>
            </w:pPr>
            <w:r>
              <w:rPr>
                <w:rFonts w:ascii="Arial" w:cs="Arial" w:eastAsia="Arial" w:hAnsi="Arial"/>
                <w:sz w:val="16"/>
                <w:szCs w:val="16"/>
                <w:b w:val="1"/>
                <w:bCs w:val="1"/>
                <w:color w:val="auto"/>
              </w:rPr>
              <w:t>Other Information</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60" w:type="dxa"/>
            <w:vAlign w:val="bottom"/>
          </w:tcPr>
          <w:p>
            <w:pPr>
              <w:ind w:left="40"/>
              <w:spacing w:after="0"/>
              <w:rPr>
                <w:sz w:val="20"/>
                <w:szCs w:val="20"/>
                <w:color w:val="auto"/>
              </w:rPr>
            </w:pPr>
            <w:r>
              <w:rPr>
                <w:rFonts w:ascii="Arial" w:cs="Arial" w:eastAsia="Arial" w:hAnsi="Arial"/>
                <w:sz w:val="16"/>
                <w:szCs w:val="16"/>
                <w:color w:val="auto"/>
              </w:rPr>
              <w:t>Item</w:t>
            </w:r>
          </w:p>
        </w:tc>
        <w:tc>
          <w:tcPr>
            <w:tcW w:w="10420" w:type="dxa"/>
            <w:vAlign w:val="bottom"/>
            <w:vMerge w:val="restart"/>
          </w:tcPr>
          <w:p>
            <w:pPr>
              <w:ind w:left="20"/>
              <w:spacing w:after="0"/>
              <w:rPr>
                <w:sz w:val="20"/>
                <w:szCs w:val="20"/>
                <w:color w:val="auto"/>
              </w:rPr>
            </w:pPr>
            <w:r>
              <w:rPr>
                <w:rFonts w:ascii="Arial" w:cs="Arial" w:eastAsia="Arial" w:hAnsi="Arial"/>
                <w:sz w:val="16"/>
                <w:szCs w:val="16"/>
                <w:color w:val="auto"/>
                <w:w w:val="93"/>
              </w:rPr>
              <w:t>Legal Proceedings............................................................................................................................................................................................................................</w:t>
            </w:r>
          </w:p>
        </w:tc>
        <w:tc>
          <w:tcPr>
            <w:tcW w:w="340" w:type="dxa"/>
            <w:vAlign w:val="bottom"/>
            <w:vMerge w:val="restart"/>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110"/>
        </w:trPr>
        <w:tc>
          <w:tcPr>
            <w:tcW w:w="760" w:type="dxa"/>
            <w:vAlign w:val="bottom"/>
            <w:vMerge w:val="restart"/>
          </w:tcPr>
          <w:p>
            <w:pPr>
              <w:spacing w:after="0"/>
              <w:rPr>
                <w:sz w:val="20"/>
                <w:szCs w:val="20"/>
                <w:color w:val="auto"/>
              </w:rPr>
            </w:pPr>
            <w:r>
              <w:rPr>
                <w:rFonts w:ascii="Arial" w:cs="Arial" w:eastAsia="Arial" w:hAnsi="Arial"/>
                <w:sz w:val="16"/>
                <w:szCs w:val="16"/>
                <w:color w:val="auto"/>
              </w:rPr>
              <w:t>1.</w:t>
            </w:r>
          </w:p>
        </w:tc>
        <w:tc>
          <w:tcPr>
            <w:tcW w:w="1042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760" w:type="dxa"/>
            <w:vAlign w:val="bottom"/>
            <w:vMerge w:val="continue"/>
          </w:tcPr>
          <w:p>
            <w:pPr>
              <w:spacing w:after="0"/>
              <w:rPr>
                <w:sz w:val="8"/>
                <w:szCs w:val="8"/>
                <w:color w:val="auto"/>
              </w:rPr>
            </w:pPr>
          </w:p>
        </w:tc>
        <w:tc>
          <w:tcPr>
            <w:tcW w:w="10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1A.</w:t>
            </w:r>
          </w:p>
        </w:tc>
        <w:tc>
          <w:tcPr>
            <w:tcW w:w="10420" w:type="dxa"/>
            <w:vAlign w:val="bottom"/>
          </w:tcPr>
          <w:p>
            <w:pPr>
              <w:ind w:left="20"/>
              <w:spacing w:after="0"/>
              <w:rPr>
                <w:sz w:val="20"/>
                <w:szCs w:val="20"/>
                <w:color w:val="auto"/>
              </w:rPr>
            </w:pPr>
            <w:r>
              <w:rPr>
                <w:rFonts w:ascii="Arial" w:cs="Arial" w:eastAsia="Arial" w:hAnsi="Arial"/>
                <w:sz w:val="16"/>
                <w:szCs w:val="16"/>
                <w:color w:val="auto"/>
                <w:w w:val="92"/>
              </w:rPr>
              <w:t>Risk Factors.......................................................................................................................................................................................................................................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2.</w:t>
            </w:r>
          </w:p>
        </w:tc>
        <w:tc>
          <w:tcPr>
            <w:tcW w:w="10420" w:type="dxa"/>
            <w:vAlign w:val="bottom"/>
          </w:tcPr>
          <w:p>
            <w:pPr>
              <w:ind w:left="20"/>
              <w:spacing w:after="0"/>
              <w:rPr>
                <w:sz w:val="20"/>
                <w:szCs w:val="20"/>
                <w:color w:val="auto"/>
              </w:rPr>
            </w:pPr>
            <w:r>
              <w:rPr>
                <w:rFonts w:ascii="Arial" w:cs="Arial" w:eastAsia="Arial" w:hAnsi="Arial"/>
                <w:sz w:val="16"/>
                <w:szCs w:val="16"/>
                <w:color w:val="auto"/>
                <w:w w:val="96"/>
              </w:rPr>
              <w:t>Unregistered Sales of Equity Securities and Use of Proceeds..................................................................................................................................................</w:t>
            </w:r>
          </w:p>
        </w:tc>
        <w:tc>
          <w:tcPr>
            <w:tcW w:w="340" w:type="dxa"/>
            <w:vAlign w:val="bottom"/>
          </w:tcPr>
          <w:p>
            <w:pPr>
              <w:ind w:left="1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3.</w:t>
            </w:r>
          </w:p>
        </w:tc>
        <w:tc>
          <w:tcPr>
            <w:tcW w:w="10420" w:type="dxa"/>
            <w:vAlign w:val="bottom"/>
          </w:tcPr>
          <w:p>
            <w:pPr>
              <w:ind w:left="20"/>
              <w:spacing w:after="0"/>
              <w:rPr>
                <w:sz w:val="20"/>
                <w:szCs w:val="20"/>
                <w:color w:val="auto"/>
              </w:rPr>
            </w:pPr>
            <w:r>
              <w:rPr>
                <w:rFonts w:ascii="Arial" w:cs="Arial" w:eastAsia="Arial" w:hAnsi="Arial"/>
                <w:sz w:val="16"/>
                <w:szCs w:val="16"/>
                <w:color w:val="auto"/>
                <w:w w:val="94"/>
              </w:rPr>
              <w:t>Defaults Upon Senior Securities....................................................................................................................................................................................................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4.</w:t>
            </w:r>
          </w:p>
        </w:tc>
        <w:tc>
          <w:tcPr>
            <w:tcW w:w="10420" w:type="dxa"/>
            <w:vAlign w:val="bottom"/>
          </w:tcPr>
          <w:p>
            <w:pPr>
              <w:ind w:left="20"/>
              <w:spacing w:after="0"/>
              <w:rPr>
                <w:sz w:val="20"/>
                <w:szCs w:val="20"/>
                <w:color w:val="auto"/>
              </w:rPr>
            </w:pPr>
            <w:r>
              <w:rPr>
                <w:rFonts w:ascii="Arial" w:cs="Arial" w:eastAsia="Arial" w:hAnsi="Arial"/>
                <w:sz w:val="16"/>
                <w:szCs w:val="16"/>
                <w:color w:val="auto"/>
                <w:w w:val="96"/>
              </w:rPr>
              <w:t>Submission of Matters to a Vote of Security Holders................................................................................................................................................................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5.</w:t>
            </w:r>
          </w:p>
        </w:tc>
        <w:tc>
          <w:tcPr>
            <w:tcW w:w="10420" w:type="dxa"/>
            <w:vAlign w:val="bottom"/>
          </w:tcPr>
          <w:p>
            <w:pPr>
              <w:ind w:left="20"/>
              <w:spacing w:after="0"/>
              <w:rPr>
                <w:sz w:val="20"/>
                <w:szCs w:val="20"/>
                <w:color w:val="auto"/>
              </w:rPr>
            </w:pPr>
            <w:r>
              <w:rPr>
                <w:rFonts w:ascii="Arial" w:cs="Arial" w:eastAsia="Arial" w:hAnsi="Arial"/>
                <w:sz w:val="16"/>
                <w:szCs w:val="16"/>
                <w:color w:val="auto"/>
                <w:w w:val="93"/>
              </w:rPr>
              <w:t>Other Information.............................................................................................................................................................................................................................</w:t>
            </w:r>
          </w:p>
        </w:tc>
        <w:tc>
          <w:tcPr>
            <w:tcW w:w="340" w:type="dxa"/>
            <w:vAlign w:val="bottom"/>
          </w:tcPr>
          <w:p>
            <w:pPr>
              <w:ind w:left="14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rPr>
              <w:t>Item 6.</w:t>
            </w:r>
          </w:p>
        </w:tc>
        <w:tc>
          <w:tcPr>
            <w:tcW w:w="10420" w:type="dxa"/>
            <w:vAlign w:val="bottom"/>
          </w:tcPr>
          <w:p>
            <w:pPr>
              <w:ind w:left="20"/>
              <w:spacing w:after="0"/>
              <w:rPr>
                <w:sz w:val="20"/>
                <w:szCs w:val="20"/>
                <w:color w:val="auto"/>
              </w:rPr>
            </w:pPr>
            <w:r>
              <w:rPr>
                <w:rFonts w:ascii="Arial" w:cs="Arial" w:eastAsia="Arial" w:hAnsi="Arial"/>
                <w:sz w:val="16"/>
                <w:szCs w:val="16"/>
                <w:color w:val="auto"/>
                <w:w w:val="92"/>
              </w:rPr>
              <w:t>Exhibits...............................................................................................................................................................................................................................................</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28</w:t>
            </w:r>
          </w:p>
        </w:tc>
        <w:tc>
          <w:tcPr>
            <w:tcW w:w="0" w:type="dxa"/>
            <w:vAlign w:val="bottom"/>
          </w:tcPr>
          <w:p>
            <w:pPr>
              <w:spacing w:after="0"/>
              <w:rPr>
                <w:sz w:val="1"/>
                <w:szCs w:val="1"/>
                <w:color w:val="auto"/>
              </w:rPr>
            </w:pPr>
          </w:p>
        </w:tc>
      </w:tr>
      <w:tr>
        <w:trPr>
          <w:trHeight w:val="395"/>
        </w:trPr>
        <w:tc>
          <w:tcPr>
            <w:tcW w:w="760" w:type="dxa"/>
            <w:vAlign w:val="bottom"/>
          </w:tcPr>
          <w:p>
            <w:pPr>
              <w:ind w:left="40"/>
              <w:spacing w:after="0"/>
              <w:rPr>
                <w:sz w:val="20"/>
                <w:szCs w:val="20"/>
                <w:color w:val="auto"/>
              </w:rPr>
            </w:pPr>
            <w:r>
              <w:rPr>
                <w:rFonts w:ascii="Arial" w:cs="Arial" w:eastAsia="Arial" w:hAnsi="Arial"/>
                <w:sz w:val="16"/>
                <w:szCs w:val="16"/>
                <w:color w:val="auto"/>
                <w:w w:val="91"/>
              </w:rPr>
              <w:t>Signatures</w:t>
            </w:r>
          </w:p>
        </w:tc>
        <w:tc>
          <w:tcPr>
            <w:tcW w:w="10420" w:type="dxa"/>
            <w:vAlign w:val="bottom"/>
          </w:tcPr>
          <w:p>
            <w:pPr>
              <w:ind w:left="20"/>
              <w:spacing w:after="0"/>
              <w:rPr>
                <w:sz w:val="20"/>
                <w:szCs w:val="20"/>
                <w:color w:val="auto"/>
              </w:rPr>
            </w:pPr>
            <w:r>
              <w:rPr>
                <w:rFonts w:ascii="Arial" w:cs="Arial" w:eastAsia="Arial" w:hAnsi="Arial"/>
                <w:sz w:val="16"/>
                <w:szCs w:val="16"/>
                <w:color w:val="auto"/>
                <w:w w:val="92"/>
              </w:rPr>
              <w:t>.............................................................................................................................................................................................................................................................</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520"/>
          </w:cols>
          <w:pgMar w:left="240" w:top="481" w:right="139" w:bottom="1440" w:gutter="0" w:footer="0" w:header="0"/>
        </w:sectPr>
      </w:pPr>
    </w:p>
    <w:bookmarkStart w:id="3" w:name="page4"/>
    <w:bookmarkEnd w:id="3"/>
    <w:p>
      <w:pPr>
        <w:ind w:left="5180"/>
        <w:spacing w:after="0"/>
        <w:rPr>
          <w:sz w:val="20"/>
          <w:szCs w:val="20"/>
          <w:color w:val="auto"/>
        </w:rPr>
      </w:pPr>
      <w:r>
        <w:rPr>
          <w:rFonts w:ascii="Arial" w:cs="Arial" w:eastAsia="Arial" w:hAnsi="Arial"/>
          <w:sz w:val="16"/>
          <w:szCs w:val="16"/>
          <w:b w:val="1"/>
          <w:bCs w:val="1"/>
          <w:color w:val="auto"/>
        </w:rPr>
        <w:t>PART I. FINANCIAL INFORMATION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3320" w:type="dxa"/>
            <w:vAlign w:val="bottom"/>
            <w:gridSpan w:val="2"/>
          </w:tcPr>
          <w:p>
            <w:pPr>
              <w:spacing w:after="0"/>
              <w:rPr>
                <w:sz w:val="20"/>
                <w:szCs w:val="20"/>
                <w:color w:val="auto"/>
              </w:rPr>
            </w:pPr>
            <w:r>
              <w:rPr>
                <w:rFonts w:ascii="Arial" w:cs="Arial" w:eastAsia="Arial" w:hAnsi="Arial"/>
                <w:sz w:val="20"/>
                <w:szCs w:val="20"/>
                <w:b w:val="1"/>
                <w:bCs w:val="1"/>
                <w:color w:val="auto"/>
              </w:rPr>
              <w:t xml:space="preserve">Item 1.  </w:t>
            </w:r>
            <w:r>
              <w:rPr>
                <w:rFonts w:ascii="Arial" w:cs="Arial" w:eastAsia="Arial" w:hAnsi="Arial"/>
                <w:sz w:val="16"/>
                <w:szCs w:val="16"/>
                <w:b w:val="1"/>
                <w:bCs w:val="1"/>
                <w:color w:val="auto"/>
              </w:rPr>
              <w:t>Financial Statements</w:t>
            </w:r>
          </w:p>
        </w:tc>
        <w:tc>
          <w:tcPr>
            <w:tcW w:w="2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3000" w:type="dxa"/>
            <w:vAlign w:val="bottom"/>
            <w:gridSpan w:val="3"/>
          </w:tcPr>
          <w:p>
            <w:pPr>
              <w:jc w:val="center"/>
              <w:ind w:left="1698"/>
              <w:spacing w:after="0"/>
              <w:rPr>
                <w:sz w:val="20"/>
                <w:szCs w:val="20"/>
                <w:color w:val="auto"/>
              </w:rPr>
            </w:pPr>
            <w:r>
              <w:rPr>
                <w:rFonts w:ascii="Arial" w:cs="Arial" w:eastAsia="Arial" w:hAnsi="Arial"/>
                <w:sz w:val="16"/>
                <w:szCs w:val="16"/>
                <w:b w:val="1"/>
                <w:bCs w:val="1"/>
                <w:color w:val="auto"/>
                <w:w w:val="97"/>
              </w:rPr>
              <w:t>NN, Inc.</w:t>
            </w: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5500" w:type="dxa"/>
            <w:vAlign w:val="bottom"/>
            <w:gridSpan w:val="8"/>
          </w:tcPr>
          <w:p>
            <w:pPr>
              <w:jc w:val="center"/>
              <w:ind w:right="700"/>
              <w:spacing w:after="0"/>
              <w:rPr>
                <w:sz w:val="20"/>
                <w:szCs w:val="20"/>
                <w:color w:val="auto"/>
              </w:rPr>
            </w:pPr>
            <w:r>
              <w:rPr>
                <w:rFonts w:ascii="Arial" w:cs="Arial" w:eastAsia="Arial" w:hAnsi="Arial"/>
                <w:sz w:val="16"/>
                <w:szCs w:val="16"/>
                <w:b w:val="1"/>
                <w:bCs w:val="1"/>
                <w:color w:val="auto"/>
                <w:w w:val="91"/>
              </w:rPr>
              <w:t>Consolidated Statements of Income and Comprehensive Income</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3000" w:type="dxa"/>
            <w:vAlign w:val="bottom"/>
            <w:gridSpan w:val="3"/>
          </w:tcPr>
          <w:p>
            <w:pPr>
              <w:jc w:val="center"/>
              <w:ind w:left="1698"/>
              <w:spacing w:after="0"/>
              <w:rPr>
                <w:sz w:val="20"/>
                <w:szCs w:val="20"/>
                <w:color w:val="auto"/>
              </w:rPr>
            </w:pPr>
            <w:r>
              <w:rPr>
                <w:rFonts w:ascii="Arial" w:cs="Arial" w:eastAsia="Arial" w:hAnsi="Arial"/>
                <w:sz w:val="16"/>
                <w:szCs w:val="16"/>
                <w:b w:val="1"/>
                <w:bCs w:val="1"/>
                <w:color w:val="auto"/>
                <w:w w:val="96"/>
              </w:rPr>
              <w:t>(Unaudited)</w:t>
            </w: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00" w:type="dxa"/>
            <w:vAlign w:val="bottom"/>
            <w:gridSpan w:val="5"/>
          </w:tcPr>
          <w:p>
            <w:pPr>
              <w:jc w:val="center"/>
              <w:ind w:right="600"/>
              <w:spacing w:after="0"/>
              <w:rPr>
                <w:sz w:val="20"/>
                <w:szCs w:val="20"/>
                <w:color w:val="auto"/>
              </w:rPr>
            </w:pPr>
            <w:r>
              <w:rPr>
                <w:rFonts w:ascii="Arial" w:cs="Arial" w:eastAsia="Arial" w:hAnsi="Arial"/>
                <w:sz w:val="16"/>
                <w:szCs w:val="16"/>
                <w:b w:val="1"/>
                <w:bCs w:val="1"/>
                <w:color w:val="auto"/>
                <w:w w:val="94"/>
              </w:rPr>
              <w:t>Three Months Ended</w:t>
            </w:r>
          </w:p>
        </w:tc>
        <w:tc>
          <w:tcPr>
            <w:tcW w:w="3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jc w:val="center"/>
              <w:ind w:left="298"/>
              <w:spacing w:after="0"/>
              <w:rPr>
                <w:sz w:val="20"/>
                <w:szCs w:val="20"/>
                <w:color w:val="auto"/>
              </w:rPr>
            </w:pPr>
            <w:r>
              <w:rPr>
                <w:rFonts w:ascii="Arial" w:cs="Arial" w:eastAsia="Arial" w:hAnsi="Arial"/>
                <w:sz w:val="16"/>
                <w:szCs w:val="16"/>
                <w:b w:val="1"/>
                <w:bCs w:val="1"/>
                <w:color w:val="auto"/>
                <w:w w:val="91"/>
              </w:rPr>
              <w:t>September 30,</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ind w:right="162"/>
              <w:spacing w:after="0"/>
              <w:rPr>
                <w:sz w:val="20"/>
                <w:szCs w:val="20"/>
                <w:color w:val="auto"/>
              </w:rPr>
            </w:pPr>
            <w:r>
              <w:rPr>
                <w:rFonts w:ascii="Arial" w:cs="Arial" w:eastAsia="Arial" w:hAnsi="Arial"/>
                <w:sz w:val="16"/>
                <w:szCs w:val="16"/>
                <w:b w:val="1"/>
                <w:bCs w:val="1"/>
                <w:color w:val="auto"/>
              </w:rPr>
              <w:t>September 30,</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3"/>
          </w:tcPr>
          <w:p>
            <w:pPr>
              <w:ind w:left="640"/>
              <w:spacing w:after="0"/>
              <w:rPr>
                <w:sz w:val="20"/>
                <w:szCs w:val="20"/>
                <w:color w:val="auto"/>
              </w:rPr>
            </w:pPr>
            <w:r>
              <w:rPr>
                <w:rFonts w:ascii="Arial" w:cs="Arial" w:eastAsia="Arial" w:hAnsi="Arial"/>
                <w:sz w:val="16"/>
                <w:szCs w:val="16"/>
                <w:b w:val="1"/>
                <w:bCs w:val="1"/>
                <w:color w:val="auto"/>
                <w:w w:val="96"/>
              </w:rPr>
              <w:t>As restated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3"/>
          </w:tcPr>
          <w:p>
            <w:pPr>
              <w:jc w:val="right"/>
              <w:ind w:right="82"/>
              <w:spacing w:after="0"/>
              <w:rPr>
                <w:sz w:val="20"/>
                <w:szCs w:val="20"/>
                <w:color w:val="auto"/>
              </w:rPr>
            </w:pPr>
            <w:r>
              <w:rPr>
                <w:rFonts w:ascii="Arial" w:cs="Arial" w:eastAsia="Arial" w:hAnsi="Arial"/>
                <w:sz w:val="16"/>
                <w:szCs w:val="16"/>
                <w:b w:val="1"/>
                <w:bCs w:val="1"/>
                <w:color w:val="auto"/>
              </w:rPr>
              <w:t>As restated</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320" w:type="dxa"/>
            <w:vAlign w:val="bottom"/>
            <w:gridSpan w:val="2"/>
          </w:tcPr>
          <w:p>
            <w:pPr>
              <w:spacing w:after="0"/>
              <w:rPr>
                <w:sz w:val="20"/>
                <w:szCs w:val="20"/>
                <w:color w:val="auto"/>
              </w:rPr>
            </w:pPr>
            <w:r>
              <w:rPr>
                <w:rFonts w:ascii="Arial" w:cs="Arial" w:eastAsia="Arial" w:hAnsi="Arial"/>
                <w:sz w:val="16"/>
                <w:szCs w:val="16"/>
                <w:color w:val="auto"/>
                <w:w w:val="98"/>
              </w:rPr>
              <w:t>(Thousands of Dollars, Except Per Share Data)</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38"/>
              <w:spacing w:after="0"/>
              <w:rPr>
                <w:sz w:val="20"/>
                <w:szCs w:val="20"/>
                <w:color w:val="auto"/>
              </w:rPr>
            </w:pPr>
            <w:r>
              <w:rPr>
                <w:rFonts w:ascii="Arial" w:cs="Arial" w:eastAsia="Arial" w:hAnsi="Arial"/>
                <w:sz w:val="16"/>
                <w:szCs w:val="16"/>
                <w:b w:val="1"/>
                <w:bCs w:val="1"/>
                <w:color w:val="auto"/>
              </w:rPr>
              <w:t>2007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2007</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2006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300" w:type="dxa"/>
            <w:vAlign w:val="bottom"/>
            <w:shd w:val="clear" w:color="auto" w:fill="000000"/>
          </w:tcPr>
          <w:p>
            <w:pPr>
              <w:spacing w:after="0"/>
              <w:rPr>
                <w:sz w:val="2"/>
                <w:szCs w:val="2"/>
                <w:color w:val="auto"/>
              </w:rPr>
            </w:pPr>
          </w:p>
        </w:tc>
        <w:tc>
          <w:tcPr>
            <w:tcW w:w="2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64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99,021</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74,870</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314,267</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6"/>
              </w:rPr>
              <w:t>244,441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300" w:type="dxa"/>
            <w:vAlign w:val="bottom"/>
          </w:tcPr>
          <w:p>
            <w:pPr>
              <w:spacing w:after="0"/>
              <w:rPr>
                <w:sz w:val="20"/>
                <w:szCs w:val="20"/>
                <w:color w:val="auto"/>
              </w:rPr>
            </w:pPr>
            <w:r>
              <w:rPr>
                <w:rFonts w:ascii="Arial" w:cs="Arial" w:eastAsia="Arial" w:hAnsi="Arial"/>
                <w:sz w:val="16"/>
                <w:szCs w:val="16"/>
                <w:color w:val="auto"/>
                <w:w w:val="97"/>
              </w:rPr>
              <w:t>Cost of products sold (exclusive of depreciation</w:t>
            </w: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00" w:type="dxa"/>
            <w:vAlign w:val="bottom"/>
          </w:tcPr>
          <w:p>
            <w:pPr>
              <w:ind w:left="140"/>
              <w:spacing w:after="0"/>
              <w:rPr>
                <w:sz w:val="20"/>
                <w:szCs w:val="20"/>
                <w:color w:val="auto"/>
              </w:rPr>
            </w:pPr>
            <w:r>
              <w:rPr>
                <w:rFonts w:ascii="Arial" w:cs="Arial" w:eastAsia="Arial" w:hAnsi="Arial"/>
                <w:sz w:val="16"/>
                <w:szCs w:val="16"/>
                <w:color w:val="auto"/>
              </w:rPr>
              <w:t>and amortization shown separately below)</w:t>
            </w: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80,264</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58,693</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251,274</w:t>
            </w:r>
          </w:p>
        </w:tc>
        <w:tc>
          <w:tcPr>
            <w:tcW w:w="56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w w:val="96"/>
              </w:rPr>
              <w:t>189,597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8,423</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7,178</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27,406</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21,922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5,771</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4,192</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16,951</w:t>
            </w:r>
          </w:p>
        </w:tc>
        <w:tc>
          <w:tcPr>
            <w:tcW w:w="5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1,362</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14,698</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Gain on disposal of assets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(11)</w:t>
            </w: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5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(loss) from operations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3,212</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4,807</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3,961</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20,869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1,496</w:t>
            </w: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916</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4,821</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Other income, net</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(154)</w:t>
            </w:r>
          </w:p>
        </w:tc>
        <w:tc>
          <w:tcPr>
            <w:tcW w:w="3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(550)</w:t>
            </w:r>
          </w:p>
        </w:tc>
        <w:tc>
          <w:tcPr>
            <w:tcW w:w="300" w:type="dxa"/>
            <w:vAlign w:val="bottom"/>
          </w:tcPr>
          <w:p>
            <w:pPr>
              <w:spacing w:after="0"/>
              <w:rPr>
                <w:sz w:val="17"/>
                <w:szCs w:val="17"/>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(150)</w:t>
            </w:r>
          </w:p>
        </w:tc>
        <w:tc>
          <w:tcPr>
            <w:tcW w:w="5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w w:val="97"/>
              </w:rPr>
              <w:t>Income (loss) before provision for income taxes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1,870</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4,441</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(710)</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18,256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1,472</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1,808</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5,501</w:t>
            </w:r>
          </w:p>
        </w:tc>
        <w:tc>
          <w:tcPr>
            <w:tcW w:w="5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6,908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 (loss)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2,633</w:t>
            </w:r>
          </w:p>
        </w:tc>
        <w:tc>
          <w:tcPr>
            <w:tcW w:w="3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(6,211)</w:t>
            </w:r>
          </w:p>
        </w:tc>
        <w:tc>
          <w:tcPr>
            <w:tcW w:w="5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Other comprehensive income (loss):</w:t>
            </w: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tcPr>
          <w:p>
            <w:pPr>
              <w:ind w:left="180"/>
              <w:spacing w:after="0"/>
              <w:rPr>
                <w:sz w:val="20"/>
                <w:szCs w:val="20"/>
                <w:color w:val="auto"/>
              </w:rPr>
            </w:pPr>
            <w:r>
              <w:rPr>
                <w:rFonts w:ascii="Arial" w:cs="Arial" w:eastAsia="Arial" w:hAnsi="Arial"/>
                <w:sz w:val="16"/>
                <w:szCs w:val="16"/>
                <w:color w:val="auto"/>
              </w:rPr>
              <w:t>Foreign currency translation gain (loss)</w:t>
            </w: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5,348</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(867)</w:t>
            </w:r>
          </w:p>
        </w:tc>
        <w:tc>
          <w:tcPr>
            <w:tcW w:w="30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8,775</w:t>
            </w:r>
          </w:p>
        </w:tc>
        <w:tc>
          <w:tcPr>
            <w:tcW w:w="56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6,777</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Comprehensive income (loss)</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5,746</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1,766</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2,564</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18,125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c>
          <w:tcPr>
            <w:tcW w:w="2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00" w:type="dxa"/>
            <w:vAlign w:val="bottom"/>
            <w:shd w:val="clear" w:color="auto" w:fill="CCEEFF"/>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6"/>
                <w:szCs w:val="16"/>
                <w:color w:val="auto"/>
              </w:rPr>
              <w:t>Basic income (loss) per common share:</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0.15</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(0.37)</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c>
          <w:tcPr>
            <w:tcW w:w="2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Weighted average shares outstanding</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16,765</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17,105</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16,808</w:t>
            </w: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17,147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c>
          <w:tcPr>
            <w:tcW w:w="2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income (loss) per common share:</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0.15</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(0.37)</w:t>
            </w:r>
          </w:p>
        </w:tc>
        <w:tc>
          <w:tcPr>
            <w:tcW w:w="56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0.65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c>
          <w:tcPr>
            <w:tcW w:w="2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00" w:type="dxa"/>
            <w:vAlign w:val="bottom"/>
            <w:shd w:val="clear" w:color="auto" w:fill="CCEEFF"/>
          </w:tcPr>
          <w:p>
            <w:pPr>
              <w:ind w:left="100"/>
              <w:spacing w:after="0"/>
              <w:rPr>
                <w:sz w:val="20"/>
                <w:szCs w:val="20"/>
                <w:color w:val="auto"/>
              </w:rPr>
            </w:pPr>
            <w:r>
              <w:rPr>
                <w:rFonts w:ascii="Arial" w:cs="Arial" w:eastAsia="Arial" w:hAnsi="Arial"/>
                <w:sz w:val="16"/>
                <w:szCs w:val="16"/>
                <w:color w:val="auto"/>
              </w:rPr>
              <w:t>Weighted average shares outstanding</w:t>
            </w:r>
          </w:p>
        </w:tc>
        <w:tc>
          <w:tcPr>
            <w:tcW w:w="2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16,904</w:t>
            </w:r>
          </w:p>
        </w:tc>
        <w:tc>
          <w:tcPr>
            <w:tcW w:w="3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17,339</w:t>
            </w:r>
          </w:p>
        </w:tc>
        <w:tc>
          <w:tcPr>
            <w:tcW w:w="3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16,986</w:t>
            </w:r>
          </w:p>
        </w:tc>
        <w:tc>
          <w:tcPr>
            <w:tcW w:w="5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17,389</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300" w:type="dxa"/>
            <w:vAlign w:val="bottom"/>
            <w:tcBorders>
              <w:top w:val="single" w:sz="8" w:color="CCEEFF"/>
            </w:tcBorders>
          </w:tcPr>
          <w:p>
            <w:pPr>
              <w:spacing w:after="0"/>
              <w:rPr>
                <w:sz w:val="16"/>
                <w:szCs w:val="16"/>
                <w:color w:val="auto"/>
              </w:rPr>
            </w:pPr>
          </w:p>
        </w:tc>
        <w:tc>
          <w:tcPr>
            <w:tcW w:w="26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per common share</w:t>
            </w:r>
          </w:p>
        </w:tc>
        <w:tc>
          <w:tcPr>
            <w:tcW w:w="30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0.08</w:t>
            </w:r>
          </w:p>
        </w:tc>
        <w:tc>
          <w:tcPr>
            <w:tcW w:w="3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0.08</w:t>
            </w:r>
          </w:p>
        </w:tc>
        <w:tc>
          <w:tcPr>
            <w:tcW w:w="300" w:type="dxa"/>
            <w:vAlign w:val="bottom"/>
            <w:shd w:val="clear" w:color="auto" w:fill="CCEEFF"/>
          </w:tcPr>
          <w:p>
            <w:pPr>
              <w:jc w:val="right"/>
              <w:ind w:right="142"/>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0.24</w:t>
            </w:r>
          </w:p>
        </w:tc>
        <w:tc>
          <w:tcPr>
            <w:tcW w:w="560" w:type="dxa"/>
            <w:vAlign w:val="bottom"/>
            <w:shd w:val="clear" w:color="auto" w:fill="CCEEFF"/>
          </w:tcPr>
          <w:p>
            <w:pPr>
              <w:jc w:val="right"/>
              <w:ind w:right="402"/>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September 30,</w:t>
            </w:r>
          </w:p>
        </w:tc>
        <w:tc>
          <w:tcPr>
            <w:tcW w:w="80" w:type="dxa"/>
            <w:vAlign w:val="bottom"/>
          </w:tcPr>
          <w:p>
            <w:pPr>
              <w:spacing w:after="0"/>
              <w:rPr>
                <w:sz w:val="17"/>
                <w:szCs w:val="17"/>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38"/>
              <w:spacing w:after="0"/>
              <w:rPr>
                <w:sz w:val="20"/>
                <w:szCs w:val="20"/>
                <w:color w:val="auto"/>
              </w:rPr>
            </w:pPr>
            <w:r>
              <w:rPr>
                <w:rFonts w:ascii="Arial" w:cs="Arial" w:eastAsia="Arial" w:hAnsi="Arial"/>
                <w:sz w:val="16"/>
                <w:szCs w:val="16"/>
                <w:b w:val="1"/>
                <w:bCs w:val="1"/>
                <w:color w:val="auto"/>
                <w:w w:val="95"/>
              </w:rPr>
              <w:t>2007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700" w:type="dxa"/>
            <w:vAlign w:val="bottom"/>
            <w:gridSpan w:val="2"/>
          </w:tcPr>
          <w:p>
            <w:pPr>
              <w:spacing w:after="0"/>
              <w:rPr>
                <w:sz w:val="20"/>
                <w:szCs w:val="20"/>
                <w:color w:val="auto"/>
              </w:rPr>
            </w:pPr>
            <w:r>
              <w:rPr>
                <w:rFonts w:ascii="Arial" w:cs="Arial" w:eastAsia="Arial" w:hAnsi="Arial"/>
                <w:sz w:val="16"/>
                <w:szCs w:val="16"/>
                <w:color w:val="auto"/>
              </w:rPr>
              <w:t>(Thousands of Dollars)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restated</w:t>
            </w:r>
          </w:p>
        </w:tc>
        <w:tc>
          <w:tcPr>
            <w:tcW w:w="80" w:type="dxa"/>
            <w:vAlign w:val="bottom"/>
          </w:tcPr>
          <w:p>
            <w:pPr>
              <w:spacing w:after="0"/>
              <w:rPr>
                <w:sz w:val="18"/>
                <w:szCs w:val="18"/>
                <w:color w:val="auto"/>
              </w:rPr>
            </w:pPr>
          </w:p>
        </w:tc>
        <w:tc>
          <w:tcPr>
            <w:tcW w:w="1060" w:type="dxa"/>
            <w:vAlign w:val="bottom"/>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Assets</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Cash and cash equivalents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8,481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11,681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Accounts receivable, net of allowances of $1,331 and $1,278,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71,420</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63,442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47,836</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43,538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Other current assets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7,575</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current assets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135,312</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125,864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157,403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156,447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Goodwill, net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38,510</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46,147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9,601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10,131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3,105</w:t>
            </w: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343,931</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342,701</w:t>
            </w: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86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Liabilities and Stockholders’ Equity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44,952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52,576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Accrued salaries, wages and benefits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16,674</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13,519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Income taxes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Current maturities of long-term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8,151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851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Other current liabilities</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8,763</w:t>
            </w: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7,829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18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79,853</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74,869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Non-current deferred tax liability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20,643</w:t>
            </w: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16,334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Long-term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97,514</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80,711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Related party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21,305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Accrued pension and other</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17,015</w:t>
            </w: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16,313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6"/>
                <w:szCs w:val="16"/>
                <w:color w:val="auto"/>
              </w:rPr>
              <w:t>Total liabilities</w:t>
            </w: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215,025</w:t>
            </w:r>
          </w:p>
        </w:tc>
        <w:tc>
          <w:tcPr>
            <w:tcW w:w="2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209,532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128,906</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133,169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343,931</w:t>
            </w:r>
          </w:p>
        </w:tc>
        <w:tc>
          <w:tcPr>
            <w:tcW w:w="2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342,701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Changes in Stockholders’ Equity</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gridSpan w:val="6"/>
          </w:tcPr>
          <w:p>
            <w:pPr>
              <w:jc w:val="right"/>
              <w:ind w:right="960"/>
              <w:spacing w:after="0"/>
              <w:rPr>
                <w:sz w:val="20"/>
                <w:szCs w:val="20"/>
                <w:color w:val="auto"/>
              </w:rPr>
            </w:pPr>
            <w:r>
              <w:rPr>
                <w:rFonts w:ascii="Arial" w:cs="Arial" w:eastAsia="Arial" w:hAnsi="Arial"/>
                <w:sz w:val="16"/>
                <w:szCs w:val="16"/>
                <w:b w:val="1"/>
                <w:bCs w:val="1"/>
                <w:color w:val="auto"/>
              </w:rPr>
              <w:t>Common Stock</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3"/>
              </w:rPr>
              <w:t>Accumulated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Retained</w:t>
            </w: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Additional Paid</w:t>
            </w:r>
          </w:p>
        </w:tc>
        <w:tc>
          <w:tcPr>
            <w:tcW w:w="1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3"/>
              </w:rPr>
              <w:t>Earnings</w:t>
            </w:r>
          </w:p>
        </w:tc>
        <w:tc>
          <w:tcPr>
            <w:tcW w:w="136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Comprehensive</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180" w:type="dxa"/>
            <w:vAlign w:val="bottom"/>
          </w:tcPr>
          <w:p>
            <w:pPr>
              <w:ind w:left="440"/>
              <w:spacing w:after="0"/>
              <w:rPr>
                <w:sz w:val="20"/>
                <w:szCs w:val="20"/>
                <w:color w:val="auto"/>
              </w:rPr>
            </w:pPr>
            <w:r>
              <w:rPr>
                <w:rFonts w:ascii="Arial" w:cs="Arial" w:eastAsia="Arial" w:hAnsi="Arial"/>
                <w:sz w:val="16"/>
                <w:szCs w:val="16"/>
                <w:color w:val="auto"/>
              </w:rPr>
              <w:t>(Thousands of Dollars and Shares)</w:t>
            </w:r>
          </w:p>
        </w:tc>
        <w:tc>
          <w:tcPr>
            <w:tcW w:w="120" w:type="dxa"/>
            <w:vAlign w:val="bottom"/>
          </w:tcPr>
          <w:p>
            <w:pPr>
              <w:spacing w:after="0"/>
              <w:rPr>
                <w:sz w:val="18"/>
                <w:szCs w:val="18"/>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Par Value</w:t>
            </w:r>
          </w:p>
        </w:tc>
        <w:tc>
          <w:tcPr>
            <w:tcW w:w="14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in Capital</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As restated</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Income</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1"/>
              </w:rPr>
              <w:t>As restated</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Balance, January 1, 2007</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16,842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169</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53,473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64,178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15,349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133,169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Shares issued</w:t>
            </w: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Net Loss, as restated</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(6,211)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Amortization of restricted stock awards</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Forfeiture of restricted stock</w:t>
            </w:r>
          </w:p>
        </w:tc>
        <w:tc>
          <w:tcPr>
            <w:tcW w:w="14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Repurchase of outstanding shares</w:t>
            </w:r>
          </w:p>
        </w:tc>
        <w:tc>
          <w:tcPr>
            <w:tcW w:w="1440" w:type="dxa"/>
            <w:vAlign w:val="bottom"/>
            <w:gridSpan w:val="3"/>
          </w:tcPr>
          <w:p>
            <w:pPr>
              <w:jc w:val="right"/>
              <w:ind w:right="100"/>
              <w:spacing w:after="0"/>
              <w:rPr>
                <w:sz w:val="20"/>
                <w:szCs w:val="20"/>
                <w:color w:val="auto"/>
              </w:rPr>
            </w:pPr>
            <w:r>
              <w:rPr>
                <w:rFonts w:ascii="Arial" w:cs="Arial" w:eastAsia="Arial" w:hAnsi="Arial"/>
                <w:sz w:val="16"/>
                <w:szCs w:val="16"/>
                <w:color w:val="auto"/>
              </w:rPr>
              <w:t>(309)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6"/>
                <w:szCs w:val="16"/>
                <w:color w:val="auto"/>
              </w:rPr>
              <w:t>(3,153)</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(3,156)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Stock option expense</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502</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Dividends declared</w:t>
            </w:r>
          </w:p>
        </w:tc>
        <w:tc>
          <w:tcPr>
            <w:tcW w:w="1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(4,045)</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(4,045)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Cumulative effect of adoption of  FIN 48</w:t>
            </w:r>
          </w:p>
        </w:tc>
        <w:tc>
          <w:tcPr>
            <w:tcW w:w="144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(600)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180" w:type="dxa"/>
            <w:vAlign w:val="bottom"/>
          </w:tcPr>
          <w:p>
            <w:pPr>
              <w:spacing w:after="0"/>
              <w:rPr>
                <w:sz w:val="20"/>
                <w:szCs w:val="20"/>
                <w:color w:val="auto"/>
              </w:rPr>
            </w:pPr>
            <w:r>
              <w:rPr>
                <w:rFonts w:ascii="Arial" w:cs="Arial" w:eastAsia="Arial" w:hAnsi="Arial"/>
                <w:sz w:val="16"/>
                <w:szCs w:val="16"/>
                <w:color w:val="auto"/>
              </w:rPr>
              <w:t>Cumulative translation gain</w:t>
            </w:r>
          </w:p>
        </w:tc>
        <w:tc>
          <w:tcPr>
            <w:tcW w:w="120" w:type="dxa"/>
            <w:vAlign w:val="bottom"/>
          </w:tcPr>
          <w:p>
            <w:pPr>
              <w:spacing w:after="0"/>
              <w:rPr>
                <w:sz w:val="17"/>
                <w:szCs w:val="17"/>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8,775</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8,775</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vMerge w:val="continue"/>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rPr>
              <w:t>Balance, September 30, 2007</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16,554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51,294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53,322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24,124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128,906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5"/>
          </w:tcPr>
          <w:p>
            <w:pPr>
              <w:jc w:val="right"/>
              <w:ind w:right="640"/>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ind w:right="318"/>
              <w:spacing w:after="0"/>
              <w:rPr>
                <w:sz w:val="20"/>
                <w:szCs w:val="20"/>
                <w:color w:val="auto"/>
              </w:rPr>
            </w:pPr>
            <w:r>
              <w:rPr>
                <w:rFonts w:ascii="Arial" w:cs="Arial" w:eastAsia="Arial" w:hAnsi="Arial"/>
                <w:sz w:val="16"/>
                <w:szCs w:val="16"/>
                <w:b w:val="1"/>
                <w:bCs w:val="1"/>
                <w:color w:val="auto"/>
              </w:rPr>
              <w:t>2007</w:t>
            </w: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(Thousands of Dollars)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As restated</w:t>
            </w:r>
          </w:p>
        </w:tc>
        <w:tc>
          <w:tcPr>
            <w:tcW w:w="400" w:type="dxa"/>
            <w:vAlign w:val="bottom"/>
          </w:tcPr>
          <w:p>
            <w:pPr>
              <w:spacing w:after="0"/>
              <w:rPr>
                <w:sz w:val="18"/>
                <w:szCs w:val="18"/>
                <w:color w:val="auto"/>
              </w:rPr>
            </w:pPr>
          </w:p>
        </w:tc>
        <w:tc>
          <w:tcPr>
            <w:tcW w:w="740" w:type="dxa"/>
            <w:vAlign w:val="bottom"/>
          </w:tcPr>
          <w:p>
            <w:pPr>
              <w:jc w:val="right"/>
              <w:ind w:right="318"/>
              <w:spacing w:after="0"/>
              <w:rPr>
                <w:sz w:val="20"/>
                <w:szCs w:val="20"/>
                <w:color w:val="auto"/>
              </w:rPr>
            </w:pPr>
            <w:r>
              <w:rPr>
                <w:rFonts w:ascii="Arial" w:cs="Arial" w:eastAsia="Arial" w:hAnsi="Arial"/>
                <w:sz w:val="16"/>
                <w:szCs w:val="16"/>
                <w:b w:val="1"/>
                <w:bCs w:val="1"/>
                <w:color w:val="auto"/>
                <w:w w:val="89"/>
              </w:rPr>
              <w:t>2006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(6,211)</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11,348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8680" w:type="dxa"/>
            <w:vAlign w:val="bottom"/>
            <w:shd w:val="clear" w:color="auto" w:fill="CCEEFF"/>
          </w:tcPr>
          <w:p>
            <w:pPr>
              <w:ind w:left="60"/>
              <w:spacing w:after="0"/>
              <w:rPr>
                <w:sz w:val="20"/>
                <w:szCs w:val="20"/>
                <w:color w:val="auto"/>
              </w:rPr>
            </w:pPr>
            <w:r>
              <w:rPr>
                <w:rFonts w:ascii="Arial" w:cs="Arial" w:eastAsia="Arial" w:hAnsi="Arial"/>
                <w:sz w:val="16"/>
                <w:szCs w:val="16"/>
                <w:color w:val="auto"/>
              </w:rPr>
              <w:t>Adjustments to reconcile net income (loss) to net cash provided by operating</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activities: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16,951</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12,779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debt issue costs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140"/>
              <w:spacing w:after="0"/>
              <w:rPr>
                <w:sz w:val="20"/>
                <w:szCs w:val="20"/>
                <w:color w:val="auto"/>
              </w:rPr>
            </w:pPr>
            <w:r>
              <w:rPr>
                <w:rFonts w:ascii="Arial" w:cs="Arial" w:eastAsia="Arial" w:hAnsi="Arial"/>
                <w:sz w:val="16"/>
                <w:szCs w:val="16"/>
                <w:color w:val="auto"/>
              </w:rPr>
              <w:t>Gain on disposal of property, plant and equipment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(726)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Compensation expense from issuance of restricted stock and incentive stock options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140"/>
              <w:spacing w:after="0"/>
              <w:rPr>
                <w:sz w:val="20"/>
                <w:szCs w:val="20"/>
                <w:color w:val="auto"/>
              </w:rPr>
            </w:pPr>
            <w:r>
              <w:rPr>
                <w:rFonts w:ascii="Arial" w:cs="Arial" w:eastAsia="Arial" w:hAnsi="Arial"/>
                <w:sz w:val="16"/>
                <w:szCs w:val="16"/>
                <w:color w:val="auto"/>
              </w:rPr>
              <w:t>Restructuring and impairment charges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14,698</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140"/>
              <w:spacing w:after="0"/>
              <w:rPr>
                <w:sz w:val="20"/>
                <w:szCs w:val="20"/>
                <w:color w:val="auto"/>
              </w:rPr>
            </w:pPr>
            <w:r>
              <w:rPr>
                <w:rFonts w:ascii="Arial" w:cs="Arial" w:eastAsia="Arial" w:hAnsi="Arial"/>
                <w:sz w:val="16"/>
                <w:szCs w:val="16"/>
                <w:color w:val="auto"/>
              </w:rPr>
              <w:t>Changes in operating assets and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(5,375)</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(772)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(2,689)</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2,201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(10,007)</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(4,869)</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20"/>
              <w:spacing w:after="0"/>
              <w:rPr>
                <w:sz w:val="20"/>
                <w:szCs w:val="20"/>
                <w:color w:val="auto"/>
              </w:rPr>
            </w:pPr>
            <w:r>
              <w:rPr>
                <w:rFonts w:ascii="Arial" w:cs="Arial" w:eastAsia="Arial" w:hAnsi="Arial"/>
                <w:sz w:val="16"/>
                <w:szCs w:val="16"/>
                <w:color w:val="auto"/>
              </w:rPr>
              <w:t>Other assets and liabilities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2,555</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2,042</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provided by operating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10,800</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22,751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Acquisition of property, plant and equipment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(12,841)</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(11,766)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disposals of property, plant and equipment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3,120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Acquisition of intangibles and goodwill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(302)</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(1,855)</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cash used by investing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(13,092)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(10,501)</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Financing Activities: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Increase in cash from book overdraft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94</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1,055</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long-term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(883)</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(4,668)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Proceeds from short-term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1,586</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Principal payment on capital lease</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Repurchase of common stock</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(3,156)</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(2,534)</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stock</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292</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Proceeds from long term debt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23,400</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4,600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issuance cost paid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(251)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ind w:left="20"/>
              <w:spacing w:after="0"/>
              <w:rPr>
                <w:sz w:val="20"/>
                <w:szCs w:val="20"/>
                <w:color w:val="auto"/>
              </w:rPr>
            </w:pPr>
            <w:r>
              <w:rPr>
                <w:rFonts w:ascii="Arial" w:cs="Arial" w:eastAsia="Arial" w:hAnsi="Arial"/>
                <w:sz w:val="16"/>
                <w:szCs w:val="16"/>
                <w:color w:val="auto"/>
              </w:rPr>
              <w:t>Dividends paid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(4,045)</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(4,118)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related party debt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(18,638)</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8680" w:type="dxa"/>
            <w:vAlign w:val="bottom"/>
          </w:tcPr>
          <w:p>
            <w:pPr>
              <w:ind w:left="340"/>
              <w:spacing w:after="0"/>
              <w:rPr>
                <w:sz w:val="20"/>
                <w:szCs w:val="20"/>
                <w:color w:val="auto"/>
              </w:rPr>
            </w:pPr>
            <w:r>
              <w:rPr>
                <w:rFonts w:ascii="Arial" w:cs="Arial" w:eastAsia="Arial" w:hAnsi="Arial"/>
                <w:sz w:val="16"/>
                <w:szCs w:val="16"/>
                <w:color w:val="auto"/>
              </w:rPr>
              <w:t>Net cash used by financing activities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(1,629)</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(5,207)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721</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603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Net Change in Cash and Cash Equivalents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(3,200)</w:t>
            </w:r>
          </w:p>
        </w:tc>
        <w:tc>
          <w:tcPr>
            <w:tcW w:w="40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7,646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11,681</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10,856</w:t>
            </w:r>
          </w:p>
        </w:tc>
        <w:tc>
          <w:tcPr>
            <w:tcW w:w="0" w:type="dxa"/>
            <w:vAlign w:val="bottom"/>
          </w:tcPr>
          <w:p>
            <w:pPr>
              <w:spacing w:after="0"/>
              <w:rPr>
                <w:sz w:val="1"/>
                <w:szCs w:val="1"/>
                <w:color w:val="auto"/>
              </w:rPr>
            </w:pPr>
          </w:p>
        </w:tc>
      </w:tr>
      <w:tr>
        <w:trPr>
          <w:trHeight w:val="25"/>
        </w:trPr>
        <w:tc>
          <w:tcPr>
            <w:tcW w:w="20" w:type="dxa"/>
            <w:vAlign w:val="bottom"/>
            <w:vMerge w:val="restart"/>
          </w:tcPr>
          <w:p>
            <w:pPr>
              <w:spacing w:after="0"/>
              <w:rPr>
                <w:sz w:val="2"/>
                <w:szCs w:val="2"/>
                <w:color w:val="auto"/>
              </w:rPr>
            </w:pPr>
          </w:p>
        </w:tc>
        <w:tc>
          <w:tcPr>
            <w:tcW w:w="8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868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8,481</w:t>
            </w: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6"/>
                <w:szCs w:val="16"/>
                <w:color w:val="auto"/>
              </w:rPr>
              <w:t>18,502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8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The accompanying notes are an integral part of the financial statements.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7"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1.</w:t>
      </w:r>
      <w:r>
        <w:rPr>
          <w:sz w:val="20"/>
          <w:szCs w:val="20"/>
          <w:color w:val="auto"/>
        </w:rPr>
        <w:tab/>
      </w:r>
      <w:r>
        <w:rPr>
          <w:rFonts w:ascii="Arial" w:cs="Arial" w:eastAsia="Arial" w:hAnsi="Arial"/>
          <w:sz w:val="15"/>
          <w:szCs w:val="15"/>
          <w:b w:val="1"/>
          <w:bCs w:val="1"/>
          <w:color w:val="auto"/>
        </w:rPr>
        <w:t>Interim Financial Statements</w:t>
      </w:r>
    </w:p>
    <w:p>
      <w:pPr>
        <w:spacing w:after="0" w:line="239"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The accompanying consolidated financial statements of NN, Inc. (the “Company”) have not been audited, except that the balance sheet at December 31, 2006 is derived from the Company’s consolidated audited financial statements. In the opinion of the Company’s management, the financial statements reflect all adjustments necessary to fairly state the results of operations for the three and nine month periods ended September 30, 2007 and 2006, the Company’s financial position at September 30, 2007 and December 31, 2006, and the cash flows for the nine month periods ended September 30, 2007 and 2006.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96"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consolidated and unaudited, consolidated financial statements should be read in conjunction with our audited consolidated financial statements and the notes thereto included in our most recent annual report on Form 10-K for the year ended December 31, 2006 which we filed with the Securities and Exchange Commission on March 16, 2007.</w:t>
      </w:r>
    </w:p>
    <w:p>
      <w:pPr>
        <w:spacing w:after="0" w:line="161" w:lineRule="exact"/>
        <w:rPr>
          <w:sz w:val="20"/>
          <w:szCs w:val="20"/>
          <w:color w:val="auto"/>
        </w:rPr>
      </w:pPr>
    </w:p>
    <w:p>
      <w:pPr>
        <w:ind w:right="420"/>
        <w:spacing w:after="0" w:line="289" w:lineRule="auto"/>
        <w:rPr>
          <w:sz w:val="20"/>
          <w:szCs w:val="20"/>
          <w:color w:val="auto"/>
        </w:rPr>
      </w:pPr>
      <w:r>
        <w:rPr>
          <w:rFonts w:ascii="Arial" w:cs="Arial" w:eastAsia="Arial" w:hAnsi="Arial"/>
          <w:sz w:val="16"/>
          <w:szCs w:val="16"/>
          <w:color w:val="auto"/>
        </w:rPr>
        <w:t>The results for the three and nine month periods ended September 30, 2007 are not necessarily indicative of results for the year ending December 31, 2007 or any other future periods.</w:t>
      </w:r>
    </w:p>
    <w:p>
      <w:pPr>
        <w:spacing w:after="0" w:line="200" w:lineRule="exact"/>
        <w:rPr>
          <w:sz w:val="20"/>
          <w:szCs w:val="20"/>
          <w:color w:val="auto"/>
        </w:rPr>
      </w:pPr>
    </w:p>
    <w:p>
      <w:pPr>
        <w:spacing w:after="0" w:line="216"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2.</w:t>
      </w:r>
      <w:r>
        <w:rPr>
          <w:sz w:val="20"/>
          <w:szCs w:val="20"/>
          <w:color w:val="auto"/>
        </w:rPr>
        <w:tab/>
      </w:r>
      <w:r>
        <w:rPr>
          <w:rFonts w:ascii="Arial" w:cs="Arial" w:eastAsia="Arial" w:hAnsi="Arial"/>
          <w:sz w:val="14"/>
          <w:szCs w:val="14"/>
          <w:b w:val="1"/>
          <w:bCs w:val="1"/>
          <w:color w:val="auto"/>
        </w:rPr>
        <w:t>Restatement of Form 10-Q filed November 9, 2007</w:t>
      </w:r>
    </w:p>
    <w:p>
      <w:pPr>
        <w:spacing w:after="0" w:line="239"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 xml:space="preserve">In preparing our financial statements for the three and nine months ended September 30, 2007, management concluded that, due to the lower than expected sales of the Precision Metal Components segment in the third quarter, that the carrying amount of certain long-lived assets may not be recoverable. As a result, management performed impairment tests in the third quarter in accordance with the provisions of Statement of Financial Accounting Standards (“SFAS”) 144, </w:t>
      </w:r>
      <w:r>
        <w:rPr>
          <w:rFonts w:ascii="Arial" w:cs="Arial" w:eastAsia="Arial" w:hAnsi="Arial"/>
          <w:sz w:val="16"/>
          <w:szCs w:val="16"/>
          <w:i w:val="1"/>
          <w:iCs w:val="1"/>
          <w:color w:val="auto"/>
        </w:rPr>
        <w:t>Accounting for the Impairment 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Disposal of Long-Lived Assets </w:t>
      </w:r>
      <w:r>
        <w:rPr>
          <w:rFonts w:ascii="Arial" w:cs="Arial" w:eastAsia="Arial" w:hAnsi="Arial"/>
          <w:sz w:val="16"/>
          <w:szCs w:val="16"/>
          <w:color w:val="auto"/>
        </w:rPr>
        <w:t>("SFAS 144").</w:t>
      </w:r>
    </w:p>
    <w:p>
      <w:pPr>
        <w:spacing w:after="0" w:line="19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An impairment charge of $5,600 ($3,696 after-tax) was initially recorded in the third quarter, which related to a customer relationship intangible asset that had been recorded in conjunction with the November 30, 2006 acquisition of Whirlaway Corporation. After performing the impairment tests based on the Company's assumptions and interpretation of the provisions of SFAS 144, management determined that these intangible assets were impaired and consequently recorded non-cash charges to write these assets down to the value supported by a fair value analysis based on their forecasted cash flows.</w:t>
      </w:r>
    </w:p>
    <w:p>
      <w:pPr>
        <w:spacing w:after="0" w:line="192" w:lineRule="exact"/>
        <w:rPr>
          <w:sz w:val="20"/>
          <w:szCs w:val="20"/>
          <w:color w:val="auto"/>
        </w:rPr>
      </w:pPr>
    </w:p>
    <w:p>
      <w:pPr>
        <w:ind w:right="80"/>
        <w:spacing w:after="0" w:line="284" w:lineRule="auto"/>
        <w:rPr>
          <w:sz w:val="20"/>
          <w:szCs w:val="20"/>
          <w:color w:val="auto"/>
        </w:rPr>
      </w:pPr>
      <w:r>
        <w:rPr>
          <w:rFonts w:ascii="Arial" w:cs="Arial" w:eastAsia="Arial" w:hAnsi="Arial"/>
          <w:sz w:val="15"/>
          <w:szCs w:val="15"/>
          <w:color w:val="auto"/>
        </w:rPr>
        <w:t>Also, during the quarter ending June 30, 2007, management concluded that due to the internal restructuring of the Metal Bearing Components segment in the second quarter that the carrying amount of certain long-lived assets may not be recoverable. As a result, management performed impairment tests in accordance with the provisions of SFAS 144. An impairment charge of $1,933 ($1,453 after-tax) was initially recorded in the second quarter, which related to a customer contract intangible asset recorded in conjunction with the October 2005 acquisition of the assets of SNR Roulements. After performing the impairment tests based on the Company's assumptions and interpretation of the provisions of SFAS 144, management determined that these intangible assets were impaired and consequently recorded non-cash charges to write these intangible assets down to the value supported by a fair value analysis based on their forecasted cash flows.</w:t>
      </w:r>
    </w:p>
    <w:p>
      <w:pPr>
        <w:spacing w:after="0" w:line="181"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During the preparation of its year-end financial statements and in response to a comment letter issued by the Division of Corporation Finance of the Securities and Exchange Commission related to a routine review of the Company's third quarter 10-Q filings, management re-evaluated the assessment of asset groups used to determine the grouping of long-lived assets and the lowest level for which identifiable cash flows are largely independent of the cash flows of other assets and liabilities to test for impairment pursuant to SFAS</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48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144 paragraph 10. After this re-evaluation, management determined that different asset groups and cash flow assumptions should have been utilized in its assessment of whether the carrying value of its asset groups was recoverable. Upon testing the new asset groups for recoverability, management has determined that the undiscounted cash flows indicated the asset groups are recoverable. Accordingly, the previously recorded non-cash impairment charges related to these intangible assets were not supported and should be reversed. The Company has determined that the Precision Metal Component's customer relationship intangible asset should be amortized over a remaining useful life of ten years, which has been revised from its originally assumed life of twenty years. The Company has determined that the Metal Bearing Components contract intangible should continue to be amortized over the remainder of its original useful life of five years.</w:t>
      </w:r>
    </w:p>
    <w:p>
      <w:pPr>
        <w:spacing w:after="0" w:line="181" w:lineRule="exact"/>
        <w:rPr>
          <w:sz w:val="20"/>
          <w:szCs w:val="20"/>
          <w:color w:val="auto"/>
        </w:rPr>
      </w:pPr>
    </w:p>
    <w:p>
      <w:pPr>
        <w:ind w:right="340"/>
        <w:spacing w:after="0" w:line="324" w:lineRule="auto"/>
        <w:rPr>
          <w:sz w:val="20"/>
          <w:szCs w:val="20"/>
          <w:color w:val="auto"/>
        </w:rPr>
      </w:pPr>
      <w:r>
        <w:rPr>
          <w:rFonts w:ascii="Arial" w:cs="Arial" w:eastAsia="Arial" w:hAnsi="Arial"/>
          <w:sz w:val="15"/>
          <w:szCs w:val="15"/>
          <w:color w:val="auto"/>
        </w:rPr>
        <w:t>After discussions between management and the Audit Committee of the Board of Directors of NN, Inc. on February 20, 2008, management, at the direction of the Audit Committee, concluded that the Company should restate its previously issued financial statements for the three and nine months ended September 30, 2007.</w:t>
      </w:r>
    </w:p>
    <w:p>
      <w:pPr>
        <w:spacing w:after="0" w:line="151"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The following tables summarize financial statement line items within the Consolidated Statements of Income and Comprehensive Income for the three and nine month periods ended September 30, 2007, the Condensed Consolidated Balance Sheets as of September 30, 2007 and the Consolidated Statements of Cash flow for the nine months ended September 30, 2007 that were amended with the restated 10-Q/A for the three and nine month period ended September 30, 2007.</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Income and Comprehensive Income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4"/>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5"/>
              </w:rPr>
              <w:t>Nine Months Ended</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6"/>
          </w:tcPr>
          <w:p>
            <w:pPr>
              <w:jc w:val="center"/>
              <w:ind w:right="140"/>
              <w:spacing w:after="0"/>
              <w:rPr>
                <w:sz w:val="20"/>
                <w:szCs w:val="20"/>
                <w:color w:val="auto"/>
              </w:rPr>
            </w:pPr>
            <w:r>
              <w:rPr>
                <w:rFonts w:ascii="Arial" w:cs="Arial" w:eastAsia="Arial" w:hAnsi="Arial"/>
                <w:sz w:val="16"/>
                <w:szCs w:val="16"/>
                <w:b w:val="1"/>
                <w:bCs w:val="1"/>
                <w:color w:val="auto"/>
                <w:w w:val="92"/>
              </w:rPr>
              <w:t>September 30 2007,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98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w w:val="92"/>
              </w:rPr>
              <w:t>September 30 2007,</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As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7"/>
              </w:rPr>
              <w:t>As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Originally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ind w:left="240"/>
              <w:spacing w:after="0"/>
              <w:rPr>
                <w:sz w:val="20"/>
                <w:szCs w:val="20"/>
                <w:color w:val="auto"/>
              </w:rPr>
            </w:pPr>
            <w:r>
              <w:rPr>
                <w:rFonts w:ascii="Arial" w:cs="Arial" w:eastAsia="Arial" w:hAnsi="Arial"/>
                <w:sz w:val="16"/>
                <w:szCs w:val="16"/>
                <w:b w:val="1"/>
                <w:bCs w:val="1"/>
                <w:color w:val="auto"/>
              </w:rPr>
              <w:t>As</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7"/>
              </w:rPr>
              <w:t>Originally</w:t>
            </w:r>
          </w:p>
        </w:tc>
        <w:tc>
          <w:tcPr>
            <w:tcW w:w="120" w:type="dxa"/>
            <w:vAlign w:val="bottom"/>
          </w:tcPr>
          <w:p>
            <w:pPr>
              <w:spacing w:after="0"/>
              <w:rPr>
                <w:sz w:val="17"/>
                <w:szCs w:val="17"/>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7"/>
              </w:rPr>
              <w:t>As</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ind w:left="1140"/>
              <w:spacing w:after="0"/>
              <w:rPr>
                <w:sz w:val="20"/>
                <w:szCs w:val="20"/>
                <w:color w:val="auto"/>
              </w:rPr>
            </w:pPr>
            <w:r>
              <w:rPr>
                <w:rFonts w:ascii="Arial" w:cs="Arial" w:eastAsia="Arial" w:hAnsi="Arial"/>
                <w:sz w:val="16"/>
                <w:szCs w:val="16"/>
                <w:color w:val="auto"/>
              </w:rPr>
              <w:t>(Thousands of Dollars, Except Per Share Data)</w:t>
            </w:r>
          </w:p>
        </w:tc>
        <w:tc>
          <w:tcPr>
            <w:tcW w:w="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w w:val="93"/>
              </w:rPr>
              <w:t>restated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Reported</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58"/>
              <w:spacing w:after="0"/>
              <w:rPr>
                <w:sz w:val="20"/>
                <w:szCs w:val="20"/>
                <w:color w:val="auto"/>
              </w:rPr>
            </w:pPr>
            <w:r>
              <w:rPr>
                <w:rFonts w:ascii="Arial" w:cs="Arial" w:eastAsia="Arial" w:hAnsi="Arial"/>
                <w:sz w:val="16"/>
                <w:szCs w:val="16"/>
                <w:b w:val="1"/>
                <w:bCs w:val="1"/>
                <w:color w:val="auto"/>
                <w:w w:val="89"/>
              </w:rPr>
              <w:t>restated</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5,542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5,771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16,723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16,951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Restructuring and impairment charges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7,069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1,362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22,338</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14,698</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6"/>
                <w:szCs w:val="16"/>
                <w:color w:val="auto"/>
              </w:rPr>
              <w:t>Income (loss) from operations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(2,266)</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3,212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3,961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Income (loss) before provision for income taxes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(3,608)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1,870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(8,122)</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(710)</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1,472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3,150</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5,501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ind w:left="160"/>
              <w:spacing w:after="0"/>
              <w:rPr>
                <w:sz w:val="20"/>
                <w:szCs w:val="20"/>
                <w:color w:val="auto"/>
              </w:rPr>
            </w:pPr>
            <w:r>
              <w:rPr>
                <w:rFonts w:ascii="Arial" w:cs="Arial" w:eastAsia="Arial" w:hAnsi="Arial"/>
                <w:sz w:val="16"/>
                <w:szCs w:val="16"/>
                <w:color w:val="auto"/>
              </w:rPr>
              <w:t>Net income (loss)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(3,208)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(11,272)</w:t>
            </w:r>
          </w:p>
        </w:tc>
        <w:tc>
          <w:tcPr>
            <w:tcW w:w="1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(6,211)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Foreign currency translation gain</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5,244</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5,348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8,671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8,775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ind w:left="220"/>
              <w:spacing w:after="0"/>
              <w:rPr>
                <w:sz w:val="20"/>
                <w:szCs w:val="20"/>
                <w:color w:val="auto"/>
              </w:rPr>
            </w:pPr>
            <w:r>
              <w:rPr>
                <w:rFonts w:ascii="Arial" w:cs="Arial" w:eastAsia="Arial" w:hAnsi="Arial"/>
                <w:sz w:val="16"/>
                <w:szCs w:val="16"/>
                <w:color w:val="auto"/>
              </w:rPr>
              <w:t>Comprehensive income</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2,036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5,746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(2,601)</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2,564</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40" w:type="dxa"/>
            <w:vAlign w:val="bottom"/>
            <w:vMerge w:val="continue"/>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Basic and Diluted Earnings Per Share</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(0.19)</w:t>
            </w:r>
          </w:p>
        </w:tc>
        <w:tc>
          <w:tcPr>
            <w:tcW w:w="2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0.02</w:t>
            </w:r>
          </w:p>
        </w:tc>
        <w:tc>
          <w:tcPr>
            <w:tcW w:w="20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(0.67)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(0.37)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7"/>
        </w:trPr>
        <w:tc>
          <w:tcPr>
            <w:tcW w:w="50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gridSpan w:val="5"/>
          </w:tcPr>
          <w:p>
            <w:pPr>
              <w:jc w:val="center"/>
              <w:ind w:right="180"/>
              <w:spacing w:after="0"/>
              <w:rPr>
                <w:sz w:val="20"/>
                <w:szCs w:val="20"/>
                <w:color w:val="auto"/>
              </w:rPr>
            </w:pPr>
            <w:r>
              <w:rPr>
                <w:rFonts w:ascii="Arial" w:cs="Arial" w:eastAsia="Arial" w:hAnsi="Arial"/>
                <w:sz w:val="16"/>
                <w:szCs w:val="16"/>
                <w:b w:val="1"/>
                <w:bCs w:val="1"/>
                <w:color w:val="auto"/>
                <w:w w:val="91"/>
              </w:rPr>
              <w:t>September 30,2007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As</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7"/>
              </w:rPr>
              <w:t>Originally</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5080" w:type="dxa"/>
            <w:vAlign w:val="bottom"/>
            <w:gridSpan w:val="2"/>
          </w:tcPr>
          <w:p>
            <w:pPr>
              <w:ind w:left="1140"/>
              <w:spacing w:after="0"/>
              <w:rPr>
                <w:sz w:val="20"/>
                <w:szCs w:val="20"/>
                <w:color w:val="auto"/>
              </w:rPr>
            </w:pPr>
            <w:r>
              <w:rPr>
                <w:rFonts w:ascii="Arial" w:cs="Arial" w:eastAsia="Arial" w:hAnsi="Arial"/>
                <w:sz w:val="16"/>
                <w:szCs w:val="16"/>
                <w:color w:val="auto"/>
              </w:rPr>
              <w:t>(Thousands of Dollars)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Reported</w:t>
            </w:r>
          </w:p>
        </w:tc>
        <w:tc>
          <w:tcPr>
            <w:tcW w:w="9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89"/>
              </w:rPr>
              <w:t>As restated</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39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net</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9,601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Other assets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5,487</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3,105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6"/>
                <w:szCs w:val="16"/>
                <w:color w:val="auto"/>
              </w:rPr>
              <w:t>Total assets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338,799</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343,931</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Income Taxes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1,346</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1,313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Current Liabilities</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79,886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79,853</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tcPr>
          <w:p>
            <w:pPr>
              <w:ind w:left="240"/>
              <w:spacing w:after="0"/>
              <w:rPr>
                <w:sz w:val="20"/>
                <w:szCs w:val="20"/>
                <w:color w:val="auto"/>
              </w:rPr>
            </w:pPr>
            <w:r>
              <w:rPr>
                <w:rFonts w:ascii="Arial" w:cs="Arial" w:eastAsia="Arial" w:hAnsi="Arial"/>
                <w:sz w:val="16"/>
                <w:szCs w:val="16"/>
                <w:color w:val="auto"/>
              </w:rPr>
              <w:t>Total Liabilities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215,058</w:t>
            </w:r>
          </w:p>
        </w:tc>
        <w:tc>
          <w:tcPr>
            <w:tcW w:w="12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215,025</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123,741</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128,906</w:t>
            </w: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338,799</w:t>
            </w:r>
          </w:p>
        </w:tc>
        <w:tc>
          <w:tcPr>
            <w:tcW w:w="12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343,931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4"/>
        </w:trPr>
        <w:tc>
          <w:tcPr>
            <w:tcW w:w="11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920" w:type="dxa"/>
            <w:vAlign w:val="bottom"/>
          </w:tcPr>
          <w:p>
            <w:pPr>
              <w:jc w:val="right"/>
              <w:ind w:right="158"/>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40" w:type="dxa"/>
            <w:vAlign w:val="bottom"/>
            <w:tcBorders>
              <w:bottom w:val="single" w:sz="8" w:color="808080"/>
            </w:tcBorders>
          </w:tcPr>
          <w:p>
            <w:pPr>
              <w:spacing w:after="0"/>
              <w:rPr>
                <w:sz w:val="9"/>
                <w:szCs w:val="9"/>
                <w:color w:val="auto"/>
              </w:rPr>
            </w:pPr>
          </w:p>
        </w:tc>
        <w:tc>
          <w:tcPr>
            <w:tcW w:w="39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-13335</wp:posOffset>
            </wp:positionV>
            <wp:extent cx="1270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100" w:type="dxa"/>
            <w:vAlign w:val="bottom"/>
            <w:gridSpan w:val="2"/>
          </w:tcPr>
          <w:p>
            <w:pPr>
              <w:spacing w:after="0"/>
              <w:rPr>
                <w:sz w:val="20"/>
                <w:szCs w:val="20"/>
                <w:color w:val="auto"/>
              </w:rPr>
            </w:pPr>
            <w:r>
              <w:rPr>
                <w:rFonts w:ascii="Arial" w:cs="Arial" w:eastAsia="Arial" w:hAnsi="Arial"/>
                <w:sz w:val="16"/>
                <w:szCs w:val="16"/>
                <w:b w:val="1"/>
                <w:bCs w:val="1"/>
                <w:color w:val="auto"/>
              </w:rPr>
              <w:t>Consolidated Statements of Cash Flows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04"/>
        </w:trPr>
        <w:tc>
          <w:tcPr>
            <w:tcW w:w="114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right"/>
              <w:ind w:right="400"/>
              <w:spacing w:after="0"/>
              <w:rPr>
                <w:sz w:val="20"/>
                <w:szCs w:val="20"/>
                <w:color w:val="auto"/>
              </w:rPr>
            </w:pPr>
            <w:r>
              <w:rPr>
                <w:rFonts w:ascii="Arial" w:cs="Arial" w:eastAsia="Arial" w:hAnsi="Arial"/>
                <w:sz w:val="16"/>
                <w:szCs w:val="16"/>
                <w:b w:val="1"/>
                <w:bCs w:val="1"/>
                <w:color w:val="auto"/>
              </w:rPr>
              <w:t>September 30 2007,</w:t>
            </w:r>
          </w:p>
        </w:tc>
      </w:tr>
      <w:tr>
        <w:trPr>
          <w:trHeight w:val="197"/>
        </w:trPr>
        <w:tc>
          <w:tcPr>
            <w:tcW w:w="11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As</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Originally</w:t>
            </w: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8100" w:type="dxa"/>
            <w:vAlign w:val="bottom"/>
            <w:gridSpan w:val="2"/>
          </w:tcPr>
          <w:p>
            <w:pPr>
              <w:ind w:left="1140"/>
              <w:spacing w:after="0"/>
              <w:rPr>
                <w:sz w:val="20"/>
                <w:szCs w:val="20"/>
                <w:color w:val="auto"/>
              </w:rPr>
            </w:pPr>
            <w:r>
              <w:rPr>
                <w:rFonts w:ascii="Arial" w:cs="Arial" w:eastAsia="Arial" w:hAnsi="Arial"/>
                <w:sz w:val="16"/>
                <w:szCs w:val="16"/>
                <w:color w:val="auto"/>
              </w:rPr>
              <w:t>(Thousands of Dollars)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Reported</w:t>
            </w:r>
          </w:p>
        </w:tc>
        <w:tc>
          <w:tcPr>
            <w:tcW w:w="98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4"/>
              </w:rPr>
              <w:t>As restated</w:t>
            </w:r>
          </w:p>
        </w:tc>
      </w:tr>
      <w:tr>
        <w:trPr>
          <w:trHeight w:val="197"/>
        </w:trPr>
        <w:tc>
          <w:tcPr>
            <w:tcW w:w="1140" w:type="dxa"/>
            <w:vAlign w:val="bottom"/>
          </w:tcPr>
          <w:p>
            <w:pPr>
              <w:spacing w:after="0"/>
              <w:rPr>
                <w:sz w:val="17"/>
                <w:szCs w:val="17"/>
                <w:color w:val="auto"/>
              </w:rPr>
            </w:pPr>
          </w:p>
        </w:tc>
        <w:tc>
          <w:tcPr>
            <w:tcW w:w="6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Operating Activities:</w:t>
            </w: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80"/>
              <w:spacing w:after="0"/>
              <w:rPr>
                <w:sz w:val="20"/>
                <w:szCs w:val="20"/>
                <w:color w:val="auto"/>
              </w:rPr>
            </w:pPr>
            <w:r>
              <w:rPr>
                <w:rFonts w:ascii="Arial" w:cs="Arial" w:eastAsia="Arial" w:hAnsi="Arial"/>
                <w:sz w:val="16"/>
                <w:szCs w:val="16"/>
                <w:color w:val="auto"/>
              </w:rPr>
              <w:t>Net loss</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(11,272)</w:t>
            </w:r>
          </w:p>
        </w:tc>
        <w:tc>
          <w:tcPr>
            <w:tcW w:w="260" w:type="dxa"/>
            <w:vAlign w:val="bottom"/>
          </w:tcPr>
          <w:p>
            <w:pPr>
              <w:jc w:val="right"/>
              <w:ind w:right="100"/>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(6,211)</w:t>
            </w:r>
          </w:p>
        </w:tc>
      </w:tr>
      <w:tr>
        <w:trPr>
          <w:trHeight w:val="185"/>
        </w:trPr>
        <w:tc>
          <w:tcPr>
            <w:tcW w:w="1140" w:type="dxa"/>
            <w:vAlign w:val="bottom"/>
          </w:tcPr>
          <w:p>
            <w:pPr>
              <w:spacing w:after="0"/>
              <w:rPr>
                <w:sz w:val="16"/>
                <w:szCs w:val="16"/>
                <w:color w:val="auto"/>
              </w:rPr>
            </w:pPr>
          </w:p>
        </w:tc>
        <w:tc>
          <w:tcPr>
            <w:tcW w:w="6960" w:type="dxa"/>
            <w:vAlign w:val="bottom"/>
            <w:shd w:val="clear" w:color="auto" w:fill="CCEEFF"/>
          </w:tcPr>
          <w:p>
            <w:pPr>
              <w:ind w:left="80"/>
              <w:spacing w:after="0"/>
              <w:rPr>
                <w:sz w:val="20"/>
                <w:szCs w:val="20"/>
                <w:color w:val="auto"/>
              </w:rPr>
            </w:pPr>
            <w:r>
              <w:rPr>
                <w:rFonts w:ascii="Arial" w:cs="Arial" w:eastAsia="Arial" w:hAnsi="Arial"/>
                <w:sz w:val="16"/>
                <w:szCs w:val="16"/>
                <w:color w:val="auto"/>
              </w:rPr>
              <w:t>Adjustments to reconcile net loss to net cash provided by operating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10"/>
        </w:trPr>
        <w:tc>
          <w:tcPr>
            <w:tcW w:w="1140" w:type="dxa"/>
            <w:vAlign w:val="bottom"/>
          </w:tcPr>
          <w:p>
            <w:pPr>
              <w:spacing w:after="0"/>
              <w:rPr>
                <w:sz w:val="18"/>
                <w:szCs w:val="18"/>
                <w:color w:val="auto"/>
              </w:rPr>
            </w:pPr>
          </w:p>
        </w:tc>
        <w:tc>
          <w:tcPr>
            <w:tcW w:w="69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7"/>
        </w:trPr>
        <w:tc>
          <w:tcPr>
            <w:tcW w:w="114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16,723</w:t>
            </w:r>
          </w:p>
        </w:tc>
        <w:tc>
          <w:tcPr>
            <w:tcW w:w="26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16,951</w:t>
            </w: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Restructuring and impairment charges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22,338</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14,698</w:t>
            </w:r>
          </w:p>
        </w:tc>
      </w:tr>
      <w:tr>
        <w:trPr>
          <w:trHeight w:val="197"/>
        </w:trPr>
        <w:tc>
          <w:tcPr>
            <w:tcW w:w="1140" w:type="dxa"/>
            <w:vAlign w:val="bottom"/>
          </w:tcPr>
          <w:p>
            <w:pPr>
              <w:spacing w:after="0"/>
              <w:rPr>
                <w:sz w:val="17"/>
                <w:szCs w:val="17"/>
                <w:color w:val="auto"/>
              </w:rPr>
            </w:pPr>
          </w:p>
        </w:tc>
        <w:tc>
          <w:tcPr>
            <w:tcW w:w="6960" w:type="dxa"/>
            <w:vAlign w:val="bottom"/>
          </w:tcPr>
          <w:p>
            <w:pPr>
              <w:ind w:left="160"/>
              <w:spacing w:after="0"/>
              <w:rPr>
                <w:sz w:val="20"/>
                <w:szCs w:val="20"/>
                <w:color w:val="auto"/>
              </w:rPr>
            </w:pPr>
            <w:r>
              <w:rPr>
                <w:rFonts w:ascii="Arial" w:cs="Arial" w:eastAsia="Arial" w:hAnsi="Arial"/>
                <w:sz w:val="16"/>
                <w:szCs w:val="16"/>
                <w:color w:val="auto"/>
              </w:rPr>
              <w:t>Deferred Income tax</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(2,323)</w:t>
            </w:r>
          </w:p>
        </w:tc>
        <w:tc>
          <w:tcPr>
            <w:tcW w:w="2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61</w:t>
            </w:r>
          </w:p>
        </w:tc>
        <w:tc>
          <w:tcPr>
            <w:tcW w:w="8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6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Other assets and liabilities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2,588</w:t>
            </w: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2,555</w:t>
            </w:r>
          </w:p>
        </w:tc>
      </w:tr>
    </w:tbl>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Restructuring and Impairment Charges</w:t>
      </w:r>
    </w:p>
    <w:p>
      <w:pPr>
        <w:spacing w:after="0" w:line="260"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3.</w:t>
      </w:r>
      <w:r>
        <w:rPr>
          <w:sz w:val="20"/>
          <w:szCs w:val="20"/>
          <w:color w:val="auto"/>
        </w:rPr>
        <w:tab/>
      </w:r>
      <w:r>
        <w:rPr>
          <w:rFonts w:ascii="Arial" w:cs="Arial" w:eastAsia="Arial" w:hAnsi="Arial"/>
          <w:sz w:val="14"/>
          <w:szCs w:val="14"/>
          <w:b w:val="1"/>
          <w:bCs w:val="1"/>
          <w:color w:val="auto"/>
        </w:rPr>
        <w:t>Metal Bearing Components Segment Restructuring, Impairment and Other Cost Reduction Actions</w:t>
      </w:r>
    </w:p>
    <w:p>
      <w:pPr>
        <w:spacing w:after="0" w:line="239"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On July 25, 2007, we announced several actions intended to improve corporate financial performance that resulted in the recognition of certain restructuring, impairment and other non-recurring charges. The most significant action is a restructuring of the European precision ball plants operations of the Metal Bearing Components Segment of the company. As we have increased capacity at our two newest ball plants in China and Slovakia, we now need to align our capacity across our worldwide system of six ball plants, both in assets currently in service and in production assets that have been held in reserve. Earlier in July 2007, management made a decision that, at this time, reducing output at four of the six ball plants would be the best financial and logistical solution to align capacity. Reducing capacity will necessitate changes in employment levels resulting in certain costs and charges, as well as a reduction in cash flow from each of the plants. Since the reporting value of tangible and intangible assets must be supported by cash flow from the operations, the changes resulted in reduction in value of certain tangible and intangible assets at the affected ball plants.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During the second quarter of 2007, we recorded approximately $13,336 ($12,623 after-tax) of non-cash impairment costs. These charges include the write-down to</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color w:val="auto"/>
        </w:rPr>
        <w:t>estimated fair market value of certain excess production equipment of $3,320 ($3,212 after tax) and the full impairment of goodwill at one European reporting unit of</w:t>
      </w:r>
    </w:p>
    <w:p>
      <w:pPr>
        <w:spacing w:after="0" w:line="25" w:lineRule="exact"/>
        <w:rPr>
          <w:sz w:val="20"/>
          <w:szCs w:val="20"/>
          <w:color w:val="auto"/>
        </w:rPr>
      </w:pPr>
    </w:p>
    <w:p>
      <w:pPr>
        <w:spacing w:after="0"/>
        <w:rPr>
          <w:sz w:val="20"/>
          <w:szCs w:val="20"/>
          <w:color w:val="auto"/>
        </w:rPr>
      </w:pPr>
      <w:r>
        <w:rPr>
          <w:rFonts w:ascii="Arial" w:cs="Arial" w:eastAsia="Arial" w:hAnsi="Arial"/>
          <w:sz w:val="14"/>
          <w:szCs w:val="14"/>
          <w:color w:val="auto"/>
        </w:rPr>
        <w:t>$10,016 ($9,412 after tax) to levels supported by projected cash flows after the restructuring. These impairments were calculated using present value of expected future cash</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flows methods pursuant to SFAS 142 for the goodwill and estimates of fair value pursuant to SFAS 144 for the fixed assets.</w:t>
      </w:r>
    </w:p>
    <w:p>
      <w:pPr>
        <w:spacing w:after="0" w:line="224"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During the third quarter of 2007, we recorded approximately $1,272 ($1,196 after tax) of cash restructuring charges and approximately $90 ($66 after tax) of non-cash impairment charges related to the write-down to estimated fair value of certain excess production equipment as part of the Metal Bearings Components Segment restructuring. The $1,272 was for severance charges booked in accordance with SFAS 146, that will be paid out upon completion of the required legal notification period which is approximately one year. No further restructuring or impairment charges are expected for 2007.</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703" w:right="259" w:bottom="1440" w:gutter="0" w:footer="0" w:header="0"/>
        </w:sectPr>
      </w:pPr>
    </w:p>
    <w:bookmarkStart w:id="10" w:name="page11"/>
    <w:bookmarkEnd w:id="10"/>
    <w:p>
      <w:pPr>
        <w:jc w:val="center"/>
        <w:ind w:right="-11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following summarizes the charges related to the 2007 restructuring plan within the Metal Bearing Components Segment for the nine months ended September 30, 2007 reported under accrued salaries and wages.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20" w:type="dxa"/>
            <w:vAlign w:val="bottom"/>
            <w:gridSpan w:val="2"/>
          </w:tcPr>
          <w:p>
            <w:pPr>
              <w:spacing w:after="0"/>
              <w:rPr>
                <w:sz w:val="20"/>
                <w:szCs w:val="20"/>
                <w:color w:val="auto"/>
              </w:rPr>
            </w:pPr>
            <w:r>
              <w:rPr>
                <w:rFonts w:ascii="Arial" w:cs="Arial" w:eastAsia="Arial" w:hAnsi="Arial"/>
                <w:sz w:val="16"/>
                <w:szCs w:val="16"/>
                <w:b w:val="1"/>
                <w:bCs w:val="1"/>
                <w:color w:val="auto"/>
              </w:rPr>
              <w:t>Nine months ended September 30, 2007</w:t>
            </w: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6"/>
                <w:szCs w:val="16"/>
                <w:b w:val="1"/>
                <w:bCs w:val="1"/>
                <w:color w:val="auto"/>
              </w:rPr>
              <w:t>Reserve Balance</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center"/>
              <w:ind w:left="118"/>
              <w:spacing w:after="0"/>
              <w:rPr>
                <w:sz w:val="20"/>
                <w:szCs w:val="20"/>
                <w:color w:val="auto"/>
              </w:rPr>
            </w:pPr>
            <w:r>
              <w:rPr>
                <w:rFonts w:ascii="Arial" w:cs="Arial" w:eastAsia="Arial" w:hAnsi="Arial"/>
                <w:sz w:val="16"/>
                <w:szCs w:val="16"/>
                <w:b w:val="1"/>
                <w:bCs w:val="1"/>
                <w:color w:val="auto"/>
                <w:w w:val="96"/>
              </w:rPr>
              <w:t>Currency</w:t>
            </w:r>
          </w:p>
        </w:tc>
        <w:tc>
          <w:tcPr>
            <w:tcW w:w="500" w:type="dxa"/>
            <w:vAlign w:val="bottom"/>
          </w:tcPr>
          <w:p>
            <w:pPr>
              <w:spacing w:after="0"/>
              <w:rPr>
                <w:sz w:val="24"/>
                <w:szCs w:val="24"/>
                <w:color w:val="auto"/>
              </w:rPr>
            </w:pPr>
          </w:p>
        </w:tc>
        <w:tc>
          <w:tcPr>
            <w:tcW w:w="15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w w:val="92"/>
              </w:rPr>
              <w:t>Reserve Balance</w:t>
            </w:r>
          </w:p>
        </w:tc>
        <w:tc>
          <w:tcPr>
            <w:tcW w:w="0" w:type="dxa"/>
            <w:vAlign w:val="bottom"/>
          </w:tcPr>
          <w:p>
            <w:pPr>
              <w:spacing w:after="0"/>
              <w:rPr>
                <w:sz w:val="1"/>
                <w:szCs w:val="1"/>
                <w:color w:val="auto"/>
              </w:rPr>
            </w:pPr>
          </w:p>
        </w:tc>
      </w:tr>
      <w:tr>
        <w:trPr>
          <w:trHeight w:val="218"/>
        </w:trPr>
        <w:tc>
          <w:tcPr>
            <w:tcW w:w="3220" w:type="dxa"/>
            <w:vAlign w:val="bottom"/>
            <w:gridSpan w:val="2"/>
          </w:tcPr>
          <w:p>
            <w:pPr>
              <w:ind w:left="1140"/>
              <w:spacing w:after="0"/>
              <w:rPr>
                <w:sz w:val="20"/>
                <w:szCs w:val="20"/>
                <w:color w:val="auto"/>
              </w:rPr>
            </w:pPr>
            <w:r>
              <w:rPr>
                <w:rFonts w:ascii="Arial" w:cs="Arial" w:eastAsia="Arial" w:hAnsi="Arial"/>
                <w:sz w:val="16"/>
                <w:szCs w:val="16"/>
                <w:color w:val="auto"/>
              </w:rPr>
              <w:t>(In Thousands of Dollars)</w:t>
            </w:r>
          </w:p>
        </w:tc>
        <w:tc>
          <w:tcPr>
            <w:tcW w:w="152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b w:val="1"/>
                <w:bCs w:val="1"/>
                <w:color w:val="auto"/>
              </w:rPr>
              <w:t>at 01/01/07</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center"/>
              <w:ind w:right="158"/>
              <w:spacing w:after="0"/>
              <w:rPr>
                <w:sz w:val="20"/>
                <w:szCs w:val="20"/>
                <w:color w:val="auto"/>
              </w:rPr>
            </w:pPr>
            <w:r>
              <w:rPr>
                <w:rFonts w:ascii="Arial" w:cs="Arial" w:eastAsia="Arial" w:hAnsi="Arial"/>
                <w:sz w:val="16"/>
                <w:szCs w:val="16"/>
                <w:b w:val="1"/>
                <w:bCs w:val="1"/>
                <w:color w:val="auto"/>
                <w:w w:val="90"/>
              </w:rPr>
              <w:t>Charges</w:t>
            </w:r>
          </w:p>
        </w:tc>
        <w:tc>
          <w:tcPr>
            <w:tcW w:w="12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b w:val="1"/>
                <w:bCs w:val="1"/>
                <w:color w:val="auto"/>
              </w:rPr>
              <w:t>Paid in 2007</w:t>
            </w:r>
          </w:p>
        </w:tc>
        <w:tc>
          <w:tcPr>
            <w:tcW w:w="960" w:type="dxa"/>
            <w:vAlign w:val="bottom"/>
            <w:tcBorders>
              <w:bottom w:val="single" w:sz="8" w:color="auto"/>
            </w:tcBorders>
          </w:tcPr>
          <w:p>
            <w:pPr>
              <w:jc w:val="center"/>
              <w:ind w:left="118"/>
              <w:spacing w:after="0"/>
              <w:rPr>
                <w:sz w:val="20"/>
                <w:szCs w:val="20"/>
                <w:color w:val="auto"/>
              </w:rPr>
            </w:pPr>
            <w:r>
              <w:rPr>
                <w:rFonts w:ascii="Arial" w:cs="Arial" w:eastAsia="Arial" w:hAnsi="Arial"/>
                <w:sz w:val="16"/>
                <w:szCs w:val="16"/>
                <w:b w:val="1"/>
                <w:bCs w:val="1"/>
                <w:color w:val="auto"/>
                <w:w w:val="92"/>
              </w:rPr>
              <w:t>Impacts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at 09/30/07</w:t>
            </w:r>
          </w:p>
        </w:tc>
        <w:tc>
          <w:tcPr>
            <w:tcW w:w="4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w w:val="92"/>
              </w:rPr>
              <w:t>Severance and other employee</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480" w:type="dxa"/>
            <w:vAlign w:val="bottom"/>
            <w:vMerge w:val="restart"/>
            <w:shd w:val="clear" w:color="auto" w:fill="CCEEFF"/>
          </w:tcPr>
          <w:p>
            <w:pPr>
              <w:jc w:val="center"/>
              <w:ind w:left="198"/>
              <w:spacing w:after="0"/>
              <w:rPr>
                <w:sz w:val="20"/>
                <w:szCs w:val="20"/>
                <w:color w:val="auto"/>
              </w:rPr>
            </w:pPr>
            <w:r>
              <w:rPr>
                <w:rFonts w:ascii="Arial" w:cs="Arial" w:eastAsia="Arial" w:hAnsi="Arial"/>
                <w:sz w:val="16"/>
                <w:szCs w:val="16"/>
                <w:color w:val="auto"/>
                <w:w w:val="89"/>
              </w:rPr>
              <w:t>$</w:t>
            </w:r>
          </w:p>
        </w:tc>
        <w:tc>
          <w:tcPr>
            <w:tcW w:w="540" w:type="dxa"/>
            <w:vAlign w:val="bottom"/>
            <w:vMerge w:val="restart"/>
            <w:shd w:val="clear" w:color="auto" w:fill="CCEEFF"/>
          </w:tcPr>
          <w:p>
            <w:pPr>
              <w:jc w:val="right"/>
              <w:ind w:right="18"/>
              <w:spacing w:after="0"/>
              <w:rPr>
                <w:sz w:val="20"/>
                <w:szCs w:val="20"/>
                <w:color w:val="auto"/>
              </w:rPr>
            </w:pPr>
            <w:r>
              <w:rPr>
                <w:rFonts w:ascii="Arial" w:cs="Arial" w:eastAsia="Arial" w:hAnsi="Arial"/>
                <w:sz w:val="16"/>
                <w:szCs w:val="16"/>
                <w:color w:val="auto"/>
              </w:rPr>
              <w:t>1,272</w:t>
            </w:r>
          </w:p>
        </w:tc>
        <w:tc>
          <w:tcPr>
            <w:tcW w:w="1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vMerge w:val="restart"/>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costs</w:t>
            </w:r>
          </w:p>
        </w:tc>
        <w:tc>
          <w:tcPr>
            <w:tcW w:w="1520" w:type="dxa"/>
            <w:vAlign w:val="bottom"/>
            <w:tcBorders>
              <w:bottom w:val="single" w:sz="8" w:color="auto"/>
            </w:tcBorders>
            <w:vMerge w:val="continue"/>
            <w:shd w:val="clear" w:color="auto" w:fill="CCEEFF"/>
          </w:tcPr>
          <w:p>
            <w:pPr>
              <w:spacing w:after="0"/>
              <w:rPr>
                <w:sz w:val="16"/>
                <w:szCs w:val="16"/>
                <w:color w:val="auto"/>
              </w:rPr>
            </w:pPr>
          </w:p>
        </w:tc>
        <w:tc>
          <w:tcPr>
            <w:tcW w:w="300" w:type="dxa"/>
            <w:vAlign w:val="bottom"/>
            <w:tcBorders>
              <w:bottom w:val="single" w:sz="8" w:color="auto"/>
            </w:tcBorders>
            <w:vMerge w:val="continue"/>
            <w:shd w:val="clear" w:color="auto" w:fill="CCEEFF"/>
          </w:tcPr>
          <w:p>
            <w:pPr>
              <w:spacing w:after="0"/>
              <w:rPr>
                <w:sz w:val="16"/>
                <w:szCs w:val="16"/>
                <w:color w:val="auto"/>
              </w:rPr>
            </w:pPr>
          </w:p>
        </w:tc>
        <w:tc>
          <w:tcPr>
            <w:tcW w:w="480" w:type="dxa"/>
            <w:vAlign w:val="bottom"/>
            <w:tcBorders>
              <w:bottom w:val="single" w:sz="8" w:color="auto"/>
            </w:tcBorders>
            <w:vMerge w:val="continue"/>
            <w:shd w:val="clear" w:color="auto" w:fill="CCEEFF"/>
          </w:tcPr>
          <w:p>
            <w:pPr>
              <w:spacing w:after="0"/>
              <w:rPr>
                <w:sz w:val="16"/>
                <w:szCs w:val="16"/>
                <w:color w:val="auto"/>
              </w:rPr>
            </w:pPr>
          </w:p>
        </w:tc>
        <w:tc>
          <w:tcPr>
            <w:tcW w:w="540" w:type="dxa"/>
            <w:vAlign w:val="bottom"/>
            <w:tcBorders>
              <w:bottom w:val="single" w:sz="8" w:color="auto"/>
            </w:tcBorders>
            <w:vMerge w:val="continue"/>
            <w:shd w:val="clear" w:color="auto" w:fill="CCEEFF"/>
          </w:tcPr>
          <w:p>
            <w:pPr>
              <w:spacing w:after="0"/>
              <w:rPr>
                <w:sz w:val="16"/>
                <w:szCs w:val="16"/>
                <w:color w:val="auto"/>
              </w:rPr>
            </w:pPr>
          </w:p>
        </w:tc>
        <w:tc>
          <w:tcPr>
            <w:tcW w:w="1280" w:type="dxa"/>
            <w:vAlign w:val="bottom"/>
            <w:tcBorders>
              <w:bottom w:val="single" w:sz="8" w:color="auto"/>
            </w:tcBorders>
            <w:gridSpan w:val="2"/>
            <w:vMerge w:val="continue"/>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40" w:type="dxa"/>
            <w:vAlign w:val="bottom"/>
            <w:tcBorders>
              <w:bottom w:val="single" w:sz="8" w:color="auto"/>
            </w:tcBorders>
            <w:vMerge w:val="continue"/>
            <w:shd w:val="clear" w:color="auto" w:fill="CCEEFF"/>
          </w:tcPr>
          <w:p>
            <w:pPr>
              <w:spacing w:after="0"/>
              <w:rPr>
                <w:sz w:val="16"/>
                <w:szCs w:val="16"/>
                <w:color w:val="auto"/>
              </w:rPr>
            </w:pPr>
          </w:p>
        </w:tc>
        <w:tc>
          <w:tcPr>
            <w:tcW w:w="440" w:type="dxa"/>
            <w:vAlign w:val="bottom"/>
            <w:tcBorders>
              <w:bottom w:val="single" w:sz="8" w:color="auto"/>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center"/>
              <w:ind w:left="198"/>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1,272</w:t>
            </w:r>
          </w:p>
        </w:tc>
        <w:tc>
          <w:tcPr>
            <w:tcW w:w="1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 --</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Inventories</w:t>
            </w: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4"/>
        </w:trPr>
        <w:tc>
          <w:tcPr>
            <w:tcW w:w="3220" w:type="dxa"/>
            <w:vAlign w:val="bottom"/>
            <w:gridSpan w:val="2"/>
            <w:vMerge w:val="continue"/>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7340" w:type="dxa"/>
            <w:vAlign w:val="bottom"/>
            <w:gridSpan w:val="8"/>
          </w:tcPr>
          <w:p>
            <w:pPr>
              <w:spacing w:after="0"/>
              <w:rPr>
                <w:sz w:val="20"/>
                <w:szCs w:val="20"/>
                <w:color w:val="auto"/>
              </w:rPr>
            </w:pPr>
            <w:r>
              <w:rPr>
                <w:rFonts w:ascii="Arial" w:cs="Arial" w:eastAsia="Arial" w:hAnsi="Arial"/>
                <w:sz w:val="16"/>
                <w:szCs w:val="16"/>
                <w:color w:val="auto"/>
                <w:w w:val="97"/>
              </w:rPr>
              <w:t>Inventories are stated at the lower of cost or market. Cost is determined using the first-in, first-out method.</w:t>
            </w: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4740" w:type="dxa"/>
            <w:vAlign w:val="bottom"/>
            <w:gridSpan w:val="3"/>
          </w:tcPr>
          <w:p>
            <w:pPr>
              <w:spacing w:after="0"/>
              <w:rPr>
                <w:sz w:val="20"/>
                <w:szCs w:val="20"/>
                <w:color w:val="auto"/>
              </w:rPr>
            </w:pPr>
            <w:r>
              <w:rPr>
                <w:rFonts w:ascii="Arial" w:cs="Arial" w:eastAsia="Arial" w:hAnsi="Arial"/>
                <w:sz w:val="16"/>
                <w:szCs w:val="16"/>
                <w:color w:val="auto"/>
              </w:rPr>
              <w:t>Inventories are comprised of the following (in thousands):</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178"/>
              <w:spacing w:after="0"/>
              <w:rPr>
                <w:sz w:val="20"/>
                <w:szCs w:val="20"/>
                <w:color w:val="auto"/>
              </w:rPr>
            </w:pPr>
            <w:r>
              <w:rPr>
                <w:rFonts w:ascii="Arial" w:cs="Arial" w:eastAsia="Arial" w:hAnsi="Arial"/>
                <w:sz w:val="16"/>
                <w:szCs w:val="16"/>
                <w:b w:val="1"/>
                <w:bCs w:val="1"/>
                <w:color w:val="auto"/>
                <w:w w:val="91"/>
              </w:rPr>
              <w:t>September 30,</w:t>
            </w:r>
          </w:p>
        </w:tc>
        <w:tc>
          <w:tcPr>
            <w:tcW w:w="1500" w:type="dxa"/>
            <w:vAlign w:val="bottom"/>
            <w:gridSpan w:val="3"/>
          </w:tcPr>
          <w:p>
            <w:pPr>
              <w:jc w:val="right"/>
              <w:ind w:right="3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138"/>
              <w:spacing w:after="0"/>
              <w:rPr>
                <w:sz w:val="20"/>
                <w:szCs w:val="20"/>
                <w:color w:val="auto"/>
              </w:rPr>
            </w:pPr>
            <w:r>
              <w:rPr>
                <w:rFonts w:ascii="Arial" w:cs="Arial" w:eastAsia="Arial" w:hAnsi="Arial"/>
                <w:sz w:val="16"/>
                <w:szCs w:val="16"/>
                <w:b w:val="1"/>
                <w:bCs w:val="1"/>
                <w:color w:val="auto"/>
                <w:w w:val="95"/>
              </w:rPr>
              <w:t>2007</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b w:val="1"/>
                <w:bCs w:val="1"/>
                <w:color w:val="auto"/>
              </w:rPr>
              <w:t>2006</w:t>
            </w:r>
          </w:p>
        </w:tc>
        <w:tc>
          <w:tcPr>
            <w:tcW w:w="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Raw materials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13,611</w:t>
            </w:r>
          </w:p>
        </w:tc>
        <w:tc>
          <w:tcPr>
            <w:tcW w:w="10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11,828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Work in process</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9,857</w:t>
            </w:r>
          </w:p>
        </w:tc>
        <w:tc>
          <w:tcPr>
            <w:tcW w:w="10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5"/>
              </w:rPr>
              <w:t>10,427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26,413</w:t>
            </w: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5"/>
              </w:rPr>
              <w:t>23,596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080" w:type="dxa"/>
            <w:vAlign w:val="bottom"/>
          </w:tcPr>
          <w:p>
            <w:pPr>
              <w:spacing w:after="0"/>
              <w:rPr>
                <w:sz w:val="20"/>
                <w:szCs w:val="20"/>
                <w:color w:val="auto"/>
              </w:rPr>
            </w:pPr>
            <w:r>
              <w:rPr>
                <w:rFonts w:ascii="Arial" w:cs="Arial" w:eastAsia="Arial" w:hAnsi="Arial"/>
                <w:sz w:val="16"/>
                <w:szCs w:val="16"/>
                <w:color w:val="auto"/>
              </w:rPr>
              <w:t>Less inventory reserves</w:t>
            </w: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(2,045)</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$ 47,836</w:t>
            </w:r>
          </w:p>
        </w:tc>
        <w:tc>
          <w:tcPr>
            <w:tcW w:w="104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5"/>
              </w:rPr>
              <w:t>43,538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Inventories on consignment at customer locations as of September 30, 2007 and December 31, 2006 totaled $5,425 and $4,554, respectively.</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40" w:type="dxa"/>
            <w:vAlign w:val="bottom"/>
            <w:gridSpan w:val="2"/>
          </w:tcPr>
          <w:p>
            <w:pPr>
              <w:spacing w:after="0"/>
              <w:rPr>
                <w:sz w:val="20"/>
                <w:szCs w:val="20"/>
                <w:color w:val="auto"/>
              </w:rPr>
            </w:pPr>
            <w:r>
              <w:rPr>
                <w:rFonts w:ascii="Arial" w:cs="Arial" w:eastAsia="Arial" w:hAnsi="Arial"/>
                <w:sz w:val="16"/>
                <w:szCs w:val="16"/>
                <w:b w:val="1"/>
                <w:bCs w:val="1"/>
                <w:color w:val="auto"/>
              </w:rPr>
              <w:t>Note 5.  Net Income Per Share</w:t>
            </w:r>
          </w:p>
        </w:tc>
        <w:tc>
          <w:tcPr>
            <w:tcW w:w="9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1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24"/>
                <w:szCs w:val="24"/>
                <w:color w:val="auto"/>
              </w:rPr>
            </w:pPr>
          </w:p>
        </w:tc>
        <w:tc>
          <w:tcPr>
            <w:tcW w:w="182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2060" w:type="dxa"/>
            <w:vAlign w:val="bottom"/>
            <w:gridSpan w:val="3"/>
          </w:tcPr>
          <w:p>
            <w:pPr>
              <w:jc w:val="right"/>
              <w:ind w:right="238"/>
              <w:spacing w:after="0"/>
              <w:rPr>
                <w:sz w:val="20"/>
                <w:szCs w:val="20"/>
                <w:color w:val="auto"/>
              </w:rPr>
            </w:pPr>
            <w:r>
              <w:rPr>
                <w:rFonts w:ascii="Arial" w:cs="Arial" w:eastAsia="Arial" w:hAnsi="Arial"/>
                <w:sz w:val="16"/>
                <w:szCs w:val="16"/>
                <w:b w:val="1"/>
                <w:bCs w:val="1"/>
                <w:color w:val="auto"/>
              </w:rPr>
              <w:t>September 30,</w:t>
            </w: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gridSpan w:val="2"/>
          </w:tcPr>
          <w:p>
            <w:pPr>
              <w:jc w:val="right"/>
              <w:ind w:right="118"/>
              <w:spacing w:after="0"/>
              <w:rPr>
                <w:sz w:val="20"/>
                <w:szCs w:val="20"/>
                <w:color w:val="auto"/>
              </w:rPr>
            </w:pPr>
            <w:r>
              <w:rPr>
                <w:rFonts w:ascii="Arial" w:cs="Arial" w:eastAsia="Arial" w:hAnsi="Arial"/>
                <w:sz w:val="16"/>
                <w:szCs w:val="16"/>
                <w:b w:val="1"/>
                <w:bCs w:val="1"/>
                <w:color w:val="auto"/>
                <w:w w:val="96"/>
              </w:rPr>
              <w:t>September 30,</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b w:val="1"/>
                <w:bCs w:val="1"/>
                <w:color w:val="auto"/>
              </w:rPr>
              <w:t>2007</w:t>
            </w:r>
          </w:p>
        </w:tc>
        <w:tc>
          <w:tcPr>
            <w:tcW w:w="5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520" w:type="dxa"/>
            <w:vAlign w:val="bottom"/>
          </w:tcPr>
          <w:p>
            <w:pPr>
              <w:spacing w:after="0"/>
              <w:rPr>
                <w:sz w:val="17"/>
                <w:szCs w:val="17"/>
                <w:color w:val="auto"/>
              </w:rPr>
            </w:pPr>
          </w:p>
        </w:tc>
        <w:tc>
          <w:tcPr>
            <w:tcW w:w="1340" w:type="dxa"/>
            <w:vAlign w:val="bottom"/>
            <w:gridSpan w:val="2"/>
          </w:tcPr>
          <w:p>
            <w:pPr>
              <w:jc w:val="right"/>
              <w:ind w:right="598"/>
              <w:spacing w:after="0"/>
              <w:rPr>
                <w:sz w:val="20"/>
                <w:szCs w:val="20"/>
                <w:color w:val="auto"/>
              </w:rPr>
            </w:pPr>
            <w:r>
              <w:rPr>
                <w:rFonts w:ascii="Arial" w:cs="Arial" w:eastAsia="Arial" w:hAnsi="Arial"/>
                <w:sz w:val="16"/>
                <w:szCs w:val="16"/>
                <w:b w:val="1"/>
                <w:bCs w:val="1"/>
                <w:color w:val="auto"/>
              </w:rPr>
              <w:t>2007</w:t>
            </w:r>
          </w:p>
        </w:tc>
        <w:tc>
          <w:tcPr>
            <w:tcW w:w="1020" w:type="dxa"/>
            <w:vAlign w:val="bottom"/>
            <w:gridSpan w:val="2"/>
            <w:vMerge w:val="restart"/>
          </w:tcPr>
          <w:p>
            <w:pPr>
              <w:jc w:val="right"/>
              <w:ind w:right="378"/>
              <w:spacing w:after="0"/>
              <w:rPr>
                <w:sz w:val="20"/>
                <w:szCs w:val="20"/>
                <w:color w:val="auto"/>
              </w:rPr>
            </w:pPr>
            <w:r>
              <w:rPr>
                <w:rFonts w:ascii="Arial" w:cs="Arial" w:eastAsia="Arial" w:hAnsi="Arial"/>
                <w:sz w:val="16"/>
                <w:szCs w:val="16"/>
                <w:b w:val="1"/>
                <w:bCs w:val="1"/>
                <w:color w:val="auto"/>
              </w:rPr>
              <w:t>2006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5340" w:type="dxa"/>
            <w:vAlign w:val="bottom"/>
            <w:gridSpan w:val="2"/>
            <w:vMerge w:val="restart"/>
          </w:tcPr>
          <w:p>
            <w:pPr>
              <w:ind w:left="1140"/>
              <w:spacing w:after="0"/>
              <w:rPr>
                <w:sz w:val="20"/>
                <w:szCs w:val="20"/>
                <w:color w:val="auto"/>
              </w:rPr>
            </w:pPr>
            <w:r>
              <w:rPr>
                <w:rFonts w:ascii="Arial" w:cs="Arial" w:eastAsia="Arial" w:hAnsi="Arial"/>
                <w:sz w:val="16"/>
                <w:szCs w:val="16"/>
                <w:color w:val="auto"/>
              </w:rPr>
              <w:t>(Thousands of Dollars, Except Share and Per Share Data)</w:t>
            </w:r>
          </w:p>
        </w:tc>
        <w:tc>
          <w:tcPr>
            <w:tcW w:w="1460" w:type="dxa"/>
            <w:vAlign w:val="bottom"/>
            <w:gridSpan w:val="2"/>
            <w:vMerge w:val="restart"/>
          </w:tcPr>
          <w:p>
            <w:pPr>
              <w:jc w:val="right"/>
              <w:ind w:right="378"/>
              <w:spacing w:after="0"/>
              <w:rPr>
                <w:sz w:val="20"/>
                <w:szCs w:val="20"/>
                <w:color w:val="auto"/>
              </w:rPr>
            </w:pPr>
            <w:r>
              <w:rPr>
                <w:rFonts w:ascii="Arial" w:cs="Arial" w:eastAsia="Arial" w:hAnsi="Arial"/>
                <w:sz w:val="16"/>
                <w:szCs w:val="16"/>
                <w:b w:val="1"/>
                <w:bCs w:val="1"/>
                <w:color w:val="auto"/>
              </w:rPr>
              <w:t>As restated</w:t>
            </w: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2"/>
            <w:vMerge w:val="restart"/>
          </w:tcPr>
          <w:p>
            <w:pPr>
              <w:jc w:val="right"/>
              <w:ind w:right="358"/>
              <w:spacing w:after="0"/>
              <w:rPr>
                <w:sz w:val="20"/>
                <w:szCs w:val="20"/>
                <w:color w:val="auto"/>
              </w:rPr>
            </w:pPr>
            <w:r>
              <w:rPr>
                <w:rFonts w:ascii="Arial" w:cs="Arial" w:eastAsia="Arial" w:hAnsi="Arial"/>
                <w:sz w:val="16"/>
                <w:szCs w:val="16"/>
                <w:b w:val="1"/>
                <w:bCs w:val="1"/>
                <w:color w:val="auto"/>
              </w:rPr>
              <w:t>As restated</w:t>
            </w:r>
          </w:p>
        </w:tc>
        <w:tc>
          <w:tcPr>
            <w:tcW w:w="102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5340" w:type="dxa"/>
            <w:vAlign w:val="bottom"/>
            <w:gridSpan w:val="2"/>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34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4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398</w:t>
            </w:r>
          </w:p>
        </w:tc>
        <w:tc>
          <w:tcPr>
            <w:tcW w:w="6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94"/>
              </w:rPr>
              <w:t>2,633</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(6,211)</w:t>
            </w:r>
          </w:p>
        </w:tc>
        <w:tc>
          <w:tcPr>
            <w:tcW w:w="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1460" w:type="dxa"/>
            <w:vAlign w:val="bottom"/>
            <w:gridSpan w:val="2"/>
          </w:tcPr>
          <w:p>
            <w:pPr>
              <w:spacing w:after="0"/>
              <w:rPr>
                <w:sz w:val="16"/>
                <w:szCs w:val="16"/>
                <w:color w:val="auto"/>
              </w:rPr>
            </w:pPr>
          </w:p>
        </w:tc>
        <w:tc>
          <w:tcPr>
            <w:tcW w:w="1120" w:type="dxa"/>
            <w:vAlign w:val="bottom"/>
            <w:gridSpan w:val="2"/>
          </w:tcPr>
          <w:p>
            <w:pPr>
              <w:spacing w:after="0"/>
              <w:rPr>
                <w:sz w:val="16"/>
                <w:szCs w:val="16"/>
                <w:color w:val="auto"/>
              </w:rPr>
            </w:pPr>
          </w:p>
        </w:tc>
        <w:tc>
          <w:tcPr>
            <w:tcW w:w="1340" w:type="dxa"/>
            <w:vAlign w:val="bottom"/>
            <w:gridSpan w:val="2"/>
          </w:tcPr>
          <w:p>
            <w:pPr>
              <w:spacing w:after="0"/>
              <w:rPr>
                <w:sz w:val="16"/>
                <w:szCs w:val="16"/>
                <w:color w:val="auto"/>
              </w:rPr>
            </w:pPr>
          </w:p>
        </w:tc>
        <w:tc>
          <w:tcPr>
            <w:tcW w:w="1020" w:type="dxa"/>
            <w:vAlign w:val="bottom"/>
            <w:gridSpan w:val="2"/>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basic shares</w:t>
            </w:r>
          </w:p>
        </w:tc>
        <w:tc>
          <w:tcPr>
            <w:tcW w:w="146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16,764,695</w:t>
            </w:r>
          </w:p>
        </w:tc>
        <w:tc>
          <w:tcPr>
            <w:tcW w:w="1120" w:type="dxa"/>
            <w:vAlign w:val="bottom"/>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17,104,621</w:t>
            </w:r>
          </w:p>
        </w:tc>
        <w:tc>
          <w:tcPr>
            <w:tcW w:w="1340" w:type="dxa"/>
            <w:vAlign w:val="bottom"/>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16,807,975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17,147,359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Effect of dilutive stock options</w:t>
            </w:r>
          </w:p>
        </w:tc>
        <w:tc>
          <w:tcPr>
            <w:tcW w:w="1460" w:type="dxa"/>
            <w:vAlign w:val="bottom"/>
            <w:tcBorders>
              <w:bottom w:val="single" w:sz="8" w:color="auto"/>
            </w:tcBorders>
            <w:gridSpan w:val="2"/>
          </w:tcPr>
          <w:p>
            <w:pPr>
              <w:jc w:val="right"/>
              <w:ind w:right="138"/>
              <w:spacing w:after="0"/>
              <w:rPr>
                <w:sz w:val="20"/>
                <w:szCs w:val="20"/>
                <w:color w:val="auto"/>
              </w:rPr>
            </w:pPr>
            <w:r>
              <w:rPr>
                <w:rFonts w:ascii="Arial" w:cs="Arial" w:eastAsia="Arial" w:hAnsi="Arial"/>
                <w:sz w:val="16"/>
                <w:szCs w:val="16"/>
                <w:color w:val="auto"/>
              </w:rPr>
              <w:t>138,944</w:t>
            </w:r>
          </w:p>
        </w:tc>
        <w:tc>
          <w:tcPr>
            <w:tcW w:w="112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color w:val="auto"/>
              </w:rPr>
              <w:t>234,009</w:t>
            </w:r>
          </w:p>
        </w:tc>
        <w:tc>
          <w:tcPr>
            <w:tcW w:w="5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w w:val="96"/>
              </w:rPr>
              <w:t>177,784</w:t>
            </w:r>
          </w:p>
        </w:tc>
        <w:tc>
          <w:tcPr>
            <w:tcW w:w="4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242,108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 average dilutive shares outstanding</w:t>
            </w:r>
          </w:p>
        </w:tc>
        <w:tc>
          <w:tcPr>
            <w:tcW w:w="1460" w:type="dxa"/>
            <w:vAlign w:val="bottom"/>
            <w:tcBorders>
              <w:bottom w:val="single" w:sz="8" w:color="auto"/>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16,903,639</w:t>
            </w:r>
          </w:p>
        </w:tc>
        <w:tc>
          <w:tcPr>
            <w:tcW w:w="1120" w:type="dxa"/>
            <w:vAlign w:val="bottom"/>
            <w:tcBorders>
              <w:bottom w:val="single" w:sz="8" w:color="auto"/>
            </w:tcBorders>
            <w:gridSpan w:val="2"/>
            <w:shd w:val="clear" w:color="auto" w:fill="CCEEFF"/>
          </w:tcPr>
          <w:p>
            <w:pPr>
              <w:jc w:val="right"/>
              <w:ind w:right="38"/>
              <w:spacing w:after="0"/>
              <w:rPr>
                <w:sz w:val="20"/>
                <w:szCs w:val="20"/>
                <w:color w:val="auto"/>
              </w:rPr>
            </w:pPr>
            <w:r>
              <w:rPr>
                <w:rFonts w:ascii="Arial" w:cs="Arial" w:eastAsia="Arial" w:hAnsi="Arial"/>
                <w:sz w:val="16"/>
                <w:szCs w:val="16"/>
                <w:color w:val="auto"/>
              </w:rPr>
              <w:t>17,338,630</w:t>
            </w:r>
          </w:p>
        </w:tc>
        <w:tc>
          <w:tcPr>
            <w:tcW w:w="1340" w:type="dxa"/>
            <w:vAlign w:val="bottom"/>
            <w:tcBorders>
              <w:bottom w:val="single" w:sz="8" w:color="auto"/>
            </w:tcBorders>
            <w:gridSpan w:val="2"/>
            <w:shd w:val="clear" w:color="auto" w:fill="CCEEFF"/>
          </w:tcPr>
          <w:p>
            <w:pPr>
              <w:jc w:val="right"/>
              <w:ind w:right="138"/>
              <w:spacing w:after="0"/>
              <w:rPr>
                <w:sz w:val="20"/>
                <w:szCs w:val="20"/>
                <w:color w:val="auto"/>
              </w:rPr>
            </w:pPr>
            <w:r>
              <w:rPr>
                <w:rFonts w:ascii="Arial" w:cs="Arial" w:eastAsia="Arial" w:hAnsi="Arial"/>
                <w:sz w:val="16"/>
                <w:szCs w:val="16"/>
                <w:color w:val="auto"/>
              </w:rPr>
              <w:t>16,985,759</w:t>
            </w:r>
          </w:p>
        </w:tc>
        <w:tc>
          <w:tcPr>
            <w:tcW w:w="10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17,389,467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vMerge w:val="restart"/>
          </w:tcPr>
          <w:p>
            <w:pPr>
              <w:spacing w:after="0"/>
              <w:rPr>
                <w:sz w:val="16"/>
                <w:szCs w:val="16"/>
                <w:color w:val="auto"/>
              </w:rPr>
            </w:pPr>
          </w:p>
        </w:tc>
        <w:tc>
          <w:tcPr>
            <w:tcW w:w="4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Basic net income per share</w:t>
            </w:r>
          </w:p>
        </w:tc>
        <w:tc>
          <w:tcPr>
            <w:tcW w:w="90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0.02</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0.15</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16"/>
                <w:szCs w:val="16"/>
                <w:color w:val="auto"/>
              </w:rPr>
              <w:t>(0.37)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0.66</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40" w:type="dxa"/>
            <w:vAlign w:val="bottom"/>
          </w:tcPr>
          <w:p>
            <w:pPr>
              <w:spacing w:after="0"/>
              <w:rPr>
                <w:sz w:val="16"/>
                <w:szCs w:val="16"/>
                <w:color w:val="auto"/>
              </w:rPr>
            </w:pPr>
          </w:p>
        </w:tc>
        <w:tc>
          <w:tcPr>
            <w:tcW w:w="4200" w:type="dxa"/>
            <w:vAlign w:val="bottom"/>
          </w:tcPr>
          <w:p>
            <w:pPr>
              <w:spacing w:after="0"/>
              <w:rPr>
                <w:sz w:val="20"/>
                <w:szCs w:val="20"/>
                <w:color w:val="auto"/>
              </w:rPr>
            </w:pPr>
            <w:r>
              <w:rPr>
                <w:rFonts w:ascii="Arial" w:cs="Arial" w:eastAsia="Arial" w:hAnsi="Arial"/>
                <w:sz w:val="16"/>
                <w:szCs w:val="16"/>
                <w:color w:val="auto"/>
              </w:rPr>
              <w:t>Diluted net income per share</w:t>
            </w:r>
          </w:p>
        </w:tc>
        <w:tc>
          <w:tcPr>
            <w:tcW w:w="90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0.02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rPr>
              <w:t>0.15</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(0.37)</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0.65</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color w:val="auto"/>
        </w:rPr>
        <w:t>Excluded from the shares outstanding for the three and nine months ended September 30, 2007 were 858,000 anti-dilutive options which had exercise prices from $10.67 to $12.62. Excluded from shares outstanding for the three and nine month periods ended September 30, 2006 were 478,250 anti-dilutive options which had exercise prices of $11.50 and $12.62.</w:t>
      </w:r>
    </w:p>
    <w:p>
      <w:pPr>
        <w:spacing w:after="0" w:line="207"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6.</w:t>
      </w:r>
      <w:r>
        <w:rPr>
          <w:sz w:val="20"/>
          <w:szCs w:val="20"/>
          <w:color w:val="auto"/>
        </w:rPr>
        <w:tab/>
      </w:r>
      <w:r>
        <w:rPr>
          <w:rFonts w:ascii="Arial" w:cs="Arial" w:eastAsia="Arial" w:hAnsi="Arial"/>
          <w:sz w:val="15"/>
          <w:szCs w:val="15"/>
          <w:b w:val="1"/>
          <w:bCs w:val="1"/>
          <w:color w:val="auto"/>
        </w:rPr>
        <w:t>Segment Information</w:t>
      </w:r>
    </w:p>
    <w:p>
      <w:pPr>
        <w:spacing w:after="0" w:line="239" w:lineRule="exact"/>
        <w:rPr>
          <w:sz w:val="20"/>
          <w:szCs w:val="20"/>
          <w:color w:val="auto"/>
        </w:rPr>
      </w:pPr>
    </w:p>
    <w:p>
      <w:pPr>
        <w:ind w:right="580"/>
        <w:spacing w:after="0" w:line="324" w:lineRule="auto"/>
        <w:rPr>
          <w:sz w:val="20"/>
          <w:szCs w:val="20"/>
          <w:color w:val="auto"/>
        </w:rPr>
      </w:pPr>
      <w:r>
        <w:rPr>
          <w:rFonts w:ascii="Arial" w:cs="Arial" w:eastAsia="Arial" w:hAnsi="Arial"/>
          <w:sz w:val="15"/>
          <w:szCs w:val="15"/>
          <w:color w:val="auto"/>
        </w:rPr>
        <w:t>The segment information and the accounting policies of each segment are the same as those described in the “Segment Information” footnote and the “Summary of Significant Accounting Policies” footnote, respectively, in our annual report on Form 10-K for the year ended December 31, 2006. We evaluate</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20"/>
          </w:cols>
          <w:pgMar w:left="240" w:top="703" w:right="339" w:bottom="1440" w:gutter="0" w:footer="0" w:header="0"/>
        </w:sectPr>
      </w:pPr>
    </w:p>
    <w:bookmarkStart w:id="11" w:name="page12"/>
    <w:bookmarkEnd w:id="11"/>
    <w:p>
      <w:pPr>
        <w:jc w:val="center"/>
        <w:ind w:right="-9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segment performance based on net income or loss after income taxes. For the three and nine month periods ended September 30, 2007, we have reported segment profit excluding restructuring and impairment charges, a non-GAAP accounting measure, as this information is utilized by our chief operating decision maker to examine segment profitability. Additionally, this new line item was added to show only operational performance and to enhance comparability to the prior periods. We account for inter-segment sales and transfers at current market prices. We did not have any significant inter-segment transactions during the three and nine month periods ended September 30, 2007 and 2006. As discussed in our annual report on Form 10-K for the year ended December 31, 2006, we changed our segment reporting during the fourth quarter of 2006. The three and nine month periods ended September 30, 2006 have been restated to conform to the current presentation.</w:t>
      </w:r>
    </w:p>
    <w:p>
      <w:pPr>
        <w:spacing w:after="0" w:line="39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80" w:type="dxa"/>
            <w:vAlign w:val="bottom"/>
            <w:gridSpan w:val="6"/>
          </w:tcPr>
          <w:p>
            <w:pPr>
              <w:jc w:val="right"/>
              <w:ind w:right="458"/>
              <w:spacing w:after="0"/>
              <w:rPr>
                <w:sz w:val="20"/>
                <w:szCs w:val="20"/>
                <w:color w:val="auto"/>
              </w:rPr>
            </w:pPr>
            <w:r>
              <w:rPr>
                <w:rFonts w:ascii="Arial" w:cs="Arial" w:eastAsia="Arial" w:hAnsi="Arial"/>
                <w:sz w:val="16"/>
                <w:szCs w:val="16"/>
                <w:b w:val="1"/>
                <w:bCs w:val="1"/>
                <w:color w:val="auto"/>
                <w:w w:val="99"/>
              </w:rPr>
              <w:t>Three Months Ended September 30,</w:t>
            </w: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2007</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center"/>
              <w:ind w:left="518"/>
              <w:spacing w:after="0"/>
              <w:rPr>
                <w:sz w:val="20"/>
                <w:szCs w:val="20"/>
                <w:color w:val="auto"/>
              </w:rPr>
            </w:pPr>
            <w:r>
              <w:rPr>
                <w:rFonts w:ascii="Arial" w:cs="Arial" w:eastAsia="Arial" w:hAnsi="Arial"/>
                <w:sz w:val="16"/>
                <w:szCs w:val="16"/>
                <w:b w:val="1"/>
                <w:bCs w:val="1"/>
                <w:color w:val="auto"/>
                <w:w w:val="89"/>
              </w:rPr>
              <w:t>2006</w:t>
            </w:r>
          </w:p>
        </w:tc>
        <w:tc>
          <w:tcPr>
            <w:tcW w:w="8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jc w:val="center"/>
              <w:ind w:right="58"/>
              <w:spacing w:after="0" w:line="181" w:lineRule="exact"/>
              <w:rPr>
                <w:sz w:val="20"/>
                <w:szCs w:val="20"/>
                <w:color w:val="auto"/>
              </w:rPr>
            </w:pPr>
            <w:r>
              <w:rPr>
                <w:rFonts w:ascii="Arial" w:cs="Arial" w:eastAsia="Arial" w:hAnsi="Arial"/>
                <w:sz w:val="16"/>
                <w:szCs w:val="16"/>
                <w:b w:val="1"/>
                <w:bCs w:val="1"/>
                <w:color w:val="auto"/>
                <w:w w:val="92"/>
              </w:rPr>
              <w:t>Plastic</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center"/>
              <w:ind w:right="158"/>
              <w:spacing w:after="0" w:line="181" w:lineRule="exact"/>
              <w:rPr>
                <w:sz w:val="20"/>
                <w:szCs w:val="20"/>
                <w:color w:val="auto"/>
              </w:rPr>
            </w:pPr>
            <w:r>
              <w:rPr>
                <w:rFonts w:ascii="Arial" w:cs="Arial" w:eastAsia="Arial" w:hAnsi="Arial"/>
                <w:sz w:val="16"/>
                <w:szCs w:val="16"/>
                <w:b w:val="1"/>
                <w:bCs w:val="1"/>
                <w:color w:val="auto"/>
                <w:w w:val="92"/>
              </w:rPr>
              <w:t>Plastic</w:t>
            </w: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Metal</w:t>
            </w: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8"/>
              </w:rPr>
              <w:t>Precision</w:t>
            </w:r>
          </w:p>
        </w:tc>
        <w:tc>
          <w:tcPr>
            <w:tcW w:w="860" w:type="dxa"/>
            <w:vAlign w:val="bottom"/>
          </w:tcPr>
          <w:p>
            <w:pPr>
              <w:jc w:val="center"/>
              <w:ind w:right="58"/>
              <w:spacing w:after="0"/>
              <w:rPr>
                <w:sz w:val="20"/>
                <w:szCs w:val="20"/>
                <w:color w:val="auto"/>
              </w:rPr>
            </w:pPr>
            <w:r>
              <w:rPr>
                <w:rFonts w:ascii="Arial" w:cs="Arial" w:eastAsia="Arial" w:hAnsi="Arial"/>
                <w:sz w:val="16"/>
                <w:szCs w:val="16"/>
                <w:b w:val="1"/>
                <w:bCs w:val="1"/>
                <w:color w:val="auto"/>
                <w:w w:val="98"/>
              </w:rPr>
              <w:t>and</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7"/>
              </w:rPr>
              <w:t>Metal</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1"/>
              </w:rPr>
              <w:t>Precision</w:t>
            </w:r>
          </w:p>
        </w:tc>
        <w:tc>
          <w:tcPr>
            <w:tcW w:w="28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98"/>
              </w:rPr>
              <w:t>and</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Bearing Com-</w:t>
            </w: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97"/>
              </w:rPr>
              <w:t>Metal Com-</w:t>
            </w:r>
          </w:p>
        </w:tc>
        <w:tc>
          <w:tcPr>
            <w:tcW w:w="860" w:type="dxa"/>
            <w:vAlign w:val="bottom"/>
          </w:tcPr>
          <w:p>
            <w:pPr>
              <w:jc w:val="center"/>
              <w:ind w:right="58"/>
              <w:spacing w:after="0"/>
              <w:rPr>
                <w:sz w:val="20"/>
                <w:szCs w:val="20"/>
                <w:color w:val="auto"/>
              </w:rPr>
            </w:pPr>
            <w:r>
              <w:rPr>
                <w:rFonts w:ascii="Arial" w:cs="Arial" w:eastAsia="Arial" w:hAnsi="Arial"/>
                <w:sz w:val="16"/>
                <w:szCs w:val="16"/>
                <w:b w:val="1"/>
                <w:bCs w:val="1"/>
                <w:color w:val="auto"/>
                <w:w w:val="92"/>
              </w:rPr>
              <w:t>Rubber</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3"/>
              </w:rPr>
              <w:t>Bearing</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rPr>
              <w:t>Metal</w:t>
            </w:r>
          </w:p>
        </w:tc>
        <w:tc>
          <w:tcPr>
            <w:tcW w:w="28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92"/>
              </w:rPr>
              <w:t>Rubber</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ponents</w:t>
            </w: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9"/>
              </w:rPr>
              <w:t>ponents</w:t>
            </w:r>
          </w:p>
        </w:tc>
        <w:tc>
          <w:tcPr>
            <w:tcW w:w="860" w:type="dxa"/>
            <w:vAlign w:val="bottom"/>
          </w:tcPr>
          <w:p>
            <w:pPr>
              <w:jc w:val="center"/>
              <w:ind w:right="58"/>
              <w:spacing w:after="0"/>
              <w:rPr>
                <w:sz w:val="20"/>
                <w:szCs w:val="20"/>
                <w:color w:val="auto"/>
              </w:rPr>
            </w:pPr>
            <w:r>
              <w:rPr>
                <w:rFonts w:ascii="Arial" w:cs="Arial" w:eastAsia="Arial" w:hAnsi="Arial"/>
                <w:sz w:val="16"/>
                <w:szCs w:val="16"/>
                <w:b w:val="1"/>
                <w:bCs w:val="1"/>
                <w:color w:val="auto"/>
                <w:w w:val="97"/>
              </w:rPr>
              <w:t>Com-</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7"/>
              </w:rPr>
              <w:t>Com-</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2"/>
              </w:rPr>
              <w:t>Com-</w:t>
            </w:r>
          </w:p>
        </w:tc>
        <w:tc>
          <w:tcPr>
            <w:tcW w:w="28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97"/>
              </w:rPr>
              <w:t>Com-</w:t>
            </w: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88"/>
              </w:rPr>
              <w:t>Segment</w:t>
            </w:r>
          </w:p>
        </w:tc>
        <w:tc>
          <w:tcPr>
            <w:tcW w:w="860" w:type="dxa"/>
            <w:vAlign w:val="bottom"/>
          </w:tcPr>
          <w:p>
            <w:pPr>
              <w:jc w:val="center"/>
              <w:ind w:right="58"/>
              <w:spacing w:after="0"/>
              <w:rPr>
                <w:sz w:val="20"/>
                <w:szCs w:val="20"/>
                <w:color w:val="auto"/>
              </w:rPr>
            </w:pPr>
            <w:r>
              <w:rPr>
                <w:rFonts w:ascii="Arial" w:cs="Arial" w:eastAsia="Arial" w:hAnsi="Arial"/>
                <w:sz w:val="16"/>
                <w:szCs w:val="16"/>
                <w:b w:val="1"/>
                <w:bCs w:val="1"/>
                <w:color w:val="auto"/>
                <w:w w:val="89"/>
              </w:rPr>
              <w:t>ponents</w:t>
            </w:r>
          </w:p>
        </w:tc>
        <w:tc>
          <w:tcPr>
            <w:tcW w:w="520" w:type="dxa"/>
            <w:vAlign w:val="bottom"/>
          </w:tcPr>
          <w:p>
            <w:pPr>
              <w:jc w:val="center"/>
              <w:spacing w:after="0"/>
              <w:rPr>
                <w:sz w:val="20"/>
                <w:szCs w:val="20"/>
                <w:color w:val="auto"/>
              </w:rPr>
            </w:pPr>
            <w:r>
              <w:rPr>
                <w:rFonts w:ascii="Arial" w:cs="Arial" w:eastAsia="Arial" w:hAnsi="Arial"/>
                <w:sz w:val="16"/>
                <w:szCs w:val="16"/>
                <w:b w:val="1"/>
                <w:bCs w:val="1"/>
                <w:color w:val="auto"/>
                <w:w w:val="97"/>
              </w:rPr>
              <w:t>All</w:t>
            </w:r>
          </w:p>
        </w:tc>
        <w:tc>
          <w:tcPr>
            <w:tcW w:w="260" w:type="dxa"/>
            <w:vAlign w:val="bottom"/>
          </w:tcPr>
          <w:p>
            <w:pPr>
              <w:spacing w:after="0"/>
              <w:rPr>
                <w:sz w:val="17"/>
                <w:szCs w:val="17"/>
                <w:color w:val="auto"/>
              </w:rPr>
            </w:pPr>
          </w:p>
        </w:tc>
        <w:tc>
          <w:tcPr>
            <w:tcW w:w="92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86"/>
              </w:rPr>
              <w:t>ponents</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6"/>
              </w:rPr>
              <w:t>ponents</w:t>
            </w:r>
          </w:p>
        </w:tc>
        <w:tc>
          <w:tcPr>
            <w:tcW w:w="280" w:type="dxa"/>
            <w:vAlign w:val="bottom"/>
          </w:tcPr>
          <w:p>
            <w:pPr>
              <w:spacing w:after="0"/>
              <w:rPr>
                <w:sz w:val="17"/>
                <w:szCs w:val="17"/>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89"/>
              </w:rPr>
              <w:t>ponents</w:t>
            </w:r>
          </w:p>
        </w:tc>
        <w:tc>
          <w:tcPr>
            <w:tcW w:w="560" w:type="dxa"/>
            <w:vAlign w:val="bottom"/>
          </w:tcPr>
          <w:p>
            <w:pPr>
              <w:ind w:left="220"/>
              <w:spacing w:after="0"/>
              <w:rPr>
                <w:sz w:val="20"/>
                <w:szCs w:val="20"/>
                <w:color w:val="auto"/>
              </w:rPr>
            </w:pPr>
            <w:r>
              <w:rPr>
                <w:rFonts w:ascii="Arial" w:cs="Arial" w:eastAsia="Arial" w:hAnsi="Arial"/>
                <w:sz w:val="16"/>
                <w:szCs w:val="16"/>
                <w:b w:val="1"/>
                <w:bCs w:val="1"/>
                <w:color w:val="auto"/>
              </w:rPr>
              <w:t>All</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740" w:type="dxa"/>
            <w:vAlign w:val="bottom"/>
            <w:gridSpan w:val="2"/>
          </w:tcPr>
          <w:p>
            <w:pPr>
              <w:spacing w:after="0"/>
              <w:rPr>
                <w:sz w:val="20"/>
                <w:szCs w:val="20"/>
                <w:color w:val="auto"/>
              </w:rPr>
            </w:pPr>
            <w:r>
              <w:rPr>
                <w:rFonts w:ascii="Arial" w:cs="Arial" w:eastAsia="Arial" w:hAnsi="Arial"/>
                <w:sz w:val="16"/>
                <w:szCs w:val="16"/>
                <w:color w:val="auto"/>
                <w:w w:val="95"/>
              </w:rPr>
              <w:t>(In Thousands of Dollars)</w:t>
            </w:r>
          </w:p>
        </w:tc>
        <w:tc>
          <w:tcPr>
            <w:tcW w:w="122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As restated</w:t>
            </w:r>
          </w:p>
        </w:tc>
        <w:tc>
          <w:tcPr>
            <w:tcW w:w="1020" w:type="dxa"/>
            <w:vAlign w:val="bottom"/>
          </w:tcPr>
          <w:p>
            <w:pPr>
              <w:jc w:val="center"/>
              <w:ind w:right="18"/>
              <w:spacing w:after="0"/>
              <w:rPr>
                <w:sz w:val="20"/>
                <w:szCs w:val="20"/>
                <w:color w:val="auto"/>
              </w:rPr>
            </w:pPr>
            <w:r>
              <w:rPr>
                <w:rFonts w:ascii="Arial" w:cs="Arial" w:eastAsia="Arial" w:hAnsi="Arial"/>
                <w:sz w:val="16"/>
                <w:szCs w:val="16"/>
                <w:b w:val="1"/>
                <w:bCs w:val="1"/>
                <w:color w:val="auto"/>
                <w:w w:val="91"/>
              </w:rPr>
              <w:t>As restated</w:t>
            </w:r>
          </w:p>
        </w:tc>
        <w:tc>
          <w:tcPr>
            <w:tcW w:w="860" w:type="dxa"/>
            <w:vAlign w:val="bottom"/>
          </w:tcPr>
          <w:p>
            <w:pPr>
              <w:jc w:val="center"/>
              <w:ind w:right="58"/>
              <w:spacing w:after="0"/>
              <w:rPr>
                <w:sz w:val="20"/>
                <w:szCs w:val="20"/>
                <w:color w:val="auto"/>
              </w:rPr>
            </w:pPr>
            <w:r>
              <w:rPr>
                <w:rFonts w:ascii="Arial" w:cs="Arial" w:eastAsia="Arial" w:hAnsi="Arial"/>
                <w:sz w:val="16"/>
                <w:szCs w:val="16"/>
                <w:b w:val="1"/>
                <w:bCs w:val="1"/>
                <w:color w:val="auto"/>
                <w:w w:val="88"/>
              </w:rPr>
              <w:t>Segment</w:t>
            </w:r>
          </w:p>
        </w:tc>
        <w:tc>
          <w:tcPr>
            <w:tcW w:w="520" w:type="dxa"/>
            <w:vAlign w:val="bottom"/>
          </w:tcPr>
          <w:p>
            <w:pPr>
              <w:jc w:val="center"/>
              <w:ind w:left="18"/>
              <w:spacing w:after="0"/>
              <w:rPr>
                <w:sz w:val="20"/>
                <w:szCs w:val="20"/>
                <w:color w:val="auto"/>
              </w:rPr>
            </w:pPr>
            <w:r>
              <w:rPr>
                <w:rFonts w:ascii="Arial" w:cs="Arial" w:eastAsia="Arial" w:hAnsi="Arial"/>
                <w:sz w:val="16"/>
                <w:szCs w:val="16"/>
                <w:b w:val="1"/>
                <w:bCs w:val="1"/>
                <w:color w:val="auto"/>
                <w:w w:val="98"/>
              </w:rPr>
              <w:t>Other</w:t>
            </w:r>
          </w:p>
        </w:tc>
        <w:tc>
          <w:tcPr>
            <w:tcW w:w="260" w:type="dxa"/>
            <w:vAlign w:val="bottom"/>
          </w:tcPr>
          <w:p>
            <w:pPr>
              <w:spacing w:after="0"/>
              <w:rPr>
                <w:sz w:val="18"/>
                <w:szCs w:val="18"/>
                <w:color w:val="auto"/>
              </w:rPr>
            </w:pPr>
          </w:p>
        </w:tc>
        <w:tc>
          <w:tcPr>
            <w:tcW w:w="92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88"/>
              </w:rPr>
              <w:t>Segment</w:t>
            </w: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91"/>
              </w:rPr>
              <w:t>Segment</w:t>
            </w:r>
          </w:p>
        </w:tc>
        <w:tc>
          <w:tcPr>
            <w:tcW w:w="280" w:type="dxa"/>
            <w:vAlign w:val="bottom"/>
          </w:tcPr>
          <w:p>
            <w:pPr>
              <w:spacing w:after="0"/>
              <w:rPr>
                <w:sz w:val="18"/>
                <w:szCs w:val="18"/>
                <w:color w:val="auto"/>
              </w:rPr>
            </w:pPr>
          </w:p>
        </w:tc>
        <w:tc>
          <w:tcPr>
            <w:tcW w:w="880" w:type="dxa"/>
            <w:vAlign w:val="bottom"/>
          </w:tcPr>
          <w:p>
            <w:pPr>
              <w:jc w:val="center"/>
              <w:ind w:right="158"/>
              <w:spacing w:after="0"/>
              <w:rPr>
                <w:sz w:val="20"/>
                <w:szCs w:val="20"/>
                <w:color w:val="auto"/>
              </w:rPr>
            </w:pPr>
            <w:r>
              <w:rPr>
                <w:rFonts w:ascii="Arial" w:cs="Arial" w:eastAsia="Arial" w:hAnsi="Arial"/>
                <w:sz w:val="16"/>
                <w:szCs w:val="16"/>
                <w:b w:val="1"/>
                <w:bCs w:val="1"/>
                <w:color w:val="auto"/>
                <w:w w:val="88"/>
              </w:rPr>
              <w:t>Segment</w:t>
            </w:r>
          </w:p>
        </w:tc>
        <w:tc>
          <w:tcPr>
            <w:tcW w:w="560" w:type="dxa"/>
            <w:vAlign w:val="bottom"/>
          </w:tcPr>
          <w:p>
            <w:pPr>
              <w:ind w:left="100"/>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Revenues from external</w:t>
            </w:r>
          </w:p>
        </w:tc>
        <w:tc>
          <w:tcPr>
            <w:tcW w:w="6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customers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70,814</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$ 15,594</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$ 12,613</w:t>
            </w:r>
          </w:p>
        </w:tc>
        <w:tc>
          <w:tcPr>
            <w:tcW w:w="5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62,228</w:t>
            </w:r>
          </w:p>
        </w:tc>
        <w:tc>
          <w:tcPr>
            <w:tcW w:w="7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$ 12,642</w:t>
            </w:r>
          </w:p>
        </w:tc>
        <w:tc>
          <w:tcPr>
            <w:tcW w:w="5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Segment profit  (loss),</w:t>
            </w:r>
          </w:p>
        </w:tc>
        <w:tc>
          <w:tcPr>
            <w:tcW w:w="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excluding restructuring</w:t>
            </w:r>
          </w:p>
        </w:tc>
        <w:tc>
          <w:tcPr>
            <w:tcW w:w="6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w w:val="97"/>
              </w:rPr>
              <w:t>and impairment changes</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567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(1,431)</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3,563</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674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w:t>
            </w:r>
          </w:p>
        </w:tc>
        <w:tc>
          <w:tcPr>
            <w:tcW w:w="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6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spacing w:after="0"/>
              <w:rPr>
                <w:sz w:val="18"/>
                <w:szCs w:val="18"/>
                <w:color w:val="auto"/>
              </w:rPr>
            </w:pPr>
          </w:p>
        </w:tc>
        <w:tc>
          <w:tcPr>
            <w:tcW w:w="280" w:type="dxa"/>
            <w:vAlign w:val="bottom"/>
            <w:shd w:val="clear" w:color="auto" w:fill="CCEEFF"/>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impacts</w:t>
            </w:r>
          </w:p>
        </w:tc>
        <w:tc>
          <w:tcPr>
            <w:tcW w:w="6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76</w:t>
            </w:r>
          </w:p>
        </w:tc>
        <w:tc>
          <w:tcPr>
            <w:tcW w:w="36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720" w:type="dxa"/>
            <w:vAlign w:val="bottom"/>
          </w:tcPr>
          <w:p>
            <w:pPr>
              <w:ind w:left="60"/>
              <w:spacing w:after="0"/>
              <w:rPr>
                <w:sz w:val="20"/>
                <w:szCs w:val="20"/>
                <w:color w:val="auto"/>
              </w:rPr>
            </w:pPr>
            <w:r>
              <w:rPr>
                <w:rFonts w:ascii="Arial" w:cs="Arial" w:eastAsia="Arial" w:hAnsi="Arial"/>
                <w:sz w:val="16"/>
                <w:szCs w:val="16"/>
                <w:color w:val="auto"/>
              </w:rPr>
              <w:t>Net income (loss)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(633)</w:t>
            </w:r>
          </w:p>
        </w:tc>
        <w:tc>
          <w:tcPr>
            <w:tcW w:w="8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   567</w:t>
            </w: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(1,565)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3,563</w:t>
            </w: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   674</w:t>
            </w: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(1,604)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780" w:type="dxa"/>
            <w:vAlign w:val="bottom"/>
            <w:gridSpan w:val="2"/>
            <w:shd w:val="clear" w:color="auto" w:fill="CCEEFF"/>
          </w:tcPr>
          <w:p>
            <w:pPr>
              <w:spacing w:after="0"/>
              <w:rPr>
                <w:sz w:val="16"/>
                <w:szCs w:val="16"/>
                <w:color w:val="auto"/>
              </w:rPr>
            </w:pPr>
          </w:p>
        </w:tc>
        <w:tc>
          <w:tcPr>
            <w:tcW w:w="920" w:type="dxa"/>
            <w:vAlign w:val="bottom"/>
            <w:gridSpan w:val="2"/>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6"/>
                <w:szCs w:val="16"/>
                <w:color w:val="auto"/>
              </w:rPr>
              <w:t>Assets</w:t>
            </w: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230,737</w:t>
            </w:r>
          </w:p>
        </w:tc>
        <w:tc>
          <w:tcPr>
            <w:tcW w:w="1020" w:type="dxa"/>
            <w:vAlign w:val="bottom"/>
          </w:tcPr>
          <w:p>
            <w:pPr>
              <w:jc w:val="right"/>
              <w:spacing w:after="0"/>
              <w:rPr>
                <w:sz w:val="20"/>
                <w:szCs w:val="20"/>
                <w:color w:val="auto"/>
              </w:rPr>
            </w:pPr>
            <w:r>
              <w:rPr>
                <w:rFonts w:ascii="Arial" w:cs="Arial" w:eastAsia="Arial" w:hAnsi="Arial"/>
                <w:sz w:val="16"/>
                <w:szCs w:val="16"/>
                <w:color w:val="auto"/>
              </w:rPr>
              <w:t>$53,900</w:t>
            </w:r>
          </w:p>
        </w:tc>
        <w:tc>
          <w:tcPr>
            <w:tcW w:w="860" w:type="dxa"/>
            <w:vAlign w:val="bottom"/>
          </w:tcPr>
          <w:p>
            <w:pPr>
              <w:jc w:val="right"/>
              <w:ind w:right="18"/>
              <w:spacing w:after="0"/>
              <w:rPr>
                <w:sz w:val="20"/>
                <w:szCs w:val="20"/>
                <w:color w:val="auto"/>
              </w:rPr>
            </w:pPr>
            <w:r>
              <w:rPr>
                <w:rFonts w:ascii="Arial" w:cs="Arial" w:eastAsia="Arial" w:hAnsi="Arial"/>
                <w:sz w:val="16"/>
                <w:szCs w:val="16"/>
                <w:color w:val="auto"/>
              </w:rPr>
              <w:t>$52,259</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$7,035</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$226,324</w:t>
            </w:r>
          </w:p>
        </w:tc>
        <w:tc>
          <w:tcPr>
            <w:tcW w:w="72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280" w:type="dxa"/>
            <w:vAlign w:val="bottom"/>
          </w:tcPr>
          <w:p>
            <w:pPr>
              <w:jc w:val="center"/>
              <w:ind w:right="38"/>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8"/>
              <w:spacing w:after="0"/>
              <w:rPr>
                <w:sz w:val="20"/>
                <w:szCs w:val="20"/>
                <w:color w:val="auto"/>
              </w:rPr>
            </w:pPr>
            <w:r>
              <w:rPr>
                <w:rFonts w:ascii="Arial" w:cs="Arial" w:eastAsia="Arial" w:hAnsi="Arial"/>
                <w:sz w:val="16"/>
                <w:szCs w:val="16"/>
                <w:color w:val="auto"/>
              </w:rPr>
              <w:t>$52,966</w:t>
            </w:r>
          </w:p>
        </w:tc>
        <w:tc>
          <w:tcPr>
            <w:tcW w:w="720" w:type="dxa"/>
            <w:vAlign w:val="bottom"/>
            <w:gridSpan w:val="2"/>
          </w:tcPr>
          <w:p>
            <w:pPr>
              <w:ind w:left="220"/>
              <w:spacing w:after="0"/>
              <w:rPr>
                <w:sz w:val="20"/>
                <w:szCs w:val="20"/>
                <w:color w:val="auto"/>
              </w:rPr>
            </w:pPr>
            <w:r>
              <w:rPr>
                <w:rFonts w:ascii="Arial" w:cs="Arial" w:eastAsia="Arial" w:hAnsi="Arial"/>
                <w:sz w:val="16"/>
                <w:szCs w:val="16"/>
                <w:color w:val="auto"/>
                <w:w w:val="98"/>
              </w:rPr>
              <w:t>$5,985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703" w:right="319" w:bottom="1440" w:gutter="0" w:footer="0" w:header="0"/>
        </w:sectPr>
      </w:pPr>
    </w:p>
    <w:bookmarkStart w:id="12" w:name="page13"/>
    <w:bookmarkEnd w:id="12"/>
    <w:p>
      <w:pPr>
        <w:jc w:val="center"/>
        <w:ind w:right="-5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6"/>
                <w:szCs w:val="16"/>
                <w:b w:val="1"/>
                <w:bCs w:val="1"/>
                <w:color w:val="auto"/>
              </w:rPr>
              <w:t>2007</w:t>
            </w:r>
          </w:p>
        </w:tc>
        <w:tc>
          <w:tcPr>
            <w:tcW w:w="3080" w:type="dxa"/>
            <w:vAlign w:val="bottom"/>
            <w:gridSpan w:val="5"/>
          </w:tcPr>
          <w:p>
            <w:pPr>
              <w:jc w:val="right"/>
              <w:ind w:right="378"/>
              <w:spacing w:after="0"/>
              <w:rPr>
                <w:sz w:val="20"/>
                <w:szCs w:val="20"/>
                <w:color w:val="auto"/>
              </w:rPr>
            </w:pPr>
            <w:r>
              <w:rPr>
                <w:rFonts w:ascii="Arial" w:cs="Arial" w:eastAsia="Arial" w:hAnsi="Arial"/>
                <w:sz w:val="16"/>
                <w:szCs w:val="16"/>
                <w:b w:val="1"/>
                <w:bCs w:val="1"/>
                <w:color w:val="auto"/>
                <w:w w:val="98"/>
              </w:rPr>
              <w:t>Nine Months Ended September 30,</w:t>
            </w:r>
          </w:p>
        </w:tc>
        <w:tc>
          <w:tcPr>
            <w:tcW w:w="160" w:type="dxa"/>
            <w:vAlign w:val="bottom"/>
          </w:tcPr>
          <w:p>
            <w:pPr>
              <w:spacing w:after="0"/>
              <w:rPr>
                <w:sz w:val="18"/>
                <w:szCs w:val="18"/>
                <w:color w:val="auto"/>
              </w:rPr>
            </w:pPr>
          </w:p>
        </w:tc>
        <w:tc>
          <w:tcPr>
            <w:tcW w:w="4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2006</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vMerge w:val="continue"/>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40" w:type="dxa"/>
            <w:vAlign w:val="bottom"/>
            <w:gridSpan w:val="2"/>
          </w:tcPr>
          <w:p>
            <w:pPr>
              <w:jc w:val="center"/>
              <w:spacing w:after="0" w:line="181" w:lineRule="exact"/>
              <w:rPr>
                <w:sz w:val="20"/>
                <w:szCs w:val="20"/>
                <w:color w:val="auto"/>
              </w:rPr>
            </w:pPr>
            <w:r>
              <w:rPr>
                <w:rFonts w:ascii="Arial" w:cs="Arial" w:eastAsia="Arial" w:hAnsi="Arial"/>
                <w:sz w:val="16"/>
                <w:szCs w:val="16"/>
                <w:b w:val="1"/>
                <w:bCs w:val="1"/>
                <w:color w:val="auto"/>
                <w:w w:val="97"/>
              </w:rPr>
              <w:t>Metal</w:t>
            </w:r>
          </w:p>
        </w:tc>
        <w:tc>
          <w:tcPr>
            <w:tcW w:w="5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80" w:type="dxa"/>
            <w:vAlign w:val="bottom"/>
            <w:gridSpan w:val="2"/>
          </w:tcPr>
          <w:p>
            <w:pPr>
              <w:ind w:left="100"/>
              <w:spacing w:after="0" w:line="181" w:lineRule="exact"/>
              <w:rPr>
                <w:sz w:val="20"/>
                <w:szCs w:val="20"/>
                <w:color w:val="auto"/>
              </w:rPr>
            </w:pPr>
            <w:r>
              <w:rPr>
                <w:rFonts w:ascii="Arial" w:cs="Arial" w:eastAsia="Arial" w:hAnsi="Arial"/>
                <w:sz w:val="16"/>
                <w:szCs w:val="16"/>
                <w:b w:val="1"/>
                <w:bCs w:val="1"/>
                <w:color w:val="auto"/>
              </w:rPr>
              <w:t>Plastic</w:t>
            </w: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98"/>
              <w:spacing w:after="0" w:line="181" w:lineRule="exact"/>
              <w:rPr>
                <w:sz w:val="20"/>
                <w:szCs w:val="20"/>
                <w:color w:val="auto"/>
              </w:rPr>
            </w:pPr>
            <w:r>
              <w:rPr>
                <w:rFonts w:ascii="Arial" w:cs="Arial" w:eastAsia="Arial" w:hAnsi="Arial"/>
                <w:sz w:val="16"/>
                <w:szCs w:val="16"/>
                <w:b w:val="1"/>
                <w:bCs w:val="1"/>
                <w:color w:val="auto"/>
                <w:w w:val="89"/>
              </w:rPr>
              <w:t>Plastic</w:t>
            </w:r>
          </w:p>
        </w:tc>
        <w:tc>
          <w:tcPr>
            <w:tcW w:w="3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Bearing</w:t>
            </w:r>
          </w:p>
        </w:tc>
        <w:tc>
          <w:tcPr>
            <w:tcW w:w="104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1"/>
              </w:rPr>
              <w:t>Precision</w:t>
            </w:r>
          </w:p>
        </w:tc>
        <w:tc>
          <w:tcPr>
            <w:tcW w:w="180" w:type="dxa"/>
            <w:vAlign w:val="bottom"/>
          </w:tcPr>
          <w:p>
            <w:pPr>
              <w:spacing w:after="0"/>
              <w:rPr>
                <w:sz w:val="17"/>
                <w:szCs w:val="17"/>
                <w:color w:val="auto"/>
              </w:rPr>
            </w:pPr>
          </w:p>
        </w:tc>
        <w:tc>
          <w:tcPr>
            <w:tcW w:w="600" w:type="dxa"/>
            <w:vAlign w:val="bottom"/>
          </w:tcPr>
          <w:p>
            <w:pPr>
              <w:jc w:val="center"/>
              <w:ind w:right="218"/>
              <w:spacing w:after="0"/>
              <w:rPr>
                <w:sz w:val="20"/>
                <w:szCs w:val="20"/>
                <w:color w:val="auto"/>
              </w:rPr>
            </w:pPr>
            <w:r>
              <w:rPr>
                <w:rFonts w:ascii="Arial" w:cs="Arial" w:eastAsia="Arial" w:hAnsi="Arial"/>
                <w:sz w:val="16"/>
                <w:szCs w:val="16"/>
                <w:b w:val="1"/>
                <w:bCs w:val="1"/>
                <w:color w:val="auto"/>
                <w:w w:val="91"/>
              </w:rPr>
              <w:t>and</w:t>
            </w:r>
          </w:p>
        </w:tc>
        <w:tc>
          <w:tcPr>
            <w:tcW w:w="760" w:type="dxa"/>
            <w:vAlign w:val="bottom"/>
          </w:tcPr>
          <w:p>
            <w:pPr>
              <w:spacing w:after="0"/>
              <w:rPr>
                <w:sz w:val="17"/>
                <w:szCs w:val="17"/>
                <w:color w:val="auto"/>
              </w:rPr>
            </w:pPr>
          </w:p>
        </w:tc>
        <w:tc>
          <w:tcPr>
            <w:tcW w:w="94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rPr>
              <w:t>Metal</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8"/>
              </w:rPr>
              <w:t>Precision</w:t>
            </w:r>
          </w:p>
        </w:tc>
        <w:tc>
          <w:tcPr>
            <w:tcW w:w="160" w:type="dxa"/>
            <w:vAlign w:val="bottom"/>
          </w:tcPr>
          <w:p>
            <w:pPr>
              <w:spacing w:after="0"/>
              <w:rPr>
                <w:sz w:val="17"/>
                <w:szCs w:val="17"/>
                <w:color w:val="auto"/>
              </w:rPr>
            </w:pPr>
          </w:p>
        </w:tc>
        <w:tc>
          <w:tcPr>
            <w:tcW w:w="10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1"/>
              </w:rPr>
              <w:t>and</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7"/>
              </w:rPr>
              <w:t>Com-</w:t>
            </w:r>
          </w:p>
        </w:tc>
        <w:tc>
          <w:tcPr>
            <w:tcW w:w="104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9"/>
              </w:rPr>
              <w:t>Metal Com-</w:t>
            </w:r>
          </w:p>
        </w:tc>
        <w:tc>
          <w:tcPr>
            <w:tcW w:w="780" w:type="dxa"/>
            <w:vAlign w:val="bottom"/>
            <w:gridSpan w:val="2"/>
          </w:tcPr>
          <w:p>
            <w:pPr>
              <w:jc w:val="center"/>
              <w:ind w:right="38"/>
              <w:spacing w:after="0"/>
              <w:rPr>
                <w:sz w:val="20"/>
                <w:szCs w:val="20"/>
                <w:color w:val="auto"/>
              </w:rPr>
            </w:pPr>
            <w:r>
              <w:rPr>
                <w:rFonts w:ascii="Arial" w:cs="Arial" w:eastAsia="Arial" w:hAnsi="Arial"/>
                <w:sz w:val="16"/>
                <w:szCs w:val="16"/>
                <w:b w:val="1"/>
                <w:bCs w:val="1"/>
                <w:color w:val="auto"/>
                <w:w w:val="96"/>
              </w:rPr>
              <w:t>Rubber</w:t>
            </w:r>
          </w:p>
        </w:tc>
        <w:tc>
          <w:tcPr>
            <w:tcW w:w="760" w:type="dxa"/>
            <w:vAlign w:val="bottom"/>
          </w:tcPr>
          <w:p>
            <w:pPr>
              <w:spacing w:after="0"/>
              <w:rPr>
                <w:sz w:val="17"/>
                <w:szCs w:val="17"/>
                <w:color w:val="auto"/>
              </w:rPr>
            </w:pPr>
          </w:p>
        </w:tc>
        <w:tc>
          <w:tcPr>
            <w:tcW w:w="94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3"/>
              </w:rPr>
              <w:t>Bearing</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rPr>
              <w:t>Metal</w:t>
            </w:r>
          </w:p>
        </w:tc>
        <w:tc>
          <w:tcPr>
            <w:tcW w:w="160" w:type="dxa"/>
            <w:vAlign w:val="bottom"/>
          </w:tcPr>
          <w:p>
            <w:pPr>
              <w:spacing w:after="0"/>
              <w:rPr>
                <w:sz w:val="17"/>
                <w:szCs w:val="17"/>
                <w:color w:val="auto"/>
              </w:rPr>
            </w:pPr>
          </w:p>
        </w:tc>
        <w:tc>
          <w:tcPr>
            <w:tcW w:w="10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6"/>
              </w:rPr>
              <w:t>Rubber</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ponents</w:t>
            </w:r>
          </w:p>
        </w:tc>
        <w:tc>
          <w:tcPr>
            <w:tcW w:w="104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86"/>
              </w:rPr>
              <w:t>ponents</w:t>
            </w:r>
          </w:p>
        </w:tc>
        <w:tc>
          <w:tcPr>
            <w:tcW w:w="78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7"/>
              </w:rPr>
              <w:t>Com-</w:t>
            </w:r>
          </w:p>
        </w:tc>
        <w:tc>
          <w:tcPr>
            <w:tcW w:w="760" w:type="dxa"/>
            <w:vAlign w:val="bottom"/>
          </w:tcPr>
          <w:p>
            <w:pPr>
              <w:spacing w:after="0"/>
              <w:rPr>
                <w:sz w:val="17"/>
                <w:szCs w:val="17"/>
                <w:color w:val="auto"/>
              </w:rPr>
            </w:pPr>
          </w:p>
        </w:tc>
        <w:tc>
          <w:tcPr>
            <w:tcW w:w="94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92"/>
              </w:rPr>
              <w:t>Com-</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7"/>
              </w:rPr>
              <w:t>Com-</w:t>
            </w:r>
          </w:p>
        </w:tc>
        <w:tc>
          <w:tcPr>
            <w:tcW w:w="160" w:type="dxa"/>
            <w:vAlign w:val="bottom"/>
          </w:tcPr>
          <w:p>
            <w:pPr>
              <w:spacing w:after="0"/>
              <w:rPr>
                <w:sz w:val="17"/>
                <w:szCs w:val="17"/>
                <w:color w:val="auto"/>
              </w:rPr>
            </w:pPr>
          </w:p>
        </w:tc>
        <w:tc>
          <w:tcPr>
            <w:tcW w:w="10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2"/>
              </w:rPr>
              <w:t>Com-</w:t>
            </w: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620" w:type="dxa"/>
            <w:vAlign w:val="bottom"/>
            <w:gridSpan w:val="2"/>
          </w:tcPr>
          <w:p>
            <w:pPr>
              <w:spacing w:after="0"/>
              <w:rPr>
                <w:sz w:val="20"/>
                <w:szCs w:val="20"/>
                <w:color w:val="auto"/>
              </w:rPr>
            </w:pPr>
            <w:r>
              <w:rPr>
                <w:rFonts w:ascii="Arial" w:cs="Arial" w:eastAsia="Arial" w:hAnsi="Arial"/>
                <w:sz w:val="16"/>
                <w:szCs w:val="16"/>
                <w:color w:val="auto"/>
              </w:rPr>
              <w:t>(In Thousands of</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Segment</w:t>
            </w:r>
          </w:p>
        </w:tc>
        <w:tc>
          <w:tcPr>
            <w:tcW w:w="104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91"/>
              </w:rPr>
              <w:t>Segment</w:t>
            </w:r>
          </w:p>
        </w:tc>
        <w:tc>
          <w:tcPr>
            <w:tcW w:w="78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89"/>
              </w:rPr>
              <w:t>ponents</w:t>
            </w:r>
          </w:p>
        </w:tc>
        <w:tc>
          <w:tcPr>
            <w:tcW w:w="760" w:type="dxa"/>
            <w:vAlign w:val="bottom"/>
          </w:tcPr>
          <w:p>
            <w:pPr>
              <w:jc w:val="right"/>
              <w:ind w:right="278"/>
              <w:spacing w:after="0"/>
              <w:rPr>
                <w:sz w:val="20"/>
                <w:szCs w:val="20"/>
                <w:color w:val="auto"/>
              </w:rPr>
            </w:pPr>
            <w:r>
              <w:rPr>
                <w:rFonts w:ascii="Arial" w:cs="Arial" w:eastAsia="Arial" w:hAnsi="Arial"/>
                <w:sz w:val="16"/>
                <w:szCs w:val="16"/>
                <w:b w:val="1"/>
                <w:bCs w:val="1"/>
                <w:color w:val="auto"/>
              </w:rPr>
              <w:t>All</w:t>
            </w:r>
          </w:p>
        </w:tc>
        <w:tc>
          <w:tcPr>
            <w:tcW w:w="940" w:type="dxa"/>
            <w:vAlign w:val="bottom"/>
            <w:gridSpan w:val="2"/>
          </w:tcPr>
          <w:p>
            <w:pPr>
              <w:jc w:val="center"/>
              <w:ind w:right="78"/>
              <w:spacing w:after="0"/>
              <w:rPr>
                <w:sz w:val="20"/>
                <w:szCs w:val="20"/>
                <w:color w:val="auto"/>
              </w:rPr>
            </w:pPr>
            <w:r>
              <w:rPr>
                <w:rFonts w:ascii="Arial" w:cs="Arial" w:eastAsia="Arial" w:hAnsi="Arial"/>
                <w:sz w:val="16"/>
                <w:szCs w:val="16"/>
                <w:b w:val="1"/>
                <w:bCs w:val="1"/>
                <w:color w:val="auto"/>
                <w:w w:val="86"/>
              </w:rPr>
              <w:t>ponents</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87"/>
              </w:rPr>
              <w:t>ponents S</w:t>
            </w:r>
          </w:p>
        </w:tc>
        <w:tc>
          <w:tcPr>
            <w:tcW w:w="160" w:type="dxa"/>
            <w:vAlign w:val="bottom"/>
          </w:tcPr>
          <w:p>
            <w:pPr>
              <w:spacing w:after="0"/>
              <w:rPr>
                <w:sz w:val="17"/>
                <w:szCs w:val="17"/>
                <w:color w:val="auto"/>
              </w:rPr>
            </w:pPr>
          </w:p>
        </w:tc>
        <w:tc>
          <w:tcPr>
            <w:tcW w:w="10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86"/>
              </w:rPr>
              <w:t>ponents</w:t>
            </w:r>
          </w:p>
        </w:tc>
        <w:tc>
          <w:tcPr>
            <w:tcW w:w="860" w:type="dxa"/>
            <w:vAlign w:val="bottom"/>
            <w:gridSpan w:val="3"/>
          </w:tcPr>
          <w:p>
            <w:pPr>
              <w:ind w:left="240"/>
              <w:spacing w:after="0"/>
              <w:rPr>
                <w:sz w:val="20"/>
                <w:szCs w:val="20"/>
                <w:color w:val="auto"/>
              </w:rPr>
            </w:pPr>
            <w:r>
              <w:rPr>
                <w:rFonts w:ascii="Arial" w:cs="Arial" w:eastAsia="Arial" w:hAnsi="Arial"/>
                <w:sz w:val="16"/>
                <w:szCs w:val="16"/>
                <w:b w:val="1"/>
                <w:bCs w:val="1"/>
                <w:color w:val="auto"/>
              </w:rPr>
              <w:t>All</w:t>
            </w:r>
          </w:p>
        </w:tc>
        <w:tc>
          <w:tcPr>
            <w:tcW w:w="0" w:type="dxa"/>
            <w:vAlign w:val="bottom"/>
          </w:tcPr>
          <w:p>
            <w:pPr>
              <w:spacing w:after="0"/>
              <w:rPr>
                <w:sz w:val="1"/>
                <w:szCs w:val="1"/>
                <w:color w:val="auto"/>
              </w:rPr>
            </w:pPr>
          </w:p>
        </w:tc>
      </w:tr>
      <w:tr>
        <w:trPr>
          <w:trHeight w:val="218"/>
        </w:trPr>
        <w:tc>
          <w:tcPr>
            <w:tcW w:w="1620" w:type="dxa"/>
            <w:vAlign w:val="bottom"/>
            <w:gridSpan w:val="2"/>
          </w:tcPr>
          <w:p>
            <w:pPr>
              <w:spacing w:after="0"/>
              <w:rPr>
                <w:sz w:val="20"/>
                <w:szCs w:val="20"/>
                <w:color w:val="auto"/>
              </w:rPr>
            </w:pPr>
            <w:r>
              <w:rPr>
                <w:rFonts w:ascii="Arial" w:cs="Arial" w:eastAsia="Arial" w:hAnsi="Arial"/>
                <w:sz w:val="16"/>
                <w:szCs w:val="16"/>
                <w:color w:val="auto"/>
              </w:rPr>
              <w:t>Dollars)</w:t>
            </w:r>
          </w:p>
        </w:tc>
        <w:tc>
          <w:tcPr>
            <w:tcW w:w="11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As restated</w:t>
            </w:r>
          </w:p>
        </w:tc>
        <w:tc>
          <w:tcPr>
            <w:tcW w:w="104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89"/>
              </w:rPr>
              <w:t>As restated</w:t>
            </w:r>
          </w:p>
        </w:tc>
        <w:tc>
          <w:tcPr>
            <w:tcW w:w="780" w:type="dxa"/>
            <w:vAlign w:val="bottom"/>
            <w:gridSpan w:val="2"/>
          </w:tcPr>
          <w:p>
            <w:pPr>
              <w:jc w:val="center"/>
              <w:ind w:right="18"/>
              <w:spacing w:after="0"/>
              <w:rPr>
                <w:sz w:val="20"/>
                <w:szCs w:val="20"/>
                <w:color w:val="auto"/>
              </w:rPr>
            </w:pPr>
            <w:r>
              <w:rPr>
                <w:rFonts w:ascii="Arial" w:cs="Arial" w:eastAsia="Arial" w:hAnsi="Arial"/>
                <w:sz w:val="16"/>
                <w:szCs w:val="16"/>
                <w:b w:val="1"/>
                <w:bCs w:val="1"/>
                <w:color w:val="auto"/>
                <w:w w:val="88"/>
              </w:rPr>
              <w:t>Segment</w:t>
            </w:r>
          </w:p>
        </w:tc>
        <w:tc>
          <w:tcPr>
            <w:tcW w:w="760" w:type="dxa"/>
            <w:vAlign w:val="bottom"/>
          </w:tcPr>
          <w:p>
            <w:pPr>
              <w:jc w:val="right"/>
              <w:ind w:right="178"/>
              <w:spacing w:after="0"/>
              <w:rPr>
                <w:sz w:val="20"/>
                <w:szCs w:val="20"/>
                <w:color w:val="auto"/>
              </w:rPr>
            </w:pPr>
            <w:r>
              <w:rPr>
                <w:rFonts w:ascii="Arial" w:cs="Arial" w:eastAsia="Arial" w:hAnsi="Arial"/>
                <w:sz w:val="16"/>
                <w:szCs w:val="16"/>
                <w:b w:val="1"/>
                <w:bCs w:val="1"/>
                <w:color w:val="auto"/>
              </w:rPr>
              <w:t>Other</w:t>
            </w:r>
          </w:p>
        </w:tc>
        <w:tc>
          <w:tcPr>
            <w:tcW w:w="94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88"/>
              </w:rPr>
              <w:t>Segment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1"/>
              </w:rPr>
              <w:t>egment</w:t>
            </w:r>
          </w:p>
        </w:tc>
        <w:tc>
          <w:tcPr>
            <w:tcW w:w="160" w:type="dxa"/>
            <w:vAlign w:val="bottom"/>
          </w:tcPr>
          <w:p>
            <w:pPr>
              <w:spacing w:after="0"/>
              <w:rPr>
                <w:sz w:val="18"/>
                <w:szCs w:val="18"/>
                <w:color w:val="auto"/>
              </w:rPr>
            </w:pPr>
          </w:p>
        </w:tc>
        <w:tc>
          <w:tcPr>
            <w:tcW w:w="10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91"/>
              </w:rPr>
              <w:t>Segment</w:t>
            </w:r>
          </w:p>
        </w:tc>
        <w:tc>
          <w:tcPr>
            <w:tcW w:w="860" w:type="dxa"/>
            <w:vAlign w:val="bottom"/>
            <w:gridSpan w:val="3"/>
          </w:tcPr>
          <w:p>
            <w:pPr>
              <w:ind w:left="140"/>
              <w:spacing w:after="0"/>
              <w:rPr>
                <w:sz w:val="20"/>
                <w:szCs w:val="20"/>
                <w:color w:val="auto"/>
              </w:rPr>
            </w:pPr>
            <w:r>
              <w:rPr>
                <w:rFonts w:ascii="Arial" w:cs="Arial" w:eastAsia="Arial" w:hAnsi="Arial"/>
                <w:sz w:val="16"/>
                <w:szCs w:val="16"/>
                <w:b w:val="1"/>
                <w:bCs w:val="1"/>
                <w:color w:val="auto"/>
              </w:rPr>
              <w:t>Other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92"/>
              </w:rPr>
              <w:t>Revenues from external</w:t>
            </w:r>
          </w:p>
        </w:tc>
        <w:tc>
          <w:tcPr>
            <w:tcW w:w="5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customers</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224,373</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50,730</w:t>
            </w: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39,164</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  --</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6"/>
              </w:rPr>
              <w:t>203,533</w:t>
            </w:r>
          </w:p>
        </w:tc>
        <w:tc>
          <w:tcPr>
            <w:tcW w:w="78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93"/>
              </w:rPr>
              <w:t>40,908</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Segment profit  (loss)</w:t>
            </w: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w w:val="98"/>
              </w:rPr>
              <w:t>excluding restructuring</w:t>
            </w:r>
          </w:p>
        </w:tc>
        <w:tc>
          <w:tcPr>
            <w:tcW w:w="5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w w:val="90"/>
              </w:rPr>
              <w:t>and impairment changes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12,901</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(1,093)</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(5,023)</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13,502</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2,380</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(4,534)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vMerge w:val="continue"/>
          </w:tcPr>
          <w:p>
            <w:pPr>
              <w:spacing w:after="0"/>
              <w:rPr>
                <w:sz w:val="16"/>
                <w:szCs w:val="16"/>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w:t>
            </w: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6"/>
                <w:szCs w:val="16"/>
                <w:color w:val="auto"/>
              </w:rPr>
              <w:t>impairment charges</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(14,488)</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(210)</w:t>
            </w:r>
          </w:p>
        </w:tc>
        <w:tc>
          <w:tcPr>
            <w:tcW w:w="3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w:t>
            </w: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impacts</w:t>
            </w:r>
          </w:p>
        </w:tc>
        <w:tc>
          <w:tcPr>
            <w:tcW w:w="5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5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76</w:t>
            </w:r>
          </w:p>
        </w:tc>
        <w:tc>
          <w:tcPr>
            <w:tcW w:w="3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w:t>
            </w:r>
          </w:p>
        </w:tc>
        <w:tc>
          <w:tcPr>
            <w:tcW w:w="46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600" w:type="dxa"/>
            <w:vAlign w:val="bottom"/>
          </w:tcPr>
          <w:p>
            <w:pPr>
              <w:ind w:left="200"/>
              <w:spacing w:after="0" w:line="178" w:lineRule="exact"/>
              <w:rPr>
                <w:sz w:val="20"/>
                <w:szCs w:val="20"/>
                <w:color w:val="auto"/>
              </w:rPr>
            </w:pPr>
            <w:r>
              <w:rPr>
                <w:rFonts w:ascii="Arial" w:cs="Arial" w:eastAsia="Arial" w:hAnsi="Arial"/>
                <w:sz w:val="16"/>
                <w:szCs w:val="16"/>
                <w:color w:val="auto"/>
              </w:rPr>
              <w:t>Net income (loss)</w:t>
            </w:r>
          </w:p>
        </w:tc>
        <w:tc>
          <w:tcPr>
            <w:tcW w:w="5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(1,647)</w:t>
            </w:r>
          </w:p>
        </w:tc>
        <w:tc>
          <w:tcPr>
            <w:tcW w:w="5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4"/>
              </w:rPr>
              <w:t>(1,093)</w:t>
            </w:r>
          </w:p>
        </w:tc>
        <w:tc>
          <w:tcPr>
            <w:tcW w:w="18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1,686</w:t>
            </w:r>
          </w:p>
        </w:tc>
        <w:tc>
          <w:tcPr>
            <w:tcW w:w="760" w:type="dxa"/>
            <w:vAlign w:val="bottom"/>
            <w:tcBorders>
              <w:bottom w:val="single" w:sz="8" w:color="auto"/>
            </w:tcBorders>
          </w:tcPr>
          <w:p>
            <w:pPr>
              <w:jc w:val="right"/>
              <w:ind w:right="18"/>
              <w:spacing w:after="0" w:line="178" w:lineRule="exact"/>
              <w:rPr>
                <w:sz w:val="20"/>
                <w:szCs w:val="20"/>
                <w:color w:val="auto"/>
              </w:rPr>
            </w:pPr>
            <w:r>
              <w:rPr>
                <w:rFonts w:ascii="Arial" w:cs="Arial" w:eastAsia="Arial" w:hAnsi="Arial"/>
                <w:sz w:val="16"/>
                <w:szCs w:val="16"/>
                <w:color w:val="auto"/>
                <w:w w:val="99"/>
              </w:rPr>
              <w:t>$ (5,157)</w:t>
            </w:r>
          </w:p>
        </w:tc>
        <w:tc>
          <w:tcPr>
            <w:tcW w:w="3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13,502</w:t>
            </w:r>
          </w:p>
        </w:tc>
        <w:tc>
          <w:tcPr>
            <w:tcW w:w="780" w:type="dxa"/>
            <w:vAlign w:val="bottom"/>
            <w:tcBorders>
              <w:bottom w:val="single" w:sz="8" w:color="auto"/>
            </w:tcBorders>
          </w:tcPr>
          <w:p>
            <w:pPr>
              <w:jc w:val="right"/>
              <w:ind w:right="118"/>
              <w:spacing w:after="0" w:line="178" w:lineRule="exact"/>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3"/>
              </w:rPr>
              <w:t>--</w:t>
            </w:r>
          </w:p>
        </w:tc>
        <w:tc>
          <w:tcPr>
            <w:tcW w:w="4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ind w:right="58"/>
              <w:spacing w:after="0" w:line="178" w:lineRule="exact"/>
              <w:rPr>
                <w:sz w:val="20"/>
                <w:szCs w:val="20"/>
                <w:color w:val="auto"/>
              </w:rPr>
            </w:pPr>
            <w:r>
              <w:rPr>
                <w:rFonts w:ascii="Arial" w:cs="Arial" w:eastAsia="Arial" w:hAnsi="Arial"/>
                <w:sz w:val="16"/>
                <w:szCs w:val="16"/>
                <w:color w:val="auto"/>
              </w:rPr>
              <w:t>2,380</w:t>
            </w:r>
          </w:p>
        </w:tc>
        <w:tc>
          <w:tcPr>
            <w:tcW w:w="360" w:type="dxa"/>
            <w:vAlign w:val="bottom"/>
            <w:tcBorders>
              <w:bottom w:val="single" w:sz="8" w:color="auto"/>
            </w:tcBorders>
          </w:tcPr>
          <w:p>
            <w:pPr>
              <w:ind w:left="240"/>
              <w:spacing w:after="0" w:line="178" w:lineRule="exact"/>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w w:val="90"/>
              </w:rPr>
              <w:t>(4,534)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vMerge w:val="restart"/>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6"/>
                <w:szCs w:val="16"/>
                <w:color w:val="auto"/>
              </w:rPr>
              <w:t>Assets</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230,737</w:t>
            </w: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8"/>
              </w:rPr>
              <w:t>53,900</w:t>
            </w:r>
          </w:p>
        </w:tc>
        <w:tc>
          <w:tcPr>
            <w:tcW w:w="180" w:type="dxa"/>
            <w:vAlign w:val="bottom"/>
          </w:tcPr>
          <w:p>
            <w:pPr>
              <w:ind w:left="100"/>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52,259</w:t>
            </w:r>
          </w:p>
        </w:tc>
        <w:tc>
          <w:tcPr>
            <w:tcW w:w="760" w:type="dxa"/>
            <w:vAlign w:val="bottom"/>
          </w:tcPr>
          <w:p>
            <w:pPr>
              <w:jc w:val="right"/>
              <w:ind w:right="18"/>
              <w:spacing w:after="0"/>
              <w:rPr>
                <w:sz w:val="20"/>
                <w:szCs w:val="20"/>
                <w:color w:val="auto"/>
              </w:rPr>
            </w:pPr>
            <w:r>
              <w:rPr>
                <w:rFonts w:ascii="Arial" w:cs="Arial" w:eastAsia="Arial" w:hAnsi="Arial"/>
                <w:sz w:val="16"/>
                <w:szCs w:val="16"/>
                <w:color w:val="auto"/>
              </w:rPr>
              <w:t>$  7,035</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86"/>
              </w:rPr>
              <w:t>226,324</w:t>
            </w:r>
          </w:p>
        </w:tc>
        <w:tc>
          <w:tcPr>
            <w:tcW w:w="7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93"/>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58"/>
              <w:spacing w:after="0"/>
              <w:rPr>
                <w:sz w:val="20"/>
                <w:szCs w:val="20"/>
                <w:color w:val="auto"/>
              </w:rPr>
            </w:pPr>
            <w:r>
              <w:rPr>
                <w:rFonts w:ascii="Arial" w:cs="Arial" w:eastAsia="Arial" w:hAnsi="Arial"/>
                <w:sz w:val="16"/>
                <w:szCs w:val="16"/>
                <w:color w:val="auto"/>
                <w:w w:val="93"/>
              </w:rPr>
              <w:t>52,966</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5,985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7.</w:t>
      </w:r>
      <w:r>
        <w:rPr>
          <w:sz w:val="20"/>
          <w:szCs w:val="20"/>
          <w:color w:val="auto"/>
        </w:rPr>
        <w:tab/>
      </w:r>
      <w:r>
        <w:rPr>
          <w:rFonts w:ascii="Arial" w:cs="Arial" w:eastAsia="Arial" w:hAnsi="Arial"/>
          <w:sz w:val="14"/>
          <w:szCs w:val="14"/>
          <w:b w:val="1"/>
          <w:bCs w:val="1"/>
          <w:color w:val="auto"/>
        </w:rPr>
        <w:t>Recent Investing Activity</w:t>
      </w:r>
    </w:p>
    <w:p>
      <w:pPr>
        <w:spacing w:after="0" w:line="23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opening balance sheet for the Whirlaway Corporation (“Whirlaway”) acquisition on November 30, 2006 was adjusted during the third quarter. For the nine month period ended September 30, 2007, Goodwill increased by a net $1,246. The increase was from recording a deferred tax liability of $4,047 related to the differences in book and tax basis of fixed assets. This increase was offset by the elimination of tax indemnity liability of $2,667 to the former Whirlaway shareholder related to the tax basis of the fixed assets. Finally, Goodwill decreased by $134 as certain opening balance sheet liabilities were reduced to their proper values partially offset by legal costs related to the acquisition paid during 2007.</w:t>
      </w:r>
    </w:p>
    <w:p>
      <w:pPr>
        <w:spacing w:after="0" w:line="19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following pro-forma financial information shows the net sales, net income, and net income per share for the nine month period ended September 30, 2006, as though the acquisition of Whirlaway occurred at the beginning of 2006.</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354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Nine Months Ended September 30, 2006</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304,515</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Net income</w:t>
            </w:r>
          </w:p>
        </w:tc>
        <w:tc>
          <w:tcPr>
            <w:tcW w:w="35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12,583</w:t>
            </w: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Basic net income per share</w:t>
            </w:r>
          </w:p>
        </w:tc>
        <w:tc>
          <w:tcPr>
            <w:tcW w:w="3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0.73</w:t>
            </w:r>
          </w:p>
        </w:tc>
        <w:tc>
          <w:tcPr>
            <w:tcW w:w="20" w:type="dxa"/>
            <w:vAlign w:val="bottom"/>
          </w:tcPr>
          <w:p>
            <w:pPr>
              <w:spacing w:after="0"/>
              <w:rPr>
                <w:sz w:val="17"/>
                <w:szCs w:val="17"/>
                <w:color w:val="auto"/>
              </w:rPr>
            </w:pPr>
          </w:p>
        </w:tc>
      </w:tr>
      <w:tr>
        <w:trPr>
          <w:trHeight w:val="208"/>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Diluted net income per share</w:t>
            </w:r>
          </w:p>
        </w:tc>
        <w:tc>
          <w:tcPr>
            <w:tcW w:w="35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0.72</w:t>
            </w:r>
          </w:p>
        </w:tc>
        <w:tc>
          <w:tcPr>
            <w:tcW w:w="20" w:type="dxa"/>
            <w:vAlign w:val="bottom"/>
          </w:tcPr>
          <w:p>
            <w:pPr>
              <w:spacing w:after="0"/>
              <w:rPr>
                <w:sz w:val="18"/>
                <w:szCs w:val="18"/>
                <w:color w:val="auto"/>
              </w:rPr>
            </w:pPr>
          </w:p>
        </w:tc>
      </w:tr>
    </w:tbl>
    <w:p>
      <w:pPr>
        <w:spacing w:after="0" w:line="219"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8.</w:t>
      </w:r>
      <w:r>
        <w:rPr>
          <w:sz w:val="20"/>
          <w:szCs w:val="20"/>
          <w:color w:val="auto"/>
        </w:rPr>
        <w:tab/>
      </w:r>
      <w:r>
        <w:rPr>
          <w:rFonts w:ascii="Arial" w:cs="Arial" w:eastAsia="Arial" w:hAnsi="Arial"/>
          <w:sz w:val="13"/>
          <w:szCs w:val="13"/>
          <w:b w:val="1"/>
          <w:bCs w:val="1"/>
          <w:color w:val="auto"/>
        </w:rPr>
        <w:t>Pensions</w:t>
      </w:r>
    </w:p>
    <w:p>
      <w:pPr>
        <w:spacing w:after="0" w:line="23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We have a defined benefit pension plan covering the employees at our Eltmann, Germany facility. The benefits are based on the expected years of service; however, as the plan was curtailed in 2006, the plan will no longer incur service costs. The plan is unfunded. There were no prior service costs recognized in the three and nine month periods ended September 30, 2007 and 2006.</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259" w:right="279" w:bottom="1440" w:gutter="0" w:footer="0" w:header="0"/>
        </w:sectPr>
      </w:pPr>
    </w:p>
    <w:bookmarkStart w:id="13" w:name="page14"/>
    <w:bookmarkEnd w:id="13"/>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gridSpan w:val="2"/>
          </w:tcPr>
          <w:p>
            <w:pPr>
              <w:spacing w:after="0"/>
              <w:rPr>
                <w:sz w:val="20"/>
                <w:szCs w:val="20"/>
                <w:color w:val="auto"/>
              </w:rPr>
            </w:pPr>
            <w:r>
              <w:rPr>
                <w:rFonts w:ascii="Arial" w:cs="Arial" w:eastAsia="Arial" w:hAnsi="Arial"/>
                <w:sz w:val="16"/>
                <w:szCs w:val="16"/>
                <w:b w:val="1"/>
                <w:bCs w:val="1"/>
                <w:color w:val="auto"/>
              </w:rPr>
              <w:t>Components of Net Periodic Pension Cost:</w:t>
            </w: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389"/>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940" w:type="dxa"/>
            <w:vAlign w:val="bottom"/>
            <w:gridSpan w:val="4"/>
          </w:tcPr>
          <w:p>
            <w:pPr>
              <w:jc w:val="right"/>
              <w:ind w:right="78"/>
              <w:spacing w:after="0"/>
              <w:rPr>
                <w:sz w:val="20"/>
                <w:szCs w:val="20"/>
                <w:color w:val="auto"/>
              </w:rPr>
            </w:pPr>
            <w:r>
              <w:rPr>
                <w:rFonts w:ascii="Arial" w:cs="Arial" w:eastAsia="Arial" w:hAnsi="Arial"/>
                <w:sz w:val="16"/>
                <w:szCs w:val="16"/>
                <w:b w:val="1"/>
                <w:bCs w:val="1"/>
                <w:color w:val="auto"/>
              </w:rPr>
              <w:t>Three Months Ended</w:t>
            </w: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Nine Months Ended</w:t>
            </w:r>
          </w:p>
        </w:tc>
      </w:tr>
      <w:tr>
        <w:trPr>
          <w:trHeight w:val="197"/>
        </w:trPr>
        <w:tc>
          <w:tcPr>
            <w:tcW w:w="114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60" w:type="dxa"/>
            <w:vAlign w:val="bottom"/>
            <w:gridSpan w:val="3"/>
          </w:tcPr>
          <w:p>
            <w:pPr>
              <w:jc w:val="right"/>
              <w:ind w:right="338"/>
              <w:spacing w:after="0"/>
              <w:rPr>
                <w:sz w:val="20"/>
                <w:szCs w:val="20"/>
                <w:color w:val="auto"/>
              </w:rPr>
            </w:pPr>
            <w:r>
              <w:rPr>
                <w:rFonts w:ascii="Arial" w:cs="Arial" w:eastAsia="Arial" w:hAnsi="Arial"/>
                <w:sz w:val="16"/>
                <w:szCs w:val="16"/>
                <w:b w:val="1"/>
                <w:bCs w:val="1"/>
                <w:color w:val="auto"/>
                <w:w w:val="93"/>
              </w:rPr>
              <w:t>September 30,</w:t>
            </w:r>
          </w:p>
        </w:tc>
        <w:tc>
          <w:tcPr>
            <w:tcW w:w="1600" w:type="dxa"/>
            <w:vAlign w:val="bottom"/>
            <w:gridSpan w:val="3"/>
          </w:tcPr>
          <w:p>
            <w:pPr>
              <w:jc w:val="right"/>
              <w:ind w:right="158"/>
              <w:spacing w:after="0"/>
              <w:rPr>
                <w:sz w:val="20"/>
                <w:szCs w:val="20"/>
                <w:color w:val="auto"/>
              </w:rPr>
            </w:pPr>
            <w:r>
              <w:rPr>
                <w:rFonts w:ascii="Arial" w:cs="Arial" w:eastAsia="Arial" w:hAnsi="Arial"/>
                <w:sz w:val="16"/>
                <w:szCs w:val="16"/>
                <w:b w:val="1"/>
                <w:bCs w:val="1"/>
                <w:color w:val="auto"/>
              </w:rPr>
              <w:t>September 30,</w:t>
            </w:r>
          </w:p>
        </w:tc>
      </w:tr>
      <w:tr>
        <w:trPr>
          <w:trHeight w:val="218"/>
        </w:trPr>
        <w:tc>
          <w:tcPr>
            <w:tcW w:w="1140" w:type="dxa"/>
            <w:vAlign w:val="bottom"/>
          </w:tcPr>
          <w:p>
            <w:pPr>
              <w:spacing w:after="0"/>
              <w:rPr>
                <w:sz w:val="18"/>
                <w:szCs w:val="18"/>
                <w:color w:val="auto"/>
              </w:rPr>
            </w:pPr>
          </w:p>
        </w:tc>
        <w:tc>
          <w:tcPr>
            <w:tcW w:w="560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(In Thousands of Dollars)</w:t>
            </w:r>
          </w:p>
        </w:tc>
        <w:tc>
          <w:tcPr>
            <w:tcW w:w="960" w:type="dxa"/>
            <w:vAlign w:val="bottom"/>
            <w:tcBorders>
              <w:bottom w:val="single" w:sz="8" w:color="auto"/>
            </w:tcBorders>
            <w:gridSpan w:val="2"/>
          </w:tcPr>
          <w:p>
            <w:pPr>
              <w:jc w:val="right"/>
              <w:ind w:right="218"/>
              <w:spacing w:after="0"/>
              <w:rPr>
                <w:sz w:val="20"/>
                <w:szCs w:val="20"/>
                <w:color w:val="auto"/>
              </w:rPr>
            </w:pPr>
            <w:r>
              <w:rPr>
                <w:rFonts w:ascii="Arial" w:cs="Arial" w:eastAsia="Arial" w:hAnsi="Arial"/>
                <w:sz w:val="16"/>
                <w:szCs w:val="16"/>
                <w:b w:val="1"/>
                <w:bCs w:val="1"/>
                <w:color w:val="auto"/>
              </w:rPr>
              <w:t>2007</w:t>
            </w:r>
          </w:p>
        </w:tc>
        <w:tc>
          <w:tcPr>
            <w:tcW w:w="980" w:type="dxa"/>
            <w:vAlign w:val="bottom"/>
            <w:tcBorders>
              <w:bottom w:val="single" w:sz="8" w:color="auto"/>
            </w:tcBorders>
            <w:gridSpan w:val="2"/>
          </w:tcPr>
          <w:p>
            <w:pPr>
              <w:jc w:val="right"/>
              <w:ind w:right="238"/>
              <w:spacing w:after="0"/>
              <w:rPr>
                <w:sz w:val="20"/>
                <w:szCs w:val="20"/>
                <w:color w:val="auto"/>
              </w:rPr>
            </w:pPr>
            <w:r>
              <w:rPr>
                <w:rFonts w:ascii="Arial" w:cs="Arial" w:eastAsia="Arial" w:hAnsi="Arial"/>
                <w:sz w:val="16"/>
                <w:szCs w:val="16"/>
                <w:b w:val="1"/>
                <w:bCs w:val="1"/>
                <w:color w:val="auto"/>
              </w:rPr>
              <w:t>2006</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b w:val="1"/>
                <w:bCs w:val="1"/>
                <w:color w:val="auto"/>
              </w:rPr>
              <w:t>2007</w:t>
            </w:r>
          </w:p>
        </w:tc>
        <w:tc>
          <w:tcPr>
            <w:tcW w:w="800" w:type="dxa"/>
            <w:vAlign w:val="bottom"/>
            <w:tcBorders>
              <w:bottom w:val="single" w:sz="8" w:color="auto"/>
            </w:tcBorders>
            <w:gridSpan w:val="2"/>
          </w:tcPr>
          <w:p>
            <w:pPr>
              <w:jc w:val="right"/>
              <w:ind w:right="118"/>
              <w:spacing w:after="0"/>
              <w:rPr>
                <w:sz w:val="20"/>
                <w:szCs w:val="20"/>
                <w:color w:val="auto"/>
              </w:rPr>
            </w:pPr>
            <w:r>
              <w:rPr>
                <w:rFonts w:ascii="Arial" w:cs="Arial" w:eastAsia="Arial" w:hAnsi="Arial"/>
                <w:sz w:val="16"/>
                <w:szCs w:val="16"/>
                <w:b w:val="1"/>
                <w:bCs w:val="1"/>
                <w:color w:val="auto"/>
              </w:rPr>
              <w:t>2006</w:t>
            </w:r>
          </w:p>
        </w:tc>
      </w:tr>
      <w:tr>
        <w:trPr>
          <w:trHeight w:val="197"/>
        </w:trPr>
        <w:tc>
          <w:tcPr>
            <w:tcW w:w="114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6"/>
                <w:szCs w:val="16"/>
                <w:color w:val="auto"/>
              </w:rPr>
              <w:t>Service cost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27</w:t>
            </w:r>
          </w:p>
        </w:tc>
        <w:tc>
          <w:tcPr>
            <w:tcW w:w="80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79</w:t>
            </w:r>
          </w:p>
        </w:tc>
      </w:tr>
      <w:tr>
        <w:trPr>
          <w:trHeight w:val="197"/>
        </w:trPr>
        <w:tc>
          <w:tcPr>
            <w:tcW w:w="114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6"/>
                <w:szCs w:val="16"/>
                <w:color w:val="auto"/>
              </w:rPr>
              <w:t>Interest cost</w:t>
            </w:r>
          </w:p>
        </w:tc>
        <w:tc>
          <w:tcPr>
            <w:tcW w:w="480" w:type="dxa"/>
            <w:vAlign w:val="bottom"/>
          </w:tcPr>
          <w:p>
            <w:pPr>
              <w:spacing w:after="0"/>
              <w:rPr>
                <w:sz w:val="17"/>
                <w:szCs w:val="17"/>
                <w:color w:val="auto"/>
              </w:rPr>
            </w:pPr>
          </w:p>
        </w:tc>
        <w:tc>
          <w:tcPr>
            <w:tcW w:w="480" w:type="dxa"/>
            <w:vAlign w:val="bottom"/>
          </w:tcPr>
          <w:p>
            <w:pPr>
              <w:jc w:val="right"/>
              <w:ind w:right="198"/>
              <w:spacing w:after="0"/>
              <w:rPr>
                <w:sz w:val="20"/>
                <w:szCs w:val="20"/>
                <w:color w:val="auto"/>
              </w:rPr>
            </w:pPr>
            <w:r>
              <w:rPr>
                <w:rFonts w:ascii="Arial" w:cs="Arial" w:eastAsia="Arial" w:hAnsi="Arial"/>
                <w:sz w:val="16"/>
                <w:szCs w:val="16"/>
                <w:color w:val="auto"/>
              </w:rPr>
              <w:t>60</w:t>
            </w:r>
          </w:p>
        </w:tc>
        <w:tc>
          <w:tcPr>
            <w:tcW w:w="400" w:type="dxa"/>
            <w:vAlign w:val="bottom"/>
          </w:tcPr>
          <w:p>
            <w:pPr>
              <w:spacing w:after="0"/>
              <w:rPr>
                <w:sz w:val="17"/>
                <w:szCs w:val="17"/>
                <w:color w:val="auto"/>
              </w:rPr>
            </w:pPr>
          </w:p>
        </w:tc>
        <w:tc>
          <w:tcPr>
            <w:tcW w:w="580" w:type="dxa"/>
            <w:vAlign w:val="bottom"/>
          </w:tcPr>
          <w:p>
            <w:pPr>
              <w:jc w:val="right"/>
              <w:ind w:right="218"/>
              <w:spacing w:after="0"/>
              <w:rPr>
                <w:sz w:val="20"/>
                <w:szCs w:val="20"/>
                <w:color w:val="auto"/>
              </w:rPr>
            </w:pPr>
            <w:r>
              <w:rPr>
                <w:rFonts w:ascii="Arial" w:cs="Arial" w:eastAsia="Arial" w:hAnsi="Arial"/>
                <w:sz w:val="16"/>
                <w:szCs w:val="16"/>
                <w:color w:val="auto"/>
              </w:rPr>
              <w:t>66</w:t>
            </w:r>
          </w:p>
        </w:tc>
        <w:tc>
          <w:tcPr>
            <w:tcW w:w="800" w:type="dxa"/>
            <w:vAlign w:val="bottom"/>
          </w:tcPr>
          <w:p>
            <w:pPr>
              <w:jc w:val="right"/>
              <w:ind w:right="138"/>
              <w:spacing w:after="0"/>
              <w:rPr>
                <w:sz w:val="20"/>
                <w:szCs w:val="20"/>
                <w:color w:val="auto"/>
              </w:rPr>
            </w:pPr>
            <w:r>
              <w:rPr>
                <w:rFonts w:ascii="Arial" w:cs="Arial" w:eastAsia="Arial" w:hAnsi="Arial"/>
                <w:sz w:val="16"/>
                <w:szCs w:val="16"/>
                <w:color w:val="auto"/>
              </w:rPr>
              <w:t>176</w:t>
            </w:r>
          </w:p>
        </w:tc>
        <w:tc>
          <w:tcPr>
            <w:tcW w:w="340" w:type="dxa"/>
            <w:vAlign w:val="bottom"/>
          </w:tcPr>
          <w:p>
            <w:pPr>
              <w:spacing w:after="0"/>
              <w:rPr>
                <w:sz w:val="17"/>
                <w:szCs w:val="17"/>
                <w:color w:val="auto"/>
              </w:rPr>
            </w:pPr>
          </w:p>
        </w:tc>
        <w:tc>
          <w:tcPr>
            <w:tcW w:w="460" w:type="dxa"/>
            <w:vAlign w:val="bottom"/>
          </w:tcPr>
          <w:p>
            <w:pPr>
              <w:jc w:val="right"/>
              <w:ind w:right="98"/>
              <w:spacing w:after="0"/>
              <w:rPr>
                <w:sz w:val="20"/>
                <w:szCs w:val="20"/>
                <w:color w:val="auto"/>
              </w:rPr>
            </w:pPr>
            <w:r>
              <w:rPr>
                <w:rFonts w:ascii="Arial" w:cs="Arial" w:eastAsia="Arial" w:hAnsi="Arial"/>
                <w:sz w:val="16"/>
                <w:szCs w:val="16"/>
                <w:color w:val="auto"/>
                <w:w w:val="97"/>
              </w:rPr>
              <w:t>194</w:t>
            </w:r>
          </w:p>
        </w:tc>
      </w:tr>
      <w:tr>
        <w:trPr>
          <w:trHeight w:val="202"/>
        </w:trPr>
        <w:tc>
          <w:tcPr>
            <w:tcW w:w="114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4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1</w:t>
            </w:r>
          </w:p>
        </w:tc>
        <w:tc>
          <w:tcPr>
            <w:tcW w:w="4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6"/>
                <w:szCs w:val="16"/>
                <w:color w:val="auto"/>
              </w:rPr>
              <w:t>13</w:t>
            </w:r>
          </w:p>
        </w:tc>
        <w:tc>
          <w:tcPr>
            <w:tcW w:w="80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4</w:t>
            </w:r>
          </w:p>
        </w:tc>
        <w:tc>
          <w:tcPr>
            <w:tcW w:w="34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37</w:t>
            </w:r>
          </w:p>
        </w:tc>
      </w:tr>
      <w:tr>
        <w:trPr>
          <w:trHeight w:val="197"/>
        </w:trPr>
        <w:tc>
          <w:tcPr>
            <w:tcW w:w="1140" w:type="dxa"/>
            <w:vAlign w:val="bottom"/>
          </w:tcPr>
          <w:p>
            <w:pPr>
              <w:spacing w:after="0"/>
              <w:rPr>
                <w:sz w:val="17"/>
                <w:szCs w:val="17"/>
                <w:color w:val="auto"/>
              </w:rPr>
            </w:pPr>
          </w:p>
        </w:tc>
        <w:tc>
          <w:tcPr>
            <w:tcW w:w="5600" w:type="dxa"/>
            <w:vAlign w:val="bottom"/>
          </w:tcPr>
          <w:p>
            <w:pPr>
              <w:ind w:left="80"/>
              <w:spacing w:after="0"/>
              <w:rPr>
                <w:sz w:val="20"/>
                <w:szCs w:val="20"/>
                <w:color w:val="auto"/>
              </w:rPr>
            </w:pPr>
            <w:r>
              <w:rPr>
                <w:rFonts w:ascii="Arial" w:cs="Arial" w:eastAsia="Arial" w:hAnsi="Arial"/>
                <w:sz w:val="16"/>
                <w:szCs w:val="16"/>
                <w:color w:val="auto"/>
              </w:rPr>
              <w:t>Net periodic pension cost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61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97"/>
              </w:rPr>
              <w:t>106</w:t>
            </w:r>
          </w:p>
        </w:tc>
        <w:tc>
          <w:tcPr>
            <w:tcW w:w="80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$180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rPr>
              <w:t>310</w:t>
            </w:r>
          </w:p>
        </w:tc>
      </w:tr>
      <w:tr>
        <w:trPr>
          <w:trHeight w:val="20"/>
        </w:trPr>
        <w:tc>
          <w:tcPr>
            <w:tcW w:w="114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We expect to contribute approximately $240 to the Eltmann, Germany pension plan in 2007. As of September 30, 2007, approximately $180 of contributions had been made.</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Indemnity</w:t>
      </w:r>
    </w:p>
    <w:p>
      <w:pPr>
        <w:spacing w:after="0" w:line="239" w:lineRule="exact"/>
        <w:rPr>
          <w:sz w:val="20"/>
          <w:szCs w:val="20"/>
          <w:color w:val="auto"/>
        </w:rPr>
      </w:pPr>
    </w:p>
    <w:p>
      <w:pPr>
        <w:jc w:val="both"/>
        <w:ind w:right="140"/>
        <w:spacing w:after="0" w:line="273" w:lineRule="auto"/>
        <w:rPr>
          <w:sz w:val="20"/>
          <w:szCs w:val="20"/>
          <w:color w:val="auto"/>
        </w:rPr>
      </w:pPr>
      <w:r>
        <w:rPr>
          <w:rFonts w:ascii="Arial" w:cs="Arial" w:eastAsia="Arial" w:hAnsi="Arial"/>
          <w:sz w:val="16"/>
          <w:szCs w:val="16"/>
          <w:color w:val="auto"/>
        </w:rPr>
        <w:t>In accordance with Italian law, the Company has an unfunded severance plan covering our Pinerolo, Italy employees under which all employees at that location are entitled to receive severance indemnities upon termination of their employment. The table below summarizes the changes to the severance indemnity for the three and nine months ended September 30, 2007 and 2006:</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780" w:type="dxa"/>
            <w:vAlign w:val="bottom"/>
            <w:gridSpan w:val="2"/>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20" w:type="dxa"/>
            <w:vAlign w:val="bottom"/>
            <w:gridSpan w:val="3"/>
          </w:tcPr>
          <w:p>
            <w:pPr>
              <w:jc w:val="right"/>
              <w:ind w:right="58"/>
              <w:spacing w:after="0"/>
              <w:rPr>
                <w:sz w:val="20"/>
                <w:szCs w:val="20"/>
                <w:color w:val="auto"/>
              </w:rPr>
            </w:pPr>
            <w:r>
              <w:rPr>
                <w:rFonts w:ascii="Arial" w:cs="Arial" w:eastAsia="Arial" w:hAnsi="Arial"/>
                <w:sz w:val="16"/>
                <w:szCs w:val="16"/>
                <w:b w:val="1"/>
                <w:bCs w:val="1"/>
                <w:color w:val="auto"/>
                <w:w w:val="97"/>
              </w:rPr>
              <w:t>Nine Months Ended</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8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rPr>
              <w:t>September 30,</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4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Thousands of Dollars)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8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2"/>
          </w:tcPr>
          <w:p>
            <w:pPr>
              <w:jc w:val="center"/>
              <w:ind w:right="378"/>
              <w:spacing w:after="0"/>
              <w:rPr>
                <w:sz w:val="20"/>
                <w:szCs w:val="20"/>
                <w:color w:val="auto"/>
              </w:rPr>
            </w:pPr>
            <w:r>
              <w:rPr>
                <w:rFonts w:ascii="Arial" w:cs="Arial" w:eastAsia="Arial" w:hAnsi="Arial"/>
                <w:sz w:val="16"/>
                <w:szCs w:val="16"/>
                <w:b w:val="1"/>
                <w:bCs w:val="1"/>
                <w:color w:val="auto"/>
                <w:w w:val="89"/>
              </w:rPr>
              <w:t>2006</w:t>
            </w:r>
          </w:p>
        </w:tc>
        <w:tc>
          <w:tcPr>
            <w:tcW w:w="1360" w:type="dxa"/>
            <w:vAlign w:val="bottom"/>
            <w:tcBorders>
              <w:bottom w:val="single" w:sz="8" w:color="auto"/>
            </w:tcBorders>
            <w:gridSpan w:val="2"/>
          </w:tcPr>
          <w:p>
            <w:pPr>
              <w:jc w:val="right"/>
              <w:ind w:right="578"/>
              <w:spacing w:after="0"/>
              <w:rPr>
                <w:sz w:val="20"/>
                <w:szCs w:val="20"/>
                <w:color w:val="auto"/>
              </w:rPr>
            </w:pPr>
            <w:r>
              <w:rPr>
                <w:rFonts w:ascii="Arial" w:cs="Arial" w:eastAsia="Arial" w:hAnsi="Arial"/>
                <w:sz w:val="16"/>
                <w:szCs w:val="16"/>
                <w:b w:val="1"/>
                <w:bCs w:val="1"/>
                <w:color w:val="auto"/>
              </w:rPr>
              <w:t>2007</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2006</w:t>
            </w:r>
          </w:p>
        </w:tc>
        <w:tc>
          <w:tcPr>
            <w:tcW w:w="80" w:type="dxa"/>
            <w:vAlign w:val="bottom"/>
            <w:tcBorders>
              <w:bottom w:val="single" w:sz="8" w:color="auto"/>
            </w:tcBorders>
          </w:tcPr>
          <w:p>
            <w:pPr>
              <w:spacing w:after="0"/>
              <w:rPr>
                <w:sz w:val="19"/>
                <w:szCs w:val="19"/>
                <w:color w:val="auto"/>
              </w:rPr>
            </w:pPr>
          </w:p>
        </w:tc>
      </w:tr>
      <w:tr>
        <w:trPr>
          <w:trHeight w:val="197"/>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Beginning balance</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w w:val="94"/>
              </w:rPr>
              <w:t>(8,431)</w:t>
            </w:r>
          </w:p>
        </w:tc>
        <w:tc>
          <w:tcPr>
            <w:tcW w:w="280" w:type="dxa"/>
            <w:vAlign w:val="bottom"/>
            <w:shd w:val="clear" w:color="auto" w:fill="CCEEFF"/>
          </w:tcPr>
          <w:p>
            <w:pPr>
              <w:jc w:val="center"/>
              <w:ind w:left="38"/>
              <w:spacing w:after="0"/>
              <w:rPr>
                <w:sz w:val="20"/>
                <w:szCs w:val="20"/>
                <w:color w:val="auto"/>
              </w:rPr>
            </w:pPr>
            <w:r>
              <w:rPr>
                <w:rFonts w:ascii="Arial" w:cs="Arial" w:eastAsia="Arial" w:hAnsi="Arial"/>
                <w:sz w:val="16"/>
                <w:szCs w:val="16"/>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(7,369)</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w w:val="94"/>
              </w:rPr>
              <w:t>(8,020)</w:t>
            </w:r>
          </w:p>
        </w:tc>
        <w:tc>
          <w:tcPr>
            <w:tcW w:w="2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4"/>
              </w:rPr>
              <w:t>(6,644)</w:t>
            </w:r>
          </w:p>
        </w:tc>
      </w:tr>
      <w:tr>
        <w:trPr>
          <w:trHeight w:val="197"/>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Amounts accrued</w:t>
            </w:r>
          </w:p>
        </w:tc>
        <w:tc>
          <w:tcPr>
            <w:tcW w:w="900" w:type="dxa"/>
            <w:vAlign w:val="bottom"/>
          </w:tcPr>
          <w:p>
            <w:pPr>
              <w:spacing w:after="0"/>
              <w:rPr>
                <w:sz w:val="17"/>
                <w:szCs w:val="17"/>
                <w:color w:val="auto"/>
              </w:rPr>
            </w:pPr>
          </w:p>
        </w:tc>
        <w:tc>
          <w:tcPr>
            <w:tcW w:w="880" w:type="dxa"/>
            <w:vAlign w:val="bottom"/>
          </w:tcPr>
          <w:p>
            <w:pPr>
              <w:jc w:val="right"/>
              <w:ind w:right="298"/>
              <w:spacing w:after="0"/>
              <w:rPr>
                <w:sz w:val="20"/>
                <w:szCs w:val="20"/>
                <w:color w:val="auto"/>
              </w:rPr>
            </w:pPr>
            <w:r>
              <w:rPr>
                <w:rFonts w:ascii="Arial" w:cs="Arial" w:eastAsia="Arial" w:hAnsi="Arial"/>
                <w:sz w:val="16"/>
                <w:szCs w:val="16"/>
                <w:color w:val="auto"/>
              </w:rPr>
              <w:t>(300)</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(245)</w:t>
            </w:r>
          </w:p>
        </w:tc>
        <w:tc>
          <w:tcPr>
            <w:tcW w:w="620" w:type="dxa"/>
            <w:vAlign w:val="bottom"/>
          </w:tcPr>
          <w:p>
            <w:pPr>
              <w:spacing w:after="0"/>
              <w:rPr>
                <w:sz w:val="17"/>
                <w:szCs w:val="17"/>
                <w:color w:val="auto"/>
              </w:rPr>
            </w:pPr>
          </w:p>
        </w:tc>
        <w:tc>
          <w:tcPr>
            <w:tcW w:w="740" w:type="dxa"/>
            <w:vAlign w:val="bottom"/>
          </w:tcPr>
          <w:p>
            <w:pPr>
              <w:jc w:val="right"/>
              <w:ind w:right="158"/>
              <w:spacing w:after="0"/>
              <w:rPr>
                <w:sz w:val="20"/>
                <w:szCs w:val="20"/>
                <w:color w:val="auto"/>
              </w:rPr>
            </w:pPr>
            <w:r>
              <w:rPr>
                <w:rFonts w:ascii="Arial" w:cs="Arial" w:eastAsia="Arial" w:hAnsi="Arial"/>
                <w:sz w:val="16"/>
                <w:szCs w:val="16"/>
                <w:color w:val="auto"/>
              </w:rPr>
              <w:t>(885)</w:t>
            </w:r>
          </w:p>
        </w:tc>
        <w:tc>
          <w:tcPr>
            <w:tcW w:w="26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6"/>
                <w:szCs w:val="16"/>
                <w:color w:val="auto"/>
              </w:rPr>
              <w:t>(770)</w:t>
            </w:r>
          </w:p>
        </w:tc>
      </w:tr>
      <w:tr>
        <w:trPr>
          <w:trHeight w:val="197"/>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Payments</w:t>
            </w: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298"/>
              <w:spacing w:after="0"/>
              <w:rPr>
                <w:sz w:val="20"/>
                <w:szCs w:val="20"/>
                <w:color w:val="auto"/>
              </w:rPr>
            </w:pPr>
            <w:r>
              <w:rPr>
                <w:rFonts w:ascii="Arial" w:cs="Arial" w:eastAsia="Arial" w:hAnsi="Arial"/>
                <w:sz w:val="16"/>
                <w:szCs w:val="16"/>
                <w:color w:val="auto"/>
              </w:rPr>
              <w:t>729</w:t>
            </w: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6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158"/>
              <w:spacing w:after="0"/>
              <w:rPr>
                <w:sz w:val="20"/>
                <w:szCs w:val="20"/>
                <w:color w:val="auto"/>
              </w:rPr>
            </w:pPr>
            <w:r>
              <w:rPr>
                <w:rFonts w:ascii="Arial" w:cs="Arial" w:eastAsia="Arial" w:hAnsi="Arial"/>
                <w:sz w:val="16"/>
                <w:szCs w:val="16"/>
                <w:color w:val="auto"/>
              </w:rPr>
              <w:t>1,110</w:t>
            </w:r>
          </w:p>
        </w:tc>
        <w:tc>
          <w:tcPr>
            <w:tcW w:w="26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133</w:t>
            </w:r>
          </w:p>
        </w:tc>
      </w:tr>
      <w:tr>
        <w:trPr>
          <w:trHeight w:val="202"/>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Currency impacts</w:t>
            </w:r>
          </w:p>
        </w:tc>
        <w:tc>
          <w:tcPr>
            <w:tcW w:w="9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8"/>
              <w:spacing w:after="0"/>
              <w:rPr>
                <w:sz w:val="20"/>
                <w:szCs w:val="20"/>
                <w:color w:val="auto"/>
              </w:rPr>
            </w:pPr>
            <w:r>
              <w:rPr>
                <w:rFonts w:ascii="Arial" w:cs="Arial" w:eastAsia="Arial" w:hAnsi="Arial"/>
                <w:sz w:val="16"/>
                <w:szCs w:val="16"/>
                <w:color w:val="auto"/>
              </w:rPr>
              <w:t>(423)</w:t>
            </w:r>
          </w:p>
        </w:tc>
        <w:tc>
          <w:tcPr>
            <w:tcW w:w="2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6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6"/>
                <w:szCs w:val="16"/>
                <w:color w:val="auto"/>
              </w:rPr>
              <w:t>(630)</w:t>
            </w:r>
          </w:p>
        </w:tc>
        <w:tc>
          <w:tcPr>
            <w:tcW w:w="2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8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Ending balance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6"/>
                <w:szCs w:val="16"/>
                <w:color w:val="auto"/>
                <w:w w:val="94"/>
              </w:rPr>
              <w:t>(8,425)</w:t>
            </w:r>
          </w:p>
        </w:tc>
        <w:tc>
          <w:tcPr>
            <w:tcW w:w="280" w:type="dxa"/>
            <w:vAlign w:val="bottom"/>
            <w:tcBorders>
              <w:bottom w:val="single" w:sz="8" w:color="auto"/>
            </w:tcBorders>
            <w:shd w:val="clear" w:color="auto" w:fill="CCEEFF"/>
          </w:tcPr>
          <w:p>
            <w:pPr>
              <w:jc w:val="center"/>
              <w:ind w:left="38"/>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(7,748)</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w w:val="94"/>
              </w:rPr>
              <w:t>(8,425)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(7,748)</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30" w:lineRule="exact"/>
        <w:rPr>
          <w:sz w:val="20"/>
          <w:szCs w:val="20"/>
          <w:color w:val="auto"/>
        </w:rPr>
      </w:pPr>
    </w:p>
    <w:p>
      <w:pPr>
        <w:spacing w:after="0"/>
        <w:tabs>
          <w:tab w:leader="none" w:pos="660" w:val="left"/>
        </w:tabs>
        <w:rPr>
          <w:sz w:val="20"/>
          <w:szCs w:val="20"/>
          <w:color w:val="auto"/>
        </w:rPr>
      </w:pPr>
      <w:r>
        <w:rPr>
          <w:rFonts w:ascii="Arial" w:cs="Arial" w:eastAsia="Arial" w:hAnsi="Arial"/>
          <w:sz w:val="16"/>
          <w:szCs w:val="16"/>
          <w:b w:val="1"/>
          <w:bCs w:val="1"/>
          <w:color w:val="auto"/>
        </w:rPr>
        <w:t>Note 9.</w:t>
      </w:r>
      <w:r>
        <w:rPr>
          <w:sz w:val="20"/>
          <w:szCs w:val="20"/>
          <w:color w:val="auto"/>
        </w:rPr>
        <w:tab/>
      </w:r>
      <w:r>
        <w:rPr>
          <w:rFonts w:ascii="Arial" w:cs="Arial" w:eastAsia="Arial" w:hAnsi="Arial"/>
          <w:sz w:val="14"/>
          <w:szCs w:val="14"/>
          <w:b w:val="1"/>
          <w:bCs w:val="1"/>
          <w:color w:val="auto"/>
        </w:rPr>
        <w:t>New Accounting Pronouncements</w:t>
      </w:r>
    </w:p>
    <w:p>
      <w:pPr>
        <w:spacing w:after="0" w:line="239"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July 2006, the Financial Accounting Standards Board (“FASB”) issued Interpretation No. 48 ("FIN 48"), "Accounting for Uncertainty in Income Taxes—an Interpretation of SFAS 109 "Accounting for Income Taxes". FIN 48 prescribes a comprehensive model for how a company should recognize, measure, present, and disclose in its financial statements uncertain tax positions that a company has taken or expects to take on a tax return. Under FIN 48, the financial statements will reflect expected future tax consequences of such positions presuming the taxing authorities' full knowledge of the position and all relevant facts, but without considering time values. FIN 48 also revises disclosure requirements and introduces a prescriptive, annual, tabular roll-forward of the unrecognized tax benefits. FIN 48 is effective for fiscal years beginning after December 15, 2006. We adopted FIN 48 on January 1, 2007, and the effects on our consolidated financial position, liquidity, and results of operations were not material. See Note 16 for additional information.</w:t>
      </w:r>
    </w:p>
    <w:p>
      <w:pPr>
        <w:spacing w:after="0" w:line="19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 xml:space="preserve">In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which provides guidance on how to measure assets and liabilities that use fair value. SFAS 157 will apply whenever another US generally accepted accounting principal standard requires (or permits) assets or liabilities to be measured at fair value but does not expand the use of fair value to any new circumstances. This standard also will require additional disclosures in both annual and quarterly reports. SFAS 157 will be effective for financial statements issued for fiscal years beginning after November 15, 2007, and will be adopted by us beginning in the first quarter of 2008. We are currently evaluating the potential impact this standard may have on our consolidated financial position and results of operations, but do not believe the impact of the adoption will be material.</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In February 2007, the FASB issued SFAS No. 159, "The Fair Value Option for Financial Assets and Financial Liabilities—Including an amendment of FASB Statement No. 115." SFAS No. 159 permits companies to choose to measure many financial instruments and certain other items at fair value at specified election dates. Upon adoption, an entity shall report unrealized gains and losses on items for which the fair value option has been elected in earnings at each subsequent reporting date. Most of the provisions apply only to entities that elect the fair value option. However, the amendment to SFAS No. 115, "Accounting for Certain Investments in Debt and Equity Securities," applies to all entities with available for sale and trading securities. SFAS No. 159 will be effective as of the beginning of an entity's first fiscal year that begins after November 15, 2007. We are currently evaluating the effect SFAS No. 159 will have on our consolidated financial position, liquidity, or results of operations.</w:t>
      </w:r>
    </w:p>
    <w:p>
      <w:pPr>
        <w:sectPr>
          <w:pgSz w:w="11900" w:h="16838" w:orient="portrait"/>
          <w:cols w:equalWidth="0" w:num="1">
            <w:col w:w="11360"/>
          </w:cols>
          <w:pgMar w:left="240" w:top="703" w:right="299" w:bottom="1440" w:gutter="0" w:footer="0" w:header="0"/>
        </w:sectPr>
      </w:pPr>
    </w:p>
    <w:p>
      <w:pPr>
        <w:spacing w:after="0" w:line="202"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Note 10.</w:t>
      </w:r>
      <w:r>
        <w:rPr>
          <w:sz w:val="20"/>
          <w:szCs w:val="20"/>
          <w:color w:val="auto"/>
        </w:rPr>
        <w:tab/>
      </w:r>
      <w:r>
        <w:rPr>
          <w:rFonts w:ascii="Arial" w:cs="Arial" w:eastAsia="Arial" w:hAnsi="Arial"/>
          <w:sz w:val="15"/>
          <w:szCs w:val="15"/>
          <w:b w:val="1"/>
          <w:bCs w:val="1"/>
          <w:color w:val="auto"/>
        </w:rPr>
        <w:t>Long-Term Debt and Short-Term Debt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Long-term debt at September 30, 2007 and December 31, 2006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left="1440" w:right="120" w:hanging="295"/>
        <w:spacing w:after="0" w:line="273" w:lineRule="auto"/>
        <w:rPr>
          <w:sz w:val="20"/>
          <w:szCs w:val="20"/>
          <w:color w:val="auto"/>
        </w:rPr>
      </w:pPr>
      <w:r>
        <w:rPr>
          <w:rFonts w:ascii="Arial" w:cs="Arial" w:eastAsia="Arial" w:hAnsi="Arial"/>
          <w:sz w:val="16"/>
          <w:szCs w:val="16"/>
          <w:color w:val="auto"/>
        </w:rPr>
        <w:t>Borrowings under our $135,000 revolving credit facility bearing interest at a floating rate equal to LIBOR (5.23% at September 30, 2007) plus an applicable margin of 0.60 to 0.925, expiring September 20,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-389890</wp:posOffset>
            </wp:positionV>
            <wp:extent cx="5801995" cy="375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01995" cy="375920"/>
                    </a:xfrm>
                    <a:prstGeom prst="rect">
                      <a:avLst/>
                    </a:prstGeom>
                    <a:noFill/>
                  </pic:spPr>
                </pic:pic>
              </a:graphicData>
            </a:graphic>
          </wp:anchor>
        </w:drawing>
      </w:r>
    </w:p>
    <w:p>
      <w:pPr>
        <w:spacing w:after="0" w:line="141" w:lineRule="exact"/>
        <w:rPr>
          <w:sz w:val="20"/>
          <w:szCs w:val="20"/>
          <w:color w:val="auto"/>
        </w:rPr>
      </w:pPr>
    </w:p>
    <w:p>
      <w:pPr>
        <w:ind w:left="1440" w:right="60" w:hanging="295"/>
        <w:spacing w:after="0" w:line="299" w:lineRule="auto"/>
        <w:rPr>
          <w:sz w:val="20"/>
          <w:szCs w:val="20"/>
          <w:color w:val="auto"/>
        </w:rPr>
      </w:pPr>
      <w:r>
        <w:rPr>
          <w:rFonts w:ascii="Arial" w:cs="Arial" w:eastAsia="Arial" w:hAnsi="Arial"/>
          <w:sz w:val="15"/>
          <w:szCs w:val="15"/>
          <w:color w:val="auto"/>
        </w:rPr>
        <w:t>Borrowings under our $40,000 aggregate principal amount of senior notes bearing interest at a fixed rate of 4.89% maturing on April 26, 2014. Annual principal payments of $5,714 begin on April 26, 2008 and extend through the date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-400685</wp:posOffset>
            </wp:positionV>
            <wp:extent cx="5801995" cy="375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01995" cy="375920"/>
                    </a:xfrm>
                    <a:prstGeom prst="rect">
                      <a:avLst/>
                    </a:prstGeom>
                    <a:noFill/>
                  </pic:spPr>
                </pic:pic>
              </a:graphicData>
            </a:graphic>
          </wp:anchor>
        </w:drawing>
      </w:r>
    </w:p>
    <w:p>
      <w:pPr>
        <w:spacing w:after="0" w:line="125" w:lineRule="exact"/>
        <w:rPr>
          <w:sz w:val="20"/>
          <w:szCs w:val="20"/>
          <w:color w:val="auto"/>
        </w:rPr>
      </w:pPr>
    </w:p>
    <w:p>
      <w:pPr>
        <w:ind w:left="1440" w:hanging="295"/>
        <w:spacing w:after="0" w:line="267" w:lineRule="auto"/>
        <w:rPr>
          <w:sz w:val="20"/>
          <w:szCs w:val="20"/>
          <w:color w:val="auto"/>
        </w:rPr>
      </w:pPr>
      <w:r>
        <w:rPr>
          <w:rFonts w:ascii="Arial" w:cs="Arial" w:eastAsia="Arial" w:hAnsi="Arial"/>
          <w:sz w:val="16"/>
          <w:szCs w:val="16"/>
          <w:color w:val="auto"/>
        </w:rPr>
        <w:t>Long term note payable with customer related to acquiring equipment from customer as part of long term supply agreement. Note carries a 0% rate of interest. Interest on this note has been imputed at a rate of 5.41%. Note is paid down by applying a fixed amount per piece purchased by customer.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-511175</wp:posOffset>
            </wp:positionV>
            <wp:extent cx="5801995" cy="501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01995" cy="501015"/>
                    </a:xfrm>
                    <a:prstGeom prst="rect">
                      <a:avLst/>
                    </a:prstGeom>
                    <a:noFill/>
                  </pic:spPr>
                </pic:pic>
              </a:graphicData>
            </a:graphic>
          </wp:anchor>
        </w:drawing>
      </w:r>
    </w:p>
    <w:p>
      <w:pPr>
        <w:spacing w:after="0" w:line="148"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-108585</wp:posOffset>
            </wp:positionV>
            <wp:extent cx="5801995" cy="1250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01995" cy="125095"/>
                    </a:xfrm>
                    <a:prstGeom prst="rect">
                      <a:avLst/>
                    </a:prstGeom>
                    <a:noFill/>
                  </pic:spPr>
                </pic:pic>
              </a:graphicData>
            </a:graphic>
          </wp:anchor>
        </w:drawing>
        <w:drawing>
          <wp:anchor simplePos="0" relativeHeight="251657728" behindDoc="1" locked="0" layoutInCell="0" allowOverlap="1">
            <wp:simplePos x="0" y="0"/>
            <wp:positionH relativeFrom="column">
              <wp:posOffset>727075</wp:posOffset>
            </wp:positionH>
            <wp:positionV relativeFrom="paragraph">
              <wp:posOffset>141605</wp:posOffset>
            </wp:positionV>
            <wp:extent cx="5801995" cy="140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01995" cy="140970"/>
                    </a:xfrm>
                    <a:prstGeom prst="rect">
                      <a:avLst/>
                    </a:prstGeom>
                    <a:noFill/>
                  </pic:spPr>
                </pic:pic>
              </a:graphicData>
            </a:graphic>
          </wp:anchor>
        </w:drawing>
      </w:r>
    </w:p>
    <w:p>
      <w:pPr>
        <w:spacing w:after="0" w:line="215" w:lineRule="exact"/>
        <w:rPr>
          <w:sz w:val="20"/>
          <w:szCs w:val="20"/>
          <w:color w:val="auto"/>
        </w:rPr>
      </w:pPr>
    </w:p>
    <w:p>
      <w:pPr>
        <w:ind w:left="1580"/>
        <w:spacing w:after="0"/>
        <w:rPr>
          <w:sz w:val="20"/>
          <w:szCs w:val="20"/>
          <w:color w:val="auto"/>
        </w:rPr>
      </w:pPr>
      <w:r>
        <w:rPr>
          <w:rFonts w:ascii="Arial" w:cs="Arial" w:eastAsia="Arial" w:hAnsi="Arial"/>
          <w:sz w:val="16"/>
          <w:szCs w:val="16"/>
          <w:color w:val="auto"/>
        </w:rPr>
        <w:t>Less current maturities of long-term debt</w:t>
      </w:r>
    </w:p>
    <w:p>
      <w:pPr>
        <w:spacing w:after="0" w:line="211" w:lineRule="exact"/>
        <w:rPr>
          <w:sz w:val="20"/>
          <w:szCs w:val="20"/>
          <w:color w:val="auto"/>
        </w:rPr>
      </w:pPr>
    </w:p>
    <w:p>
      <w:pPr>
        <w:ind w:left="1740" w:right="260" w:hanging="147"/>
        <w:spacing w:after="0" w:line="289" w:lineRule="auto"/>
        <w:rPr>
          <w:sz w:val="20"/>
          <w:szCs w:val="20"/>
          <w:color w:val="auto"/>
        </w:rPr>
      </w:pPr>
      <w:r>
        <w:rPr>
          <w:rFonts w:ascii="Arial" w:cs="Arial" w:eastAsia="Arial" w:hAnsi="Arial"/>
          <w:sz w:val="16"/>
          <w:szCs w:val="16"/>
          <w:color w:val="auto"/>
        </w:rPr>
        <w:t>Long-term debt, excluding current maturities of long-term debt and related party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-273050</wp:posOffset>
            </wp:positionV>
            <wp:extent cx="5801995" cy="2508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01995" cy="2508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70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September 30,</w:t>
            </w:r>
          </w:p>
        </w:tc>
        <w:tc>
          <w:tcPr>
            <w:tcW w:w="1420" w:type="dxa"/>
            <w:vAlign w:val="bottom"/>
            <w:gridSpan w:val="2"/>
          </w:tcPr>
          <w:p>
            <w:pPr>
              <w:jc w:val="center"/>
              <w:ind w:right="58"/>
              <w:spacing w:after="0"/>
              <w:rPr>
                <w:sz w:val="20"/>
                <w:szCs w:val="20"/>
                <w:color w:val="auto"/>
              </w:rPr>
            </w:pPr>
            <w:r>
              <w:rPr>
                <w:rFonts w:ascii="Arial" w:cs="Arial" w:eastAsia="Arial" w:hAnsi="Arial"/>
                <w:sz w:val="16"/>
                <w:szCs w:val="16"/>
                <w:b w:val="1"/>
                <w:bCs w:val="1"/>
                <w:color w:val="auto"/>
                <w:w w:val="92"/>
              </w:rPr>
              <w:t>December 31,</w:t>
            </w:r>
          </w:p>
        </w:tc>
      </w:tr>
      <w:tr>
        <w:trPr>
          <w:trHeight w:val="218"/>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b w:val="1"/>
                <w:bCs w:val="1"/>
                <w:color w:val="auto"/>
              </w:rPr>
              <w:t>2006</w:t>
            </w:r>
          </w:p>
        </w:tc>
        <w:tc>
          <w:tcPr>
            <w:tcW w:w="500" w:type="dxa"/>
            <w:vAlign w:val="bottom"/>
            <w:tcBorders>
              <w:bottom w:val="single" w:sz="8" w:color="auto"/>
            </w:tcBorders>
          </w:tcPr>
          <w:p>
            <w:pPr>
              <w:spacing w:after="0"/>
              <w:rPr>
                <w:sz w:val="18"/>
                <w:szCs w:val="18"/>
                <w:color w:val="auto"/>
              </w:rPr>
            </w:pPr>
          </w:p>
        </w:tc>
      </w:tr>
      <w:tr>
        <w:trPr>
          <w:trHeight w:val="788"/>
        </w:trPr>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64,452</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8"/>
              </w:rPr>
              <w:t>39,466</w:t>
            </w:r>
          </w:p>
        </w:tc>
      </w:tr>
      <w:tr>
        <w:trPr>
          <w:trHeight w:val="789"/>
        </w:trPr>
        <w:tc>
          <w:tcPr>
            <w:tcW w:w="1000" w:type="dxa"/>
            <w:vAlign w:val="bottom"/>
          </w:tcPr>
          <w:p>
            <w:pPr>
              <w:spacing w:after="0"/>
              <w:rPr>
                <w:sz w:val="24"/>
                <w:szCs w:val="24"/>
                <w:color w:val="auto"/>
              </w:rPr>
            </w:pPr>
          </w:p>
        </w:tc>
        <w:tc>
          <w:tcPr>
            <w:tcW w:w="700" w:type="dxa"/>
            <w:vAlign w:val="bottom"/>
          </w:tcPr>
          <w:p>
            <w:pPr>
              <w:jc w:val="right"/>
              <w:ind w:right="58"/>
              <w:spacing w:after="0"/>
              <w:rPr>
                <w:sz w:val="20"/>
                <w:szCs w:val="20"/>
                <w:color w:val="auto"/>
              </w:rPr>
            </w:pPr>
            <w:r>
              <w:rPr>
                <w:rFonts w:ascii="Arial" w:cs="Arial" w:eastAsia="Arial" w:hAnsi="Arial"/>
                <w:sz w:val="16"/>
                <w:szCs w:val="16"/>
                <w:color w:val="auto"/>
              </w:rPr>
              <w:t>40,000</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40,000</w:t>
            </w:r>
          </w:p>
        </w:tc>
      </w:tr>
      <w:tr>
        <w:trPr>
          <w:trHeight w:val="968"/>
        </w:trPr>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1,213</w:t>
            </w: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2,096</w:t>
            </w:r>
          </w:p>
        </w:tc>
      </w:tr>
      <w:tr>
        <w:trPr>
          <w:trHeight w:val="393"/>
        </w:trPr>
        <w:tc>
          <w:tcPr>
            <w:tcW w:w="1000" w:type="dxa"/>
            <w:vAlign w:val="bottom"/>
          </w:tcPr>
          <w:p>
            <w:pPr>
              <w:spacing w:after="0"/>
              <w:rPr>
                <w:sz w:val="24"/>
                <w:szCs w:val="24"/>
                <w:color w:val="auto"/>
              </w:rPr>
            </w:pPr>
          </w:p>
        </w:tc>
        <w:tc>
          <w:tcPr>
            <w:tcW w:w="700" w:type="dxa"/>
            <w:vAlign w:val="bottom"/>
          </w:tcPr>
          <w:p>
            <w:pPr>
              <w:jc w:val="right"/>
              <w:ind w:right="58"/>
              <w:spacing w:after="0"/>
              <w:rPr>
                <w:sz w:val="20"/>
                <w:szCs w:val="20"/>
                <w:color w:val="auto"/>
              </w:rPr>
            </w:pPr>
            <w:r>
              <w:rPr>
                <w:rFonts w:ascii="Arial" w:cs="Arial" w:eastAsia="Arial" w:hAnsi="Arial"/>
                <w:sz w:val="16"/>
                <w:szCs w:val="16"/>
                <w:color w:val="auto"/>
                <w:w w:val="93"/>
              </w:rPr>
              <w:t>105,665</w:t>
            </w:r>
          </w:p>
        </w:tc>
        <w:tc>
          <w:tcPr>
            <w:tcW w:w="9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81,562</w:t>
            </w:r>
          </w:p>
        </w:tc>
      </w:tr>
      <w:tr>
        <w:trPr>
          <w:trHeight w:val="401"/>
        </w:trPr>
        <w:tc>
          <w:tcPr>
            <w:tcW w:w="10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8,151</w:t>
            </w: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542"/>
        </w:trPr>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97,514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80,711</w:t>
            </w:r>
          </w:p>
        </w:tc>
      </w:tr>
      <w:tr>
        <w:trPr>
          <w:trHeight w:val="20"/>
        </w:trPr>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9" w:lineRule="exact"/>
        <w:rPr>
          <w:sz w:val="20"/>
          <w:szCs w:val="20"/>
          <w:color w:val="auto"/>
        </w:rPr>
      </w:pPr>
    </w:p>
    <w:p>
      <w:pPr>
        <w:sectPr>
          <w:pgSz w:w="11900" w:h="16838" w:orient="portrait"/>
          <w:cols w:equalWidth="0" w:num="2">
            <w:col w:w="7140" w:space="20"/>
            <w:col w:w="4200"/>
          </w:cols>
          <w:pgMar w:left="240" w:top="703" w:right="299" w:bottom="1440" w:gutter="0" w:footer="0" w:header="0"/>
          <w:type w:val="continuous"/>
        </w:sectPr>
      </w:pPr>
    </w:p>
    <w:p>
      <w:pPr>
        <w:ind w:right="20"/>
        <w:spacing w:after="0" w:line="273" w:lineRule="auto"/>
        <w:rPr>
          <w:sz w:val="20"/>
          <w:szCs w:val="20"/>
          <w:color w:val="auto"/>
        </w:rPr>
      </w:pPr>
      <w:r>
        <w:rPr>
          <w:rFonts w:ascii="Arial" w:cs="Arial" w:eastAsia="Arial" w:hAnsi="Arial"/>
          <w:sz w:val="16"/>
          <w:szCs w:val="16"/>
          <w:color w:val="auto"/>
        </w:rPr>
        <w:t>On May 30, 2007, we entered into an agreement to amend our $90,000 credit facility to increase the total commitment from $90,000 to $135,000. Other than the increase in the total commitment, the other terms of the credit facility remained substantially the same. The Company incurred $114 of cost related to this amendment which has been capitalized.</w:t>
      </w:r>
    </w:p>
    <w:p>
      <w:pPr>
        <w:spacing w:after="0" w:line="186"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The increase in borrowings under the $135,000 credit facility is related primarily to the payment of $18,600 in related party notes payable in connection with the Whirlaway acquisition. As of September 30, 2007, $1,222 of capitalized loan origination cost, net of amortization, for both facilities was recorded on the balance sheet within other assets and additions are presented in the Financing Activities section of the Statements of Cash Flows.</w:t>
      </w:r>
    </w:p>
    <w:p>
      <w:pPr>
        <w:spacing w:after="0" w:line="186" w:lineRule="exact"/>
        <w:rPr>
          <w:sz w:val="20"/>
          <w:szCs w:val="20"/>
          <w:color w:val="auto"/>
        </w:rPr>
      </w:pPr>
    </w:p>
    <w:p>
      <w:pPr>
        <w:ind w:right="540"/>
        <w:spacing w:after="0" w:line="289" w:lineRule="auto"/>
        <w:rPr>
          <w:sz w:val="20"/>
          <w:szCs w:val="20"/>
          <w:color w:val="auto"/>
        </w:rPr>
      </w:pPr>
      <w:r>
        <w:rPr>
          <w:rFonts w:ascii="Arial" w:cs="Arial" w:eastAsia="Arial" w:hAnsi="Arial"/>
          <w:sz w:val="16"/>
          <w:szCs w:val="16"/>
          <w:color w:val="auto"/>
        </w:rPr>
        <w:t>The Company received an amendment to the $135,000 credit facility, retroactive to June 30, 2007, that amends the definitions of certain components of the financial covenant calculations to exclude the negative</w:t>
      </w:r>
    </w:p>
    <w:p>
      <w:pPr>
        <w:spacing w:after="0" w:line="30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60"/>
          </w:cols>
          <w:pgMar w:left="240" w:top="703" w:right="299" w:bottom="1440" w:gutter="0" w:footer="0" w:header="0"/>
          <w:type w:val="continuous"/>
        </w:sectPr>
      </w:pPr>
    </w:p>
    <w:bookmarkStart w:id="15" w:name="page16"/>
    <w:bookmarkEnd w:id="15"/>
    <w:p>
      <w:pPr>
        <w:jc w:val="center"/>
        <w:ind w:right="-5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impact of non-cash restructuring and impairment charges.</w:t>
      </w:r>
    </w:p>
    <w:p>
      <w:pPr>
        <w:spacing w:after="0" w:line="23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As a result of the Company’s cash management system including all U.S. operations, checks issued but not presented to the banks for payment may create negative book cash balances. Such negative balances are included in accounts payable and totaled $878 and $784 as of September 30, 2007 and December 31, 2006, respectively, with the change in the balances reported in the Financing Activities section of the Consolidated Statements of Cash Flows.</w:t>
      </w:r>
    </w:p>
    <w:p>
      <w:pPr>
        <w:spacing w:after="0" w:line="20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Note 11.</w:t>
      </w:r>
      <w:r>
        <w:rPr>
          <w:sz w:val="20"/>
          <w:szCs w:val="20"/>
          <w:color w:val="auto"/>
        </w:rPr>
        <w:tab/>
      </w:r>
      <w:r>
        <w:rPr>
          <w:rFonts w:ascii="Arial" w:cs="Arial" w:eastAsia="Arial" w:hAnsi="Arial"/>
          <w:sz w:val="15"/>
          <w:szCs w:val="15"/>
          <w:b w:val="1"/>
          <w:bCs w:val="1"/>
          <w:color w:val="auto"/>
        </w:rPr>
        <w:t>Goodwill</w:t>
      </w: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The changes in the carrying amount of goodwill for the nine month period ended September 30, 2007 and the twelve month period ended December 31, 2006 are as follows: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Goodwill</w:t>
      </w:r>
    </w:p>
    <w:p>
      <w:pPr>
        <w:spacing w:after="0" w:line="200" w:lineRule="exact"/>
        <w:rPr>
          <w:sz w:val="20"/>
          <w:szCs w:val="20"/>
          <w:color w:val="auto"/>
        </w:rPr>
      </w:pP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2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89"/>
              </w:rPr>
              <w:t>Plastic and</w:t>
            </w:r>
          </w:p>
        </w:tc>
        <w:tc>
          <w:tcPr>
            <w:tcW w:w="1360" w:type="dxa"/>
            <w:vAlign w:val="bottom"/>
            <w:gridSpan w:val="2"/>
          </w:tcPr>
          <w:p>
            <w:pPr>
              <w:jc w:val="center"/>
              <w:ind w:right="218"/>
              <w:spacing w:after="0"/>
              <w:rPr>
                <w:sz w:val="20"/>
                <w:szCs w:val="20"/>
                <w:color w:val="auto"/>
              </w:rPr>
            </w:pPr>
            <w:r>
              <w:rPr>
                <w:rFonts w:ascii="Arial" w:cs="Arial" w:eastAsia="Arial" w:hAnsi="Arial"/>
                <w:sz w:val="16"/>
                <w:szCs w:val="16"/>
                <w:b w:val="1"/>
                <w:bCs w:val="1"/>
                <w:color w:val="auto"/>
              </w:rPr>
              <w:t>Metal</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600" w:type="dxa"/>
            <w:vAlign w:val="bottom"/>
            <w:gridSpan w:val="2"/>
          </w:tcPr>
          <w:p>
            <w:pPr>
              <w:jc w:val="right"/>
              <w:ind w:right="238"/>
              <w:spacing w:after="0"/>
              <w:rPr>
                <w:sz w:val="20"/>
                <w:szCs w:val="20"/>
                <w:color w:val="auto"/>
              </w:rPr>
            </w:pPr>
            <w:r>
              <w:rPr>
                <w:rFonts w:ascii="Arial" w:cs="Arial" w:eastAsia="Arial" w:hAnsi="Arial"/>
                <w:sz w:val="16"/>
                <w:szCs w:val="16"/>
                <w:b w:val="1"/>
                <w:bCs w:val="1"/>
                <w:color w:val="auto"/>
              </w:rPr>
              <w:t>Precision Metal</w:t>
            </w:r>
          </w:p>
        </w:tc>
        <w:tc>
          <w:tcPr>
            <w:tcW w:w="1420" w:type="dxa"/>
            <w:vAlign w:val="bottom"/>
            <w:gridSpan w:val="2"/>
          </w:tcPr>
          <w:p>
            <w:pPr>
              <w:jc w:val="center"/>
              <w:ind w:right="158"/>
              <w:spacing w:after="0"/>
              <w:rPr>
                <w:sz w:val="20"/>
                <w:szCs w:val="20"/>
                <w:color w:val="auto"/>
              </w:rPr>
            </w:pPr>
            <w:r>
              <w:rPr>
                <w:rFonts w:ascii="Arial" w:cs="Arial" w:eastAsia="Arial" w:hAnsi="Arial"/>
                <w:sz w:val="16"/>
                <w:szCs w:val="16"/>
                <w:b w:val="1"/>
                <w:bCs w:val="1"/>
                <w:color w:val="auto"/>
                <w:w w:val="96"/>
              </w:rPr>
              <w:t>Rubber</w:t>
            </w:r>
          </w:p>
        </w:tc>
        <w:tc>
          <w:tcPr>
            <w:tcW w:w="1360" w:type="dxa"/>
            <w:vAlign w:val="bottom"/>
            <w:gridSpan w:val="2"/>
          </w:tcPr>
          <w:p>
            <w:pPr>
              <w:jc w:val="center"/>
              <w:ind w:right="198"/>
              <w:spacing w:after="0"/>
              <w:rPr>
                <w:sz w:val="20"/>
                <w:szCs w:val="20"/>
                <w:color w:val="auto"/>
              </w:rPr>
            </w:pPr>
            <w:r>
              <w:rPr>
                <w:rFonts w:ascii="Arial" w:cs="Arial" w:eastAsia="Arial" w:hAnsi="Arial"/>
                <w:sz w:val="16"/>
                <w:szCs w:val="16"/>
                <w:b w:val="1"/>
                <w:bCs w:val="1"/>
                <w:color w:val="auto"/>
                <w:w w:val="93"/>
              </w:rPr>
              <w:t>Bearing</w:t>
            </w: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1600" w:type="dxa"/>
            <w:vAlign w:val="bottom"/>
            <w:gridSpan w:val="2"/>
          </w:tcPr>
          <w:p>
            <w:pPr>
              <w:jc w:val="right"/>
              <w:ind w:right="338"/>
              <w:spacing w:after="0"/>
              <w:rPr>
                <w:sz w:val="20"/>
                <w:szCs w:val="20"/>
                <w:color w:val="auto"/>
              </w:rPr>
            </w:pPr>
            <w:r>
              <w:rPr>
                <w:rFonts w:ascii="Arial" w:cs="Arial" w:eastAsia="Arial" w:hAnsi="Arial"/>
                <w:sz w:val="16"/>
                <w:szCs w:val="16"/>
                <w:b w:val="1"/>
                <w:bCs w:val="1"/>
                <w:color w:val="auto"/>
              </w:rPr>
              <w:t>Components</w:t>
            </w:r>
          </w:p>
        </w:tc>
        <w:tc>
          <w:tcPr>
            <w:tcW w:w="1420" w:type="dxa"/>
            <w:vAlign w:val="bottom"/>
            <w:gridSpan w:val="2"/>
          </w:tcPr>
          <w:p>
            <w:pPr>
              <w:jc w:val="center"/>
              <w:ind w:right="138"/>
              <w:spacing w:after="0"/>
              <w:rPr>
                <w:sz w:val="20"/>
                <w:szCs w:val="20"/>
                <w:color w:val="auto"/>
              </w:rPr>
            </w:pPr>
            <w:r>
              <w:rPr>
                <w:rFonts w:ascii="Arial" w:cs="Arial" w:eastAsia="Arial" w:hAnsi="Arial"/>
                <w:sz w:val="16"/>
                <w:szCs w:val="16"/>
                <w:b w:val="1"/>
                <w:bCs w:val="1"/>
                <w:color w:val="auto"/>
                <w:w w:val="89"/>
              </w:rPr>
              <w:t>Components</w:t>
            </w:r>
          </w:p>
        </w:tc>
        <w:tc>
          <w:tcPr>
            <w:tcW w:w="1360" w:type="dxa"/>
            <w:vAlign w:val="bottom"/>
            <w:gridSpan w:val="2"/>
          </w:tcPr>
          <w:p>
            <w:pPr>
              <w:jc w:val="center"/>
              <w:ind w:right="198"/>
              <w:spacing w:after="0"/>
              <w:rPr>
                <w:sz w:val="20"/>
                <w:szCs w:val="20"/>
                <w:color w:val="auto"/>
              </w:rPr>
            </w:pPr>
            <w:r>
              <w:rPr>
                <w:rFonts w:ascii="Arial" w:cs="Arial" w:eastAsia="Arial" w:hAnsi="Arial"/>
                <w:sz w:val="16"/>
                <w:szCs w:val="16"/>
                <w:b w:val="1"/>
                <w:bCs w:val="1"/>
                <w:color w:val="auto"/>
                <w:w w:val="89"/>
              </w:rPr>
              <w:t>Components</w:t>
            </w: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720" w:type="dxa"/>
            <w:vAlign w:val="bottom"/>
            <w:gridSpan w:val="2"/>
          </w:tcPr>
          <w:p>
            <w:pPr>
              <w:spacing w:after="0"/>
              <w:rPr>
                <w:sz w:val="20"/>
                <w:szCs w:val="20"/>
                <w:color w:val="auto"/>
              </w:rPr>
            </w:pPr>
            <w:r>
              <w:rPr>
                <w:rFonts w:ascii="Arial" w:cs="Arial" w:eastAsia="Arial" w:hAnsi="Arial"/>
                <w:sz w:val="16"/>
                <w:szCs w:val="16"/>
                <w:color w:val="auto"/>
              </w:rPr>
              <w:t>(In Thousands of Dollars)</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Segment</w:t>
            </w:r>
          </w:p>
        </w:tc>
        <w:tc>
          <w:tcPr>
            <w:tcW w:w="560" w:type="dxa"/>
            <w:vAlign w:val="bottom"/>
          </w:tcPr>
          <w:p>
            <w:pPr>
              <w:spacing w:after="0"/>
              <w:rPr>
                <w:sz w:val="19"/>
                <w:szCs w:val="19"/>
                <w:color w:val="auto"/>
              </w:rPr>
            </w:pPr>
          </w:p>
        </w:tc>
        <w:tc>
          <w:tcPr>
            <w:tcW w:w="142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Segment</w:t>
            </w:r>
          </w:p>
        </w:tc>
        <w:tc>
          <w:tcPr>
            <w:tcW w:w="1360" w:type="dxa"/>
            <w:vAlign w:val="bottom"/>
            <w:gridSpan w:val="2"/>
          </w:tcPr>
          <w:p>
            <w:pPr>
              <w:jc w:val="right"/>
              <w:ind w:right="458"/>
              <w:spacing w:after="0"/>
              <w:rPr>
                <w:sz w:val="20"/>
                <w:szCs w:val="20"/>
                <w:color w:val="auto"/>
              </w:rPr>
            </w:pPr>
            <w:r>
              <w:rPr>
                <w:rFonts w:ascii="Arial" w:cs="Arial" w:eastAsia="Arial" w:hAnsi="Arial"/>
                <w:sz w:val="16"/>
                <w:szCs w:val="16"/>
                <w:b w:val="1"/>
                <w:bCs w:val="1"/>
                <w:color w:val="auto"/>
              </w:rPr>
              <w:t>Segment</w:t>
            </w:r>
          </w:p>
        </w:tc>
        <w:tc>
          <w:tcPr>
            <w:tcW w:w="106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370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Balance as of January 1, 2006</w:t>
            </w:r>
          </w:p>
        </w:tc>
        <w:tc>
          <w:tcPr>
            <w:tcW w:w="104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38"/>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58"/>
              <w:spacing w:after="0"/>
              <w:rPr>
                <w:sz w:val="20"/>
                <w:szCs w:val="20"/>
                <w:color w:val="auto"/>
              </w:rPr>
            </w:pPr>
            <w:r>
              <w:rPr>
                <w:rFonts w:ascii="Arial" w:cs="Arial" w:eastAsia="Arial" w:hAnsi="Arial"/>
                <w:sz w:val="16"/>
                <w:szCs w:val="16"/>
                <w:color w:val="auto"/>
                <w:w w:val="98"/>
              </w:rPr>
              <w:t>25,755</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tcBorders>
          </w:tcPr>
          <w:p>
            <w:pPr>
              <w:jc w:val="right"/>
              <w:ind w:right="178"/>
              <w:spacing w:after="0"/>
              <w:rPr>
                <w:sz w:val="20"/>
                <w:szCs w:val="20"/>
                <w:color w:val="auto"/>
              </w:rPr>
            </w:pPr>
            <w:r>
              <w:rPr>
                <w:rFonts w:ascii="Arial" w:cs="Arial" w:eastAsia="Arial" w:hAnsi="Arial"/>
                <w:sz w:val="16"/>
                <w:szCs w:val="16"/>
                <w:color w:val="auto"/>
              </w:rPr>
              <w:t>15,893</w:t>
            </w:r>
          </w:p>
        </w:tc>
        <w:tc>
          <w:tcPr>
            <w:tcW w:w="480" w:type="dxa"/>
            <w:vAlign w:val="bottom"/>
            <w:tcBorders>
              <w:top w:val="single" w:sz="8" w:color="auto"/>
            </w:tcBorders>
          </w:tcPr>
          <w:p>
            <w:pPr>
              <w:jc w:val="center"/>
              <w:ind w:left="198"/>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41,648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2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Arial" w:cs="Arial" w:eastAsia="Arial" w:hAnsi="Arial"/>
                <w:sz w:val="16"/>
                <w:szCs w:val="16"/>
                <w:color w:val="auto"/>
              </w:rPr>
              <w:t>Goodwill acquired</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98"/>
              <w:spacing w:after="0"/>
              <w:rPr>
                <w:sz w:val="20"/>
                <w:szCs w:val="20"/>
                <w:color w:val="auto"/>
              </w:rPr>
            </w:pPr>
            <w:r>
              <w:rPr>
                <w:rFonts w:ascii="Arial" w:cs="Arial" w:eastAsia="Arial" w:hAnsi="Arial"/>
                <w:sz w:val="16"/>
                <w:szCs w:val="16"/>
                <w:color w:val="auto"/>
                <w:w w:val="89"/>
              </w:rPr>
              <w:t>2,352</w:t>
            </w:r>
          </w:p>
        </w:tc>
        <w:tc>
          <w:tcPr>
            <w:tcW w:w="780" w:type="dxa"/>
            <w:vAlign w:val="bottom"/>
          </w:tcPr>
          <w:p>
            <w:pPr>
              <w:spacing w:after="0"/>
              <w:rPr>
                <w:sz w:val="24"/>
                <w:szCs w:val="24"/>
                <w:color w:val="auto"/>
              </w:rPr>
            </w:pPr>
          </w:p>
        </w:tc>
        <w:tc>
          <w:tcPr>
            <w:tcW w:w="640" w:type="dxa"/>
            <w:vAlign w:val="bottom"/>
          </w:tcPr>
          <w:p>
            <w:pPr>
              <w:jc w:val="right"/>
              <w:ind w:right="38"/>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24"/>
                <w:szCs w:val="24"/>
                <w:color w:val="auto"/>
              </w:rPr>
            </w:pPr>
          </w:p>
        </w:tc>
        <w:tc>
          <w:tcPr>
            <w:tcW w:w="780" w:type="dxa"/>
            <w:vAlign w:val="bottom"/>
          </w:tcPr>
          <w:p>
            <w:pPr>
              <w:jc w:val="right"/>
              <w:ind w:right="15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2,352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Currency impacts</w:t>
            </w:r>
          </w:p>
        </w:tc>
        <w:tc>
          <w:tcPr>
            <w:tcW w:w="10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158"/>
              <w:spacing w:after="0"/>
              <w:rPr>
                <w:sz w:val="20"/>
                <w:szCs w:val="20"/>
                <w:color w:val="auto"/>
              </w:rPr>
            </w:pPr>
            <w:r>
              <w:rPr>
                <w:rFonts w:ascii="Arial" w:cs="Arial" w:eastAsia="Arial" w:hAnsi="Arial"/>
                <w:sz w:val="16"/>
                <w:szCs w:val="16"/>
                <w:color w:val="auto"/>
              </w:rPr>
              <w:t>2,147</w:t>
            </w:r>
          </w:p>
        </w:tc>
        <w:tc>
          <w:tcPr>
            <w:tcW w:w="48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3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December 31, 2006</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99"/>
              </w:rPr>
              <w:t>2,352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25,755</w:t>
            </w:r>
          </w:p>
        </w:tc>
        <w:tc>
          <w:tcPr>
            <w:tcW w:w="1360" w:type="dxa"/>
            <w:vAlign w:val="bottom"/>
            <w:tcBorders>
              <w:bottom w:val="single" w:sz="8" w:color="auto"/>
            </w:tcBorders>
            <w:gridSpan w:val="2"/>
            <w:shd w:val="clear" w:color="auto" w:fill="CCEEFF"/>
          </w:tcPr>
          <w:p>
            <w:pPr>
              <w:jc w:val="right"/>
              <w:ind w:right="118"/>
              <w:spacing w:after="0"/>
              <w:rPr>
                <w:sz w:val="20"/>
                <w:szCs w:val="20"/>
                <w:color w:val="auto"/>
              </w:rPr>
            </w:pPr>
            <w:r>
              <w:rPr>
                <w:rFonts w:ascii="Arial" w:cs="Arial" w:eastAsia="Arial" w:hAnsi="Arial"/>
                <w:sz w:val="16"/>
                <w:szCs w:val="16"/>
                <w:color w:val="auto"/>
              </w:rPr>
              <w:t>$ 18,040</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46,147</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vMerge w:val="restart"/>
          </w:tcPr>
          <w:p>
            <w:pPr>
              <w:spacing w:after="0"/>
              <w:rPr>
                <w:sz w:val="16"/>
                <w:szCs w:val="16"/>
                <w:color w:val="auto"/>
              </w:rPr>
            </w:pPr>
          </w:p>
        </w:tc>
        <w:tc>
          <w:tcPr>
            <w:tcW w:w="3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6"/>
                <w:szCs w:val="16"/>
                <w:color w:val="auto"/>
              </w:rPr>
              <w:t>Balance as of January 1, 2007</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99"/>
              </w:rPr>
              <w:t>2,352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25,755</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18,040</w:t>
            </w:r>
          </w:p>
        </w:tc>
        <w:tc>
          <w:tcPr>
            <w:tcW w:w="480" w:type="dxa"/>
            <w:vAlign w:val="bottom"/>
            <w:shd w:val="clear" w:color="auto" w:fill="CCEEFF"/>
          </w:tcPr>
          <w:p>
            <w:pPr>
              <w:jc w:val="center"/>
              <w:ind w:left="198"/>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700" w:type="dxa"/>
            <w:vAlign w:val="bottom"/>
          </w:tcPr>
          <w:p>
            <w:pPr>
              <w:ind w:left="140"/>
              <w:spacing w:after="0"/>
              <w:rPr>
                <w:sz w:val="20"/>
                <w:szCs w:val="20"/>
                <w:color w:val="auto"/>
              </w:rPr>
            </w:pPr>
            <w:r>
              <w:rPr>
                <w:rFonts w:ascii="Arial" w:cs="Arial" w:eastAsia="Arial" w:hAnsi="Arial"/>
                <w:sz w:val="16"/>
                <w:szCs w:val="16"/>
                <w:color w:val="auto"/>
              </w:rPr>
              <w:t>Adjustment to the purchase price</w:t>
            </w:r>
          </w:p>
        </w:tc>
        <w:tc>
          <w:tcPr>
            <w:tcW w:w="10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6"/>
                <w:szCs w:val="16"/>
                <w:color w:val="auto"/>
              </w:rPr>
              <w:t>Allocation</w:t>
            </w:r>
          </w:p>
        </w:tc>
        <w:tc>
          <w:tcPr>
            <w:tcW w:w="1040" w:type="dxa"/>
            <w:vAlign w:val="bottom"/>
          </w:tcPr>
          <w:p>
            <w:pPr>
              <w:spacing w:after="0"/>
              <w:rPr>
                <w:sz w:val="18"/>
                <w:szCs w:val="18"/>
                <w:color w:val="auto"/>
              </w:rPr>
            </w:pPr>
          </w:p>
        </w:tc>
        <w:tc>
          <w:tcPr>
            <w:tcW w:w="560" w:type="dxa"/>
            <w:vAlign w:val="bottom"/>
          </w:tcPr>
          <w:p>
            <w:pPr>
              <w:jc w:val="right"/>
              <w:ind w:right="58"/>
              <w:spacing w:after="0"/>
              <w:rPr>
                <w:sz w:val="20"/>
                <w:szCs w:val="20"/>
                <w:color w:val="auto"/>
              </w:rPr>
            </w:pPr>
            <w:r>
              <w:rPr>
                <w:rFonts w:ascii="Arial" w:cs="Arial" w:eastAsia="Arial" w:hAnsi="Arial"/>
                <w:sz w:val="16"/>
                <w:szCs w:val="16"/>
                <w:color w:val="auto"/>
                <w:w w:val="99"/>
              </w:rPr>
              <w:t>1,246</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780" w:type="dxa"/>
            <w:vAlign w:val="bottom"/>
          </w:tcPr>
          <w:p>
            <w:pPr>
              <w:jc w:val="right"/>
              <w:ind w:right="118"/>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1,246</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 impaired</w:t>
            </w:r>
          </w:p>
        </w:tc>
        <w:tc>
          <w:tcPr>
            <w:tcW w:w="104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w w:val="93"/>
              </w:rPr>
              <w:t>(10,016)</w:t>
            </w:r>
          </w:p>
        </w:tc>
        <w:tc>
          <w:tcPr>
            <w:tcW w:w="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00" w:type="dxa"/>
            <w:vAlign w:val="bottom"/>
          </w:tcPr>
          <w:p>
            <w:pPr>
              <w:ind w:left="140"/>
              <w:spacing w:after="0"/>
              <w:rPr>
                <w:sz w:val="20"/>
                <w:szCs w:val="20"/>
                <w:color w:val="auto"/>
              </w:rPr>
            </w:pPr>
            <w:r>
              <w:rPr>
                <w:rFonts w:ascii="Arial" w:cs="Arial" w:eastAsia="Arial" w:hAnsi="Arial"/>
                <w:sz w:val="16"/>
                <w:szCs w:val="16"/>
                <w:color w:val="auto"/>
              </w:rPr>
              <w:t>Currency impacts</w:t>
            </w:r>
          </w:p>
        </w:tc>
        <w:tc>
          <w:tcPr>
            <w:tcW w:w="10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1,133</w:t>
            </w:r>
          </w:p>
        </w:tc>
        <w:tc>
          <w:tcPr>
            <w:tcW w:w="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September 30, 2007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99"/>
              </w:rPr>
              <w:t>3,598</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25,755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9,157</w:t>
            </w:r>
          </w:p>
        </w:tc>
        <w:tc>
          <w:tcPr>
            <w:tcW w:w="480" w:type="dxa"/>
            <w:vAlign w:val="bottom"/>
            <w:tcBorders>
              <w:bottom w:val="single" w:sz="8" w:color="auto"/>
            </w:tcBorders>
            <w:shd w:val="clear" w:color="auto" w:fill="CCEEFF"/>
          </w:tcPr>
          <w:p>
            <w:pPr>
              <w:jc w:val="center"/>
              <w:ind w:left="198"/>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$1,246 adjustment to the purchase price allocation in the Precision Metal Components Segment during the nine months ended September 30, 2007 related to recording a deferred tax liability for the difference in book and tax basis of fixed assets ($4,047) offset by the elimination of a tax indemnity to the former shareholder of Whirlaway related to the tax basis of the fixed assets ($2,667). Additionally, there were legal costs paid subsequent to the year ended December 31, 2006 for the acquisition of Whirlaway offset by adjustments to certain beginning liability balances.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goodwill impairment at our Metal Bearing Components Segment related to the decision to restructure the European operations of this segment (see Note</w:t>
      </w:r>
    </w:p>
    <w:p>
      <w:pPr>
        <w:spacing w:after="0" w:line="24" w:lineRule="exact"/>
        <w:rPr>
          <w:sz w:val="20"/>
          <w:szCs w:val="20"/>
          <w:color w:val="auto"/>
        </w:rPr>
      </w:pPr>
    </w:p>
    <w:p>
      <w:pPr>
        <w:ind w:right="100"/>
        <w:spacing w:after="0" w:line="291" w:lineRule="auto"/>
        <w:rPr>
          <w:sz w:val="20"/>
          <w:szCs w:val="20"/>
          <w:color w:val="auto"/>
        </w:rPr>
      </w:pPr>
      <w:r>
        <w:rPr>
          <w:rFonts w:ascii="Arial" w:cs="Arial" w:eastAsia="Arial" w:hAnsi="Arial"/>
          <w:sz w:val="15"/>
          <w:szCs w:val="15"/>
          <w:color w:val="auto"/>
        </w:rPr>
        <w:t>2). Accordingly, the goodwill was tested for impairment at locations affected by the planned restructuring using a present value of future expected cash flows method performed pursuant to the provision of SFAS 142. The implied fair value of the goodwill was less than the carrying amount of the goodwill at one European reporting unit and an impairment charge of $10,016 was included within the restructuring and impairment charges of the Consolidated Statements of Income.</w:t>
      </w:r>
    </w:p>
    <w:p>
      <w:pPr>
        <w:spacing w:after="0" w:line="200" w:lineRule="exact"/>
        <w:rPr>
          <w:sz w:val="20"/>
          <w:szCs w:val="20"/>
          <w:color w:val="auto"/>
        </w:rPr>
      </w:pPr>
    </w:p>
    <w:p>
      <w:pPr>
        <w:spacing w:after="0" w:line="33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80"/>
          </w:cols>
          <w:pgMar w:left="240" w:top="703" w:right="27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20" w:type="dxa"/>
            <w:vAlign w:val="bottom"/>
          </w:tcPr>
          <w:p>
            <w:pPr>
              <w:spacing w:after="0"/>
              <w:rPr>
                <w:sz w:val="20"/>
                <w:szCs w:val="20"/>
                <w:color w:val="auto"/>
              </w:rPr>
            </w:pPr>
            <w:r>
              <w:rPr>
                <w:rFonts w:ascii="Arial" w:cs="Arial" w:eastAsia="Arial" w:hAnsi="Arial"/>
                <w:sz w:val="16"/>
                <w:szCs w:val="16"/>
                <w:b w:val="1"/>
                <w:bCs w:val="1"/>
                <w:color w:val="auto"/>
              </w:rPr>
              <w:t>Note 12.</w:t>
            </w:r>
          </w:p>
        </w:tc>
        <w:tc>
          <w:tcPr>
            <w:tcW w:w="5140" w:type="dxa"/>
            <w:vAlign w:val="bottom"/>
            <w:gridSpan w:val="3"/>
          </w:tcPr>
          <w:p>
            <w:pPr>
              <w:ind w:left="140"/>
              <w:spacing w:after="0"/>
              <w:rPr>
                <w:sz w:val="20"/>
                <w:szCs w:val="20"/>
                <w:color w:val="auto"/>
              </w:rPr>
            </w:pPr>
            <w:r>
              <w:rPr>
                <w:rFonts w:ascii="Arial" w:cs="Arial" w:eastAsia="Arial" w:hAnsi="Arial"/>
                <w:sz w:val="16"/>
                <w:szCs w:val="16"/>
                <w:b w:val="1"/>
                <w:bCs w:val="1"/>
                <w:color w:val="auto"/>
              </w:rPr>
              <w:t>Intangible assets, net of amortization</w:t>
            </w: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6"/>
        </w:trPr>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2"/>
          </w:tcPr>
          <w:p>
            <w:pPr>
              <w:jc w:val="center"/>
              <w:ind w:right="118"/>
              <w:spacing w:after="0"/>
              <w:rPr>
                <w:sz w:val="20"/>
                <w:szCs w:val="20"/>
                <w:color w:val="auto"/>
              </w:rPr>
            </w:pPr>
            <w:r>
              <w:rPr>
                <w:rFonts w:ascii="Arial" w:cs="Arial" w:eastAsia="Arial" w:hAnsi="Arial"/>
                <w:sz w:val="16"/>
                <w:szCs w:val="16"/>
                <w:b w:val="1"/>
                <w:bCs w:val="1"/>
                <w:color w:val="auto"/>
                <w:w w:val="93"/>
              </w:rPr>
              <w:t>Precision Metal</w:t>
            </w:r>
          </w:p>
        </w:tc>
        <w:tc>
          <w:tcPr>
            <w:tcW w:w="142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97"/>
              </w:rPr>
              <w:t>Metal Bearing</w:t>
            </w: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gridSpan w:val="2"/>
          </w:tcPr>
          <w:p>
            <w:pPr>
              <w:jc w:val="center"/>
              <w:ind w:right="98"/>
              <w:spacing w:after="0"/>
              <w:rPr>
                <w:sz w:val="20"/>
                <w:szCs w:val="20"/>
                <w:color w:val="auto"/>
              </w:rPr>
            </w:pPr>
            <w:r>
              <w:rPr>
                <w:rFonts w:ascii="Arial" w:cs="Arial" w:eastAsia="Arial" w:hAnsi="Arial"/>
                <w:sz w:val="16"/>
                <w:szCs w:val="16"/>
                <w:b w:val="1"/>
                <w:bCs w:val="1"/>
                <w:color w:val="auto"/>
                <w:w w:val="89"/>
              </w:rPr>
              <w:t>Components</w:t>
            </w:r>
          </w:p>
        </w:tc>
        <w:tc>
          <w:tcPr>
            <w:tcW w:w="142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91"/>
              </w:rPr>
              <w:t>Components</w:t>
            </w: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tcPr>
          <w:p>
            <w:pPr>
              <w:jc w:val="center"/>
              <w:ind w:left="298"/>
              <w:spacing w:after="0"/>
              <w:rPr>
                <w:sz w:val="20"/>
                <w:szCs w:val="20"/>
                <w:color w:val="auto"/>
              </w:rPr>
            </w:pPr>
            <w:r>
              <w:rPr>
                <w:rFonts w:ascii="Arial" w:cs="Arial" w:eastAsia="Arial" w:hAnsi="Arial"/>
                <w:sz w:val="16"/>
                <w:szCs w:val="16"/>
                <w:b w:val="1"/>
                <w:bCs w:val="1"/>
                <w:color w:val="auto"/>
                <w:w w:val="88"/>
              </w:rPr>
              <w:t>Segment</w:t>
            </w:r>
          </w:p>
        </w:tc>
        <w:tc>
          <w:tcPr>
            <w:tcW w:w="560" w:type="dxa"/>
            <w:vAlign w:val="bottom"/>
          </w:tcPr>
          <w:p>
            <w:pPr>
              <w:spacing w:after="0"/>
              <w:rPr>
                <w:sz w:val="17"/>
                <w:szCs w:val="17"/>
                <w:color w:val="auto"/>
              </w:rPr>
            </w:pPr>
          </w:p>
        </w:tc>
        <w:tc>
          <w:tcPr>
            <w:tcW w:w="900" w:type="dxa"/>
            <w:vAlign w:val="bottom"/>
          </w:tcPr>
          <w:p>
            <w:pPr>
              <w:jc w:val="center"/>
              <w:ind w:left="138"/>
              <w:spacing w:after="0"/>
              <w:rPr>
                <w:sz w:val="20"/>
                <w:szCs w:val="20"/>
                <w:color w:val="auto"/>
              </w:rPr>
            </w:pPr>
            <w:r>
              <w:rPr>
                <w:rFonts w:ascii="Arial" w:cs="Arial" w:eastAsia="Arial" w:hAnsi="Arial"/>
                <w:sz w:val="16"/>
                <w:szCs w:val="16"/>
                <w:b w:val="1"/>
                <w:bCs w:val="1"/>
                <w:color w:val="auto"/>
                <w:w w:val="88"/>
              </w:rPr>
              <w:t>Segment</w:t>
            </w:r>
          </w:p>
        </w:tc>
        <w:tc>
          <w:tcPr>
            <w:tcW w:w="520" w:type="dxa"/>
            <w:vAlign w:val="bottom"/>
          </w:tcPr>
          <w:p>
            <w:pPr>
              <w:spacing w:after="0"/>
              <w:rPr>
                <w:sz w:val="17"/>
                <w:szCs w:val="17"/>
                <w:color w:val="auto"/>
              </w:rPr>
            </w:pPr>
          </w:p>
        </w:tc>
        <w:tc>
          <w:tcPr>
            <w:tcW w:w="820" w:type="dxa"/>
            <w:vAlign w:val="bottom"/>
          </w:tcPr>
          <w:p>
            <w:pPr>
              <w:jc w:val="center"/>
              <w:ind w:left="178"/>
              <w:spacing w:after="0"/>
              <w:rPr>
                <w:sz w:val="20"/>
                <w:szCs w:val="20"/>
                <w:color w:val="auto"/>
              </w:rPr>
            </w:pPr>
            <w:r>
              <w:rPr>
                <w:rFonts w:ascii="Arial" w:cs="Arial" w:eastAsia="Arial" w:hAnsi="Arial"/>
                <w:sz w:val="16"/>
                <w:szCs w:val="16"/>
                <w:b w:val="1"/>
                <w:bCs w:val="1"/>
                <w:color w:val="auto"/>
                <w:w w:val="94"/>
              </w:rPr>
              <w:t>Total</w:t>
            </w: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0" w:type="dxa"/>
            <w:vAlign w:val="bottom"/>
          </w:tcPr>
          <w:p>
            <w:pPr>
              <w:spacing w:after="0"/>
              <w:rPr>
                <w:sz w:val="18"/>
                <w:szCs w:val="18"/>
                <w:color w:val="auto"/>
              </w:rPr>
            </w:pPr>
          </w:p>
        </w:tc>
        <w:tc>
          <w:tcPr>
            <w:tcW w:w="5140" w:type="dxa"/>
            <w:vAlign w:val="bottom"/>
            <w:gridSpan w:val="3"/>
          </w:tcPr>
          <w:p>
            <w:pPr>
              <w:ind w:left="420"/>
              <w:spacing w:after="0"/>
              <w:rPr>
                <w:sz w:val="20"/>
                <w:szCs w:val="20"/>
                <w:color w:val="auto"/>
              </w:rPr>
            </w:pPr>
            <w:r>
              <w:rPr>
                <w:rFonts w:ascii="Arial" w:cs="Arial" w:eastAsia="Arial" w:hAnsi="Arial"/>
                <w:sz w:val="16"/>
                <w:szCs w:val="16"/>
                <w:color w:val="auto"/>
              </w:rPr>
              <w:t>(In Thousands of Dollars)</w:t>
            </w:r>
          </w:p>
        </w:tc>
        <w:tc>
          <w:tcPr>
            <w:tcW w:w="1220" w:type="dxa"/>
            <w:vAlign w:val="bottom"/>
          </w:tcPr>
          <w:p>
            <w:pPr>
              <w:jc w:val="center"/>
              <w:ind w:left="298"/>
              <w:spacing w:after="0"/>
              <w:rPr>
                <w:sz w:val="20"/>
                <w:szCs w:val="20"/>
                <w:color w:val="auto"/>
              </w:rPr>
            </w:pPr>
            <w:r>
              <w:rPr>
                <w:rFonts w:ascii="Arial" w:cs="Arial" w:eastAsia="Arial" w:hAnsi="Arial"/>
                <w:sz w:val="16"/>
                <w:szCs w:val="16"/>
                <w:b w:val="1"/>
                <w:bCs w:val="1"/>
                <w:color w:val="auto"/>
                <w:w w:val="91"/>
              </w:rPr>
              <w:t>As restated</w:t>
            </w:r>
          </w:p>
        </w:tc>
        <w:tc>
          <w:tcPr>
            <w:tcW w:w="560" w:type="dxa"/>
            <w:vAlign w:val="bottom"/>
          </w:tcPr>
          <w:p>
            <w:pPr>
              <w:spacing w:after="0"/>
              <w:rPr>
                <w:sz w:val="18"/>
                <w:szCs w:val="18"/>
                <w:color w:val="auto"/>
              </w:rPr>
            </w:pPr>
          </w:p>
        </w:tc>
        <w:tc>
          <w:tcPr>
            <w:tcW w:w="1420" w:type="dxa"/>
            <w:vAlign w:val="bottom"/>
            <w:gridSpan w:val="2"/>
          </w:tcPr>
          <w:p>
            <w:pPr>
              <w:jc w:val="center"/>
              <w:ind w:right="238"/>
              <w:spacing w:after="0"/>
              <w:rPr>
                <w:sz w:val="20"/>
                <w:szCs w:val="20"/>
                <w:color w:val="auto"/>
              </w:rPr>
            </w:pPr>
            <w:r>
              <w:rPr>
                <w:rFonts w:ascii="Arial" w:cs="Arial" w:eastAsia="Arial" w:hAnsi="Arial"/>
                <w:sz w:val="16"/>
                <w:szCs w:val="16"/>
                <w:b w:val="1"/>
                <w:bCs w:val="1"/>
                <w:color w:val="auto"/>
                <w:w w:val="89"/>
              </w:rPr>
              <w:t>As restated</w:t>
            </w:r>
          </w:p>
        </w:tc>
        <w:tc>
          <w:tcPr>
            <w:tcW w:w="124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9"/>
              </w:rPr>
              <w:t>As restated</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Balance as of January 1, 2006</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474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Acquisition of intangibles</w:t>
            </w:r>
          </w:p>
        </w:tc>
        <w:tc>
          <w:tcPr>
            <w:tcW w:w="1220" w:type="dxa"/>
            <w:vAlign w:val="bottom"/>
          </w:tcPr>
          <w:p>
            <w:pPr>
              <w:spacing w:after="0"/>
              <w:rPr>
                <w:sz w:val="17"/>
                <w:szCs w:val="17"/>
                <w:color w:val="auto"/>
              </w:rPr>
            </w:pPr>
          </w:p>
        </w:tc>
        <w:tc>
          <w:tcPr>
            <w:tcW w:w="560" w:type="dxa"/>
            <w:vAlign w:val="bottom"/>
          </w:tcPr>
          <w:p>
            <w:pPr>
              <w:jc w:val="right"/>
              <w:ind w:right="98"/>
              <w:spacing w:after="0"/>
              <w:rPr>
                <w:sz w:val="20"/>
                <w:szCs w:val="20"/>
                <w:color w:val="auto"/>
              </w:rPr>
            </w:pPr>
            <w:r>
              <w:rPr>
                <w:rFonts w:ascii="Arial" w:cs="Arial" w:eastAsia="Arial" w:hAnsi="Arial"/>
                <w:sz w:val="16"/>
                <w:szCs w:val="16"/>
                <w:color w:val="auto"/>
                <w:w w:val="89"/>
              </w:rPr>
              <w:t>7,180</w:t>
            </w:r>
          </w:p>
        </w:tc>
        <w:tc>
          <w:tcPr>
            <w:tcW w:w="900" w:type="dxa"/>
            <w:vAlign w:val="bottom"/>
          </w:tcPr>
          <w:p>
            <w:pPr>
              <w:spacing w:after="0"/>
              <w:rPr>
                <w:sz w:val="17"/>
                <w:szCs w:val="17"/>
                <w:color w:val="auto"/>
              </w:rPr>
            </w:pPr>
          </w:p>
        </w:tc>
        <w:tc>
          <w:tcPr>
            <w:tcW w:w="520" w:type="dxa"/>
            <w:vAlign w:val="bottom"/>
          </w:tcPr>
          <w:p>
            <w:pPr>
              <w:jc w:val="right"/>
              <w:ind w:right="58"/>
              <w:spacing w:after="0"/>
              <w:rPr>
                <w:sz w:val="20"/>
                <w:szCs w:val="20"/>
                <w:color w:val="auto"/>
              </w:rPr>
            </w:pPr>
            <w:r>
              <w:rPr>
                <w:rFonts w:ascii="Arial" w:cs="Arial" w:eastAsia="Arial" w:hAnsi="Arial"/>
                <w:sz w:val="16"/>
                <w:szCs w:val="16"/>
                <w:color w:val="auto"/>
                <w:w w:val="89"/>
              </w:rPr>
              <w:t>1,855</w:t>
            </w: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4"/>
              </w:rPr>
              <w:t>9,035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jc w:val="right"/>
              <w:ind w:right="98"/>
              <w:spacing w:after="0"/>
              <w:rPr>
                <w:sz w:val="20"/>
                <w:szCs w:val="20"/>
                <w:color w:val="auto"/>
              </w:rPr>
            </w:pPr>
            <w:r>
              <w:rPr>
                <w:rFonts w:ascii="Arial" w:cs="Arial" w:eastAsia="Arial" w:hAnsi="Arial"/>
                <w:sz w:val="16"/>
                <w:szCs w:val="16"/>
                <w:color w:val="auto"/>
              </w:rPr>
              <w:t>(39)</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96"/>
              </w:rPr>
              <w:t>(402)</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Currency impacts</w:t>
            </w:r>
          </w:p>
        </w:tc>
        <w:tc>
          <w:tcPr>
            <w:tcW w:w="1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163</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Balance as of December 31, 2006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w w:val="89"/>
              </w:rPr>
              <w:t>7,141</w:t>
            </w:r>
          </w:p>
        </w:tc>
        <w:tc>
          <w:tcPr>
            <w:tcW w:w="90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2,090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9,231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720" w:type="dxa"/>
            <w:vAlign w:val="bottom"/>
          </w:tcPr>
          <w:p>
            <w:pPr>
              <w:spacing w:after="0"/>
              <w:rPr>
                <w:sz w:val="18"/>
                <w:szCs w:val="18"/>
                <w:color w:val="auto"/>
              </w:rPr>
            </w:pPr>
          </w:p>
        </w:tc>
        <w:tc>
          <w:tcPr>
            <w:tcW w:w="420" w:type="dxa"/>
            <w:vAlign w:val="bottom"/>
            <w:vMerge w:val="restart"/>
          </w:tcPr>
          <w:p>
            <w:pPr>
              <w:spacing w:after="0"/>
              <w:rPr>
                <w:sz w:val="18"/>
                <w:szCs w:val="18"/>
                <w:color w:val="auto"/>
              </w:rPr>
            </w:pPr>
          </w:p>
        </w:tc>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vMerge w:val="continue"/>
          </w:tcPr>
          <w:p>
            <w:pPr>
              <w:spacing w:after="0"/>
              <w:rPr>
                <w:sz w:val="17"/>
                <w:szCs w:val="17"/>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Balance as of January 1, 2007</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7,141</w:t>
            </w:r>
          </w:p>
        </w:tc>
        <w:tc>
          <w:tcPr>
            <w:tcW w:w="90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89"/>
              </w:rPr>
              <w:t>2,090</w:t>
            </w: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9,231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2"/>
          </w:tcPr>
          <w:p>
            <w:pPr>
              <w:ind w:left="160"/>
              <w:spacing w:after="0"/>
              <w:rPr>
                <w:sz w:val="20"/>
                <w:szCs w:val="20"/>
                <w:color w:val="auto"/>
              </w:rPr>
            </w:pPr>
            <w:r>
              <w:rPr>
                <w:rFonts w:ascii="Arial" w:cs="Arial" w:eastAsia="Arial" w:hAnsi="Arial"/>
                <w:sz w:val="16"/>
                <w:szCs w:val="16"/>
                <w:color w:val="auto"/>
              </w:rPr>
              <w:t>Acquisition of intangibles</w:t>
            </w:r>
          </w:p>
        </w:tc>
        <w:tc>
          <w:tcPr>
            <w:tcW w:w="12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spacing w:after="0"/>
              <w:rPr>
                <w:sz w:val="17"/>
                <w:szCs w:val="17"/>
                <w:color w:val="auto"/>
              </w:rPr>
            </w:pPr>
          </w:p>
        </w:tc>
        <w:tc>
          <w:tcPr>
            <w:tcW w:w="520" w:type="dxa"/>
            <w:vAlign w:val="bottom"/>
          </w:tcPr>
          <w:p>
            <w:pPr>
              <w:jc w:val="right"/>
              <w:ind w:right="58"/>
              <w:spacing w:after="0"/>
              <w:rPr>
                <w:sz w:val="20"/>
                <w:szCs w:val="20"/>
                <w:color w:val="auto"/>
              </w:rPr>
            </w:pPr>
            <w:r>
              <w:rPr>
                <w:rFonts w:ascii="Arial" w:cs="Arial" w:eastAsia="Arial" w:hAnsi="Arial"/>
                <w:sz w:val="16"/>
                <w:szCs w:val="16"/>
                <w:color w:val="auto"/>
              </w:rPr>
              <w:t>173</w:t>
            </w:r>
          </w:p>
        </w:tc>
        <w:tc>
          <w:tcPr>
            <w:tcW w:w="82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Amortization</w:t>
            </w:r>
          </w:p>
        </w:tc>
        <w:tc>
          <w:tcPr>
            <w:tcW w:w="12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90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w w:val="96"/>
              </w:rPr>
              <w:t>(404)</w:t>
            </w: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700" w:type="dxa"/>
            <w:vAlign w:val="bottom"/>
          </w:tcPr>
          <w:p>
            <w:pPr>
              <w:ind w:left="160"/>
              <w:spacing w:after="0"/>
              <w:rPr>
                <w:sz w:val="20"/>
                <w:szCs w:val="20"/>
                <w:color w:val="auto"/>
              </w:rPr>
            </w:pPr>
            <w:r>
              <w:rPr>
                <w:rFonts w:ascii="Arial" w:cs="Arial" w:eastAsia="Arial" w:hAnsi="Arial"/>
                <w:sz w:val="16"/>
                <w:szCs w:val="16"/>
                <w:color w:val="auto"/>
              </w:rPr>
              <w:t>Currency impacts</w:t>
            </w: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58"/>
              <w:spacing w:after="0"/>
              <w:rPr>
                <w:sz w:val="20"/>
                <w:szCs w:val="20"/>
                <w:color w:val="auto"/>
              </w:rPr>
            </w:pPr>
            <w:r>
              <w:rPr>
                <w:rFonts w:ascii="Arial" w:cs="Arial" w:eastAsia="Arial" w:hAnsi="Arial"/>
                <w:sz w:val="16"/>
                <w:szCs w:val="16"/>
                <w:color w:val="auto"/>
              </w:rPr>
              <w:t>147</w:t>
            </w: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as of September 30, 2007</w:t>
            </w:r>
          </w:p>
        </w:tc>
        <w:tc>
          <w:tcPr>
            <w:tcW w:w="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6,695</w:t>
            </w:r>
          </w:p>
        </w:tc>
        <w:tc>
          <w:tcPr>
            <w:tcW w:w="900" w:type="dxa"/>
            <w:vAlign w:val="bottom"/>
            <w:tcBorders>
              <w:bottom w:val="single" w:sz="8" w:color="auto"/>
            </w:tcBorders>
            <w:shd w:val="clear" w:color="auto" w:fill="CCEEFF"/>
          </w:tcPr>
          <w:p>
            <w:pPr>
              <w:jc w:val="right"/>
              <w:ind w:right="198"/>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w w:val="89"/>
              </w:rPr>
              <w:t>2,006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8,701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5"/>
          <w:szCs w:val="15"/>
          <w:color w:val="auto"/>
        </w:rPr>
        <w:t>Of the intangible assets within the Precision Metal Components Segment, the majority of the value is a customer relationship intangible with an estimated fair value of</w:t>
      </w:r>
    </w:p>
    <w:p>
      <w:pPr>
        <w:spacing w:after="0" w:line="36" w:lineRule="exact"/>
        <w:rPr>
          <w:sz w:val="20"/>
          <w:szCs w:val="20"/>
          <w:color w:val="auto"/>
        </w:rPr>
      </w:pPr>
    </w:p>
    <w:p>
      <w:pPr>
        <w:jc w:val="both"/>
        <w:spacing w:after="0" w:line="274" w:lineRule="auto"/>
        <w:rPr>
          <w:sz w:val="20"/>
          <w:szCs w:val="20"/>
          <w:color w:val="auto"/>
        </w:rPr>
      </w:pPr>
      <w:r>
        <w:rPr>
          <w:rFonts w:ascii="Arial" w:cs="Arial" w:eastAsia="Arial" w:hAnsi="Arial"/>
          <w:sz w:val="15"/>
          <w:szCs w:val="15"/>
          <w:color w:val="auto"/>
        </w:rPr>
        <w:t>$6,900. Effective July 1, 2007, this intangible asset has an estimated useful life of 10 years and $351 of amortization expense was recorded in 2007. The remaining balance is made up of a covenant not to compete of $150 and a favorable leasehold interest of $130. These items are amortizable over two and two and a half years, respectively, and $56 and $39 in amortization expense was recorded in 2007. The accumulated amortization related to all of these intangible assets at September 30, 2007 was</w:t>
      </w:r>
    </w:p>
    <w:p>
      <w:pPr>
        <w:spacing w:after="0" w:line="1" w:lineRule="exact"/>
        <w:rPr>
          <w:sz w:val="20"/>
          <w:szCs w:val="20"/>
          <w:color w:val="auto"/>
        </w:rPr>
      </w:pPr>
    </w:p>
    <w:p>
      <w:pPr>
        <w:ind w:right="640"/>
        <w:spacing w:after="0" w:line="274" w:lineRule="auto"/>
        <w:rPr>
          <w:sz w:val="20"/>
          <w:szCs w:val="20"/>
          <w:color w:val="auto"/>
        </w:rPr>
      </w:pPr>
      <w:r>
        <w:rPr>
          <w:rFonts w:ascii="Arial" w:cs="Arial" w:eastAsia="Arial" w:hAnsi="Arial"/>
          <w:sz w:val="16"/>
          <w:szCs w:val="16"/>
          <w:color w:val="auto"/>
        </w:rPr>
        <w:t>$485. Additionally, in the Precision Metal Components Segment is an intangible asset not subject to amortization of $900 related to the value of the trade names of Whirlaway.</w:t>
      </w:r>
    </w:p>
    <w:p>
      <w:pPr>
        <w:spacing w:after="0" w:line="185" w:lineRule="exact"/>
        <w:rPr>
          <w:sz w:val="20"/>
          <w:szCs w:val="20"/>
          <w:color w:val="auto"/>
        </w:rPr>
      </w:pPr>
    </w:p>
    <w:p>
      <w:pPr>
        <w:ind w:right="680"/>
        <w:spacing w:after="0" w:line="273" w:lineRule="auto"/>
        <w:rPr>
          <w:sz w:val="20"/>
          <w:szCs w:val="20"/>
          <w:color w:val="auto"/>
        </w:rPr>
      </w:pPr>
      <w:r>
        <w:rPr>
          <w:rFonts w:ascii="Arial" w:cs="Arial" w:eastAsia="Arial" w:hAnsi="Arial"/>
          <w:sz w:val="16"/>
          <w:szCs w:val="16"/>
          <w:color w:val="auto"/>
        </w:rPr>
        <w:t>The intangible asset within the Metal Bearing Components Segment is a relationship intangible asset related to the SNR purchase agreement and related supply agreement. This intangible asset is subject to amortization over approximately 5 years and related amortization expense will approximate $500 for each of the five years. For the nine month period ended September 30, 2007, the amortization expense totaled $404.</w:t>
      </w:r>
    </w:p>
    <w:p>
      <w:pPr>
        <w:spacing w:after="0" w:line="207" w:lineRule="exact"/>
        <w:rPr>
          <w:sz w:val="20"/>
          <w:szCs w:val="20"/>
          <w:color w:val="auto"/>
        </w:rPr>
      </w:pPr>
    </w:p>
    <w:p>
      <w:pPr>
        <w:spacing w:after="0"/>
        <w:tabs>
          <w:tab w:leader="none" w:pos="880" w:val="left"/>
        </w:tabs>
        <w:rPr>
          <w:sz w:val="20"/>
          <w:szCs w:val="20"/>
          <w:color w:val="auto"/>
        </w:rPr>
      </w:pPr>
      <w:r>
        <w:rPr>
          <w:rFonts w:ascii="Arial" w:cs="Arial" w:eastAsia="Arial" w:hAnsi="Arial"/>
          <w:sz w:val="16"/>
          <w:szCs w:val="16"/>
          <w:b w:val="1"/>
          <w:bCs w:val="1"/>
          <w:color w:val="auto"/>
        </w:rPr>
        <w:t>Note 13.</w:t>
      </w:r>
      <w:r>
        <w:rPr>
          <w:sz w:val="20"/>
          <w:szCs w:val="20"/>
          <w:color w:val="auto"/>
        </w:rPr>
        <w:tab/>
      </w:r>
      <w:r>
        <w:rPr>
          <w:rFonts w:ascii="Arial" w:cs="Arial" w:eastAsia="Arial" w:hAnsi="Arial"/>
          <w:sz w:val="14"/>
          <w:szCs w:val="14"/>
          <w:b w:val="1"/>
          <w:bCs w:val="1"/>
          <w:color w:val="auto"/>
        </w:rPr>
        <w:t>Stock Compensation</w:t>
      </w:r>
    </w:p>
    <w:p>
      <w:pPr>
        <w:spacing w:after="0" w:line="239"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In the three and nine month periods ended September 30, 2007 and 2006, approximately $317 and $682 for 2007 and $116 and $321 for 2006, respectively, of compensation expense was recognized in selling, general and administrative expense for all share-based awards. On March 1, 2007 and May 25, 2007, we granted 30,000 and 161,500 options, respectively, to directors and certain employees of the Company. The fair value of the options cannot be determined by market value as our options are not traded in an open market. Accordingly, a financial pricing model is utilized to determine fair value. The Company utilizes the Black-Scholes model which relies on certain assumptions to estimate an option's fair value.</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a reconciliation of option activity for the nine month period ended September 30, 2007:</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703" w:right="259" w:bottom="1440" w:gutter="0" w:footer="0" w:header="0"/>
        </w:sectPr>
      </w:pPr>
    </w:p>
    <w:bookmarkStart w:id="17" w:name="page18"/>
    <w:bookmarkEnd w:id="17"/>
    <w:p>
      <w:pPr>
        <w:jc w:val="center"/>
        <w:ind w:right="-16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1141"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tcPr>
          <w:p>
            <w:pPr>
              <w:jc w:val="center"/>
              <w:ind w:right="278"/>
              <w:spacing w:after="0"/>
              <w:rPr>
                <w:sz w:val="20"/>
                <w:szCs w:val="20"/>
                <w:color w:val="auto"/>
              </w:rPr>
            </w:pPr>
            <w:r>
              <w:rPr>
                <w:rFonts w:ascii="Arial" w:cs="Arial" w:eastAsia="Arial" w:hAnsi="Arial"/>
                <w:sz w:val="16"/>
                <w:szCs w:val="16"/>
                <w:b w:val="1"/>
                <w:bCs w:val="1"/>
                <w:color w:val="auto"/>
                <w:w w:val="93"/>
              </w:rPr>
              <w:t>Weighted-</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Weighted-</w:t>
            </w:r>
          </w:p>
        </w:tc>
        <w:tc>
          <w:tcPr>
            <w:tcW w:w="1560" w:type="dxa"/>
            <w:vAlign w:val="bottom"/>
          </w:tcPr>
          <w:p>
            <w:pPr>
              <w:jc w:val="center"/>
              <w:ind w:right="258"/>
              <w:spacing w:after="0"/>
              <w:rPr>
                <w:sz w:val="20"/>
                <w:szCs w:val="20"/>
                <w:color w:val="auto"/>
              </w:rPr>
            </w:pPr>
            <w:r>
              <w:rPr>
                <w:rFonts w:ascii="Arial" w:cs="Arial" w:eastAsia="Arial" w:hAnsi="Arial"/>
                <w:sz w:val="16"/>
                <w:szCs w:val="16"/>
                <w:b w:val="1"/>
                <w:bCs w:val="1"/>
                <w:color w:val="auto"/>
                <w:w w:val="91"/>
              </w:rPr>
              <w:t>Average</w:t>
            </w:r>
          </w:p>
        </w:tc>
        <w:tc>
          <w:tcPr>
            <w:tcW w:w="12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0"/>
              </w:rPr>
              <w:t>Aggregate</w:t>
            </w: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c>
          <w:tcPr>
            <w:tcW w:w="1560" w:type="dxa"/>
            <w:vAlign w:val="bottom"/>
          </w:tcPr>
          <w:p>
            <w:pPr>
              <w:jc w:val="center"/>
              <w:ind w:right="258"/>
              <w:spacing w:after="0"/>
              <w:rPr>
                <w:sz w:val="20"/>
                <w:szCs w:val="20"/>
                <w:color w:val="auto"/>
              </w:rPr>
            </w:pPr>
            <w:r>
              <w:rPr>
                <w:rFonts w:ascii="Arial" w:cs="Arial" w:eastAsia="Arial" w:hAnsi="Arial"/>
                <w:sz w:val="16"/>
                <w:szCs w:val="16"/>
                <w:b w:val="1"/>
                <w:bCs w:val="1"/>
                <w:color w:val="auto"/>
                <w:w w:val="95"/>
              </w:rPr>
              <w:t>Remaining</w:t>
            </w:r>
          </w:p>
        </w:tc>
        <w:tc>
          <w:tcPr>
            <w:tcW w:w="126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6"/>
              </w:rPr>
              <w:t>Intrinsic</w:t>
            </w: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6"/>
                <w:szCs w:val="16"/>
                <w:b w:val="1"/>
                <w:bCs w:val="1"/>
                <w:color w:val="auto"/>
                <w:w w:val="89"/>
              </w:rPr>
              <w:t>Shares</w:t>
            </w:r>
          </w:p>
        </w:tc>
        <w:tc>
          <w:tcPr>
            <w:tcW w:w="50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1"/>
              </w:rPr>
              <w:t>Exercise</w:t>
            </w:r>
          </w:p>
        </w:tc>
        <w:tc>
          <w:tcPr>
            <w:tcW w:w="1560" w:type="dxa"/>
            <w:vAlign w:val="bottom"/>
          </w:tcPr>
          <w:p>
            <w:pPr>
              <w:jc w:val="center"/>
              <w:ind w:right="258"/>
              <w:spacing w:after="0"/>
              <w:rPr>
                <w:sz w:val="20"/>
                <w:szCs w:val="20"/>
                <w:color w:val="auto"/>
              </w:rPr>
            </w:pPr>
            <w:r>
              <w:rPr>
                <w:rFonts w:ascii="Arial" w:cs="Arial" w:eastAsia="Arial" w:hAnsi="Arial"/>
                <w:sz w:val="16"/>
                <w:szCs w:val="16"/>
                <w:b w:val="1"/>
                <w:bCs w:val="1"/>
                <w:color w:val="auto"/>
                <w:w w:val="96"/>
              </w:rPr>
              <w:t>Contractual</w:t>
            </w:r>
          </w:p>
        </w:tc>
        <w:tc>
          <w:tcPr>
            <w:tcW w:w="760" w:type="dxa"/>
            <w:vAlign w:val="bottom"/>
          </w:tcPr>
          <w:p>
            <w:pPr>
              <w:jc w:val="center"/>
              <w:ind w:left="238"/>
              <w:spacing w:after="0"/>
              <w:rPr>
                <w:sz w:val="20"/>
                <w:szCs w:val="20"/>
                <w:color w:val="auto"/>
              </w:rPr>
            </w:pPr>
            <w:r>
              <w:rPr>
                <w:rFonts w:ascii="Arial" w:cs="Arial" w:eastAsia="Arial" w:hAnsi="Arial"/>
                <w:sz w:val="16"/>
                <w:szCs w:val="16"/>
                <w:b w:val="1"/>
                <w:bCs w:val="1"/>
                <w:color w:val="auto"/>
                <w:w w:val="93"/>
              </w:rPr>
              <w:t>Value</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3640" w:type="dxa"/>
            <w:vAlign w:val="bottom"/>
            <w:tcBorders>
              <w:bottom w:val="single" w:sz="8" w:color="auto"/>
            </w:tcBorders>
          </w:tcPr>
          <w:p>
            <w:pPr>
              <w:ind w:left="1560"/>
              <w:spacing w:after="0"/>
              <w:rPr>
                <w:sz w:val="20"/>
                <w:szCs w:val="20"/>
                <w:color w:val="auto"/>
              </w:rPr>
            </w:pPr>
            <w:r>
              <w:rPr>
                <w:rFonts w:ascii="Arial" w:cs="Arial" w:eastAsia="Arial" w:hAnsi="Arial"/>
                <w:sz w:val="16"/>
                <w:szCs w:val="16"/>
                <w:color w:val="auto"/>
              </w:rPr>
              <w:t>Options</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6"/>
                <w:szCs w:val="16"/>
                <w:b w:val="1"/>
                <w:bCs w:val="1"/>
                <w:color w:val="auto"/>
                <w:w w:val="90"/>
              </w:rPr>
              <w:t>(000’s)</w:t>
            </w: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center"/>
              <w:ind w:left="178"/>
              <w:spacing w:after="0"/>
              <w:rPr>
                <w:sz w:val="20"/>
                <w:szCs w:val="20"/>
                <w:color w:val="auto"/>
              </w:rPr>
            </w:pPr>
            <w:r>
              <w:rPr>
                <w:rFonts w:ascii="Arial" w:cs="Arial" w:eastAsia="Arial" w:hAnsi="Arial"/>
                <w:sz w:val="16"/>
                <w:szCs w:val="16"/>
                <w:b w:val="1"/>
                <w:bCs w:val="1"/>
                <w:color w:val="auto"/>
                <w:w w:val="91"/>
              </w:rPr>
              <w:t>Price</w:t>
            </w:r>
          </w:p>
        </w:tc>
        <w:tc>
          <w:tcPr>
            <w:tcW w:w="4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right="258"/>
              <w:spacing w:after="0"/>
              <w:rPr>
                <w:sz w:val="20"/>
                <w:szCs w:val="20"/>
                <w:color w:val="auto"/>
              </w:rPr>
            </w:pPr>
            <w:r>
              <w:rPr>
                <w:rFonts w:ascii="Arial" w:cs="Arial" w:eastAsia="Arial" w:hAnsi="Arial"/>
                <w:sz w:val="16"/>
                <w:szCs w:val="16"/>
                <w:b w:val="1"/>
                <w:bCs w:val="1"/>
                <w:color w:val="auto"/>
                <w:w w:val="97"/>
              </w:rPr>
              <w:t>Term</w:t>
            </w:r>
          </w:p>
        </w:tc>
        <w:tc>
          <w:tcPr>
            <w:tcW w:w="760" w:type="dxa"/>
            <w:vAlign w:val="bottom"/>
            <w:tcBorders>
              <w:bottom w:val="single" w:sz="8" w:color="auto"/>
            </w:tcBorders>
          </w:tcPr>
          <w:p>
            <w:pPr>
              <w:jc w:val="center"/>
              <w:ind w:left="238"/>
              <w:spacing w:after="0"/>
              <w:rPr>
                <w:sz w:val="20"/>
                <w:szCs w:val="20"/>
                <w:color w:val="auto"/>
              </w:rPr>
            </w:pPr>
            <w:r>
              <w:rPr>
                <w:rFonts w:ascii="Arial" w:cs="Arial" w:eastAsia="Arial" w:hAnsi="Arial"/>
                <w:sz w:val="16"/>
                <w:szCs w:val="16"/>
                <w:b w:val="1"/>
                <w:bCs w:val="1"/>
                <w:color w:val="auto"/>
                <w:w w:val="95"/>
              </w:rPr>
              <w:t>($000)</w:t>
            </w:r>
          </w:p>
        </w:tc>
        <w:tc>
          <w:tcPr>
            <w:tcW w:w="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Outstanding at January 1, 2007</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w w:val="89"/>
              </w:rPr>
              <w:t>1,452</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Granted</w:t>
            </w:r>
          </w:p>
        </w:tc>
        <w:tc>
          <w:tcPr>
            <w:tcW w:w="880" w:type="dxa"/>
            <w:vAlign w:val="bottom"/>
          </w:tcPr>
          <w:p>
            <w:pPr>
              <w:spacing w:after="0"/>
              <w:rPr>
                <w:sz w:val="17"/>
                <w:szCs w:val="17"/>
                <w:color w:val="auto"/>
              </w:rPr>
            </w:pPr>
          </w:p>
        </w:tc>
        <w:tc>
          <w:tcPr>
            <w:tcW w:w="500" w:type="dxa"/>
            <w:vAlign w:val="bottom"/>
          </w:tcPr>
          <w:p>
            <w:pPr>
              <w:jc w:val="right"/>
              <w:ind w:right="38"/>
              <w:spacing w:after="0"/>
              <w:rPr>
                <w:sz w:val="20"/>
                <w:szCs w:val="20"/>
                <w:color w:val="auto"/>
              </w:rPr>
            </w:pPr>
            <w:r>
              <w:rPr>
                <w:rFonts w:ascii="Arial" w:cs="Arial" w:eastAsia="Arial" w:hAnsi="Arial"/>
                <w:sz w:val="16"/>
                <w:szCs w:val="16"/>
                <w:color w:val="auto"/>
              </w:rPr>
              <w:t>192</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12.05</w:t>
            </w:r>
          </w:p>
        </w:tc>
        <w:tc>
          <w:tcPr>
            <w:tcW w:w="1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36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88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(26)</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94"/>
              </w:rPr>
              <w:t>10.95</w:t>
            </w:r>
          </w:p>
        </w:tc>
        <w:tc>
          <w:tcPr>
            <w:tcW w:w="1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Forfeited or expired</w:t>
            </w:r>
          </w:p>
        </w:tc>
        <w:tc>
          <w:tcPr>
            <w:tcW w:w="880" w:type="dxa"/>
            <w:vAlign w:val="bottom"/>
          </w:tcPr>
          <w:p>
            <w:pPr>
              <w:spacing w:after="0"/>
              <w:rPr>
                <w:sz w:val="17"/>
                <w:szCs w:val="17"/>
                <w:color w:val="auto"/>
              </w:rPr>
            </w:pPr>
          </w:p>
        </w:tc>
        <w:tc>
          <w:tcPr>
            <w:tcW w:w="500" w:type="dxa"/>
            <w:vAlign w:val="bottom"/>
          </w:tcPr>
          <w:p>
            <w:pPr>
              <w:jc w:val="right"/>
              <w:ind w:right="38"/>
              <w:spacing w:after="0"/>
              <w:rPr>
                <w:sz w:val="20"/>
                <w:szCs w:val="20"/>
                <w:color w:val="auto"/>
              </w:rPr>
            </w:pPr>
            <w:r>
              <w:rPr>
                <w:rFonts w:ascii="Arial" w:cs="Arial" w:eastAsia="Arial" w:hAnsi="Arial"/>
                <w:sz w:val="16"/>
                <w:szCs w:val="16"/>
                <w:color w:val="auto"/>
              </w:rPr>
              <w:t>(88)</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6"/>
                <w:szCs w:val="16"/>
                <w:color w:val="auto"/>
                <w:w w:val="94"/>
              </w:rPr>
              <w:t>12.37</w:t>
            </w:r>
          </w:p>
        </w:tc>
        <w:tc>
          <w:tcPr>
            <w:tcW w:w="1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at September 30, 2007</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Arial" w:cs="Arial" w:eastAsia="Arial" w:hAnsi="Arial"/>
                <w:sz w:val="16"/>
                <w:szCs w:val="16"/>
                <w:color w:val="auto"/>
                <w:w w:val="89"/>
              </w:rPr>
              <w:t>1,530</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9.93</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5.76</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spacing w:after="0" w:line="210" w:lineRule="exact"/>
              <w:rPr>
                <w:sz w:val="20"/>
                <w:szCs w:val="20"/>
                <w:color w:val="auto"/>
              </w:rPr>
            </w:pPr>
            <w:r>
              <w:rPr>
                <w:rFonts w:ascii="Arial" w:cs="Arial" w:eastAsia="Arial" w:hAnsi="Arial"/>
                <w:sz w:val="16"/>
                <w:szCs w:val="16"/>
                <w:color w:val="auto"/>
                <w:w w:val="81"/>
              </w:rPr>
              <w:t>(176)</w:t>
            </w:r>
            <w:r>
              <w:rPr>
                <w:rFonts w:ascii="Arial" w:cs="Arial" w:eastAsia="Arial" w:hAnsi="Arial"/>
                <w:sz w:val="23"/>
                <w:szCs w:val="23"/>
                <w:color w:val="auto"/>
                <w:w w:val="81"/>
                <w:vertAlign w:val="superscript"/>
              </w:rPr>
              <w:t>(1)</w:t>
            </w:r>
          </w:p>
        </w:tc>
        <w:tc>
          <w:tcPr>
            <w:tcW w:w="20" w:type="dxa"/>
            <w:vAlign w:val="bottom"/>
          </w:tcPr>
          <w:p>
            <w:pPr>
              <w:spacing w:after="0"/>
              <w:rPr>
                <w:sz w:val="21"/>
                <w:szCs w:val="21"/>
                <w:color w:val="auto"/>
              </w:rPr>
            </w:pPr>
          </w:p>
        </w:tc>
      </w:tr>
      <w:tr>
        <w:trPr>
          <w:trHeight w:val="199"/>
        </w:trPr>
        <w:tc>
          <w:tcPr>
            <w:tcW w:w="20" w:type="dxa"/>
            <w:vAlign w:val="bottom"/>
          </w:tcPr>
          <w:p>
            <w:pPr>
              <w:spacing w:after="0"/>
              <w:rPr>
                <w:sz w:val="17"/>
                <w:szCs w:val="17"/>
                <w:color w:val="auto"/>
              </w:rPr>
            </w:pPr>
          </w:p>
        </w:tc>
        <w:tc>
          <w:tcPr>
            <w:tcW w:w="3640" w:type="dxa"/>
            <w:vAlign w:val="bottom"/>
          </w:tcPr>
          <w:p>
            <w:pPr>
              <w:spacing w:after="0"/>
              <w:rPr>
                <w:sz w:val="20"/>
                <w:szCs w:val="20"/>
                <w:color w:val="auto"/>
              </w:rPr>
            </w:pPr>
            <w:r>
              <w:rPr>
                <w:rFonts w:ascii="Arial" w:cs="Arial" w:eastAsia="Arial" w:hAnsi="Arial"/>
                <w:sz w:val="16"/>
                <w:szCs w:val="16"/>
                <w:color w:val="auto"/>
              </w:rPr>
              <w:t>Exercisable at September 30, 2007</w:t>
            </w: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38"/>
              <w:spacing w:after="0"/>
              <w:rPr>
                <w:sz w:val="20"/>
                <w:szCs w:val="20"/>
                <w:color w:val="auto"/>
              </w:rPr>
            </w:pPr>
            <w:r>
              <w:rPr>
                <w:rFonts w:ascii="Arial" w:cs="Arial" w:eastAsia="Arial" w:hAnsi="Arial"/>
                <w:sz w:val="16"/>
                <w:szCs w:val="16"/>
                <w:color w:val="auto"/>
                <w:w w:val="89"/>
              </w:rPr>
              <w:t>1,262</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9.51</w:t>
            </w: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color w:val="auto"/>
              </w:rPr>
              <w:t>4.75</w:t>
            </w:r>
          </w:p>
        </w:tc>
        <w:tc>
          <w:tcPr>
            <w:tcW w:w="760" w:type="dxa"/>
            <w:vAlign w:val="bottom"/>
            <w:tcBorders>
              <w:bottom w:val="single" w:sz="8" w:color="auto"/>
            </w:tcBorders>
          </w:tcPr>
          <w:p>
            <w:pPr>
              <w:jc w:val="right"/>
              <w:ind w:right="18"/>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line="199" w:lineRule="exact"/>
              <w:rPr>
                <w:sz w:val="20"/>
                <w:szCs w:val="20"/>
                <w:color w:val="auto"/>
              </w:rPr>
            </w:pPr>
            <w:r>
              <w:rPr>
                <w:rFonts w:ascii="Arial" w:cs="Arial" w:eastAsia="Arial" w:hAnsi="Arial"/>
                <w:sz w:val="23"/>
                <w:szCs w:val="23"/>
                <w:color w:val="auto"/>
                <w:vertAlign w:val="subscript"/>
              </w:rPr>
              <w:t>374</w:t>
            </w:r>
            <w:r>
              <w:rPr>
                <w:rFonts w:ascii="Arial" w:cs="Arial" w:eastAsia="Arial" w:hAnsi="Arial"/>
                <w:sz w:val="10"/>
                <w:szCs w:val="10"/>
                <w:color w:val="auto"/>
              </w:rPr>
              <w:t>(1)</w:t>
            </w:r>
          </w:p>
        </w:tc>
        <w:tc>
          <w:tcPr>
            <w:tcW w:w="20" w:type="dxa"/>
            <w:vAlign w:val="bottom"/>
            <w:tcBorders>
              <w:bottom w:val="single" w:sz="8" w:color="auto"/>
            </w:tcBorders>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7" w:lineRule="exact"/>
        <w:rPr>
          <w:sz w:val="20"/>
          <w:szCs w:val="20"/>
          <w:color w:val="auto"/>
        </w:rPr>
      </w:pPr>
    </w:p>
    <w:p>
      <w:pPr>
        <w:ind w:left="181" w:hanging="181"/>
        <w:spacing w:after="0"/>
        <w:tabs>
          <w:tab w:leader="none" w:pos="181"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Intrinsic value is the amount by which the market price of the stock exceeds the weighted average exercise price of the options at September 30, 2007.</w:t>
      </w:r>
    </w:p>
    <w:p>
      <w:pPr>
        <w:spacing w:after="0" w:line="207"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Restricted Stock Awards</w:t>
      </w:r>
    </w:p>
    <w:p>
      <w:pPr>
        <w:spacing w:after="0" w:line="239" w:lineRule="exact"/>
        <w:rPr>
          <w:sz w:val="20"/>
          <w:szCs w:val="20"/>
          <w:color w:val="auto"/>
        </w:rPr>
      </w:pPr>
    </w:p>
    <w:p>
      <w:pPr>
        <w:ind w:left="1" w:right="40"/>
        <w:spacing w:after="0" w:line="299" w:lineRule="auto"/>
        <w:rPr>
          <w:sz w:val="20"/>
          <w:szCs w:val="20"/>
          <w:color w:val="auto"/>
        </w:rPr>
      </w:pPr>
      <w:r>
        <w:rPr>
          <w:rFonts w:ascii="Arial" w:cs="Arial" w:eastAsia="Arial" w:hAnsi="Arial"/>
          <w:sz w:val="15"/>
          <w:szCs w:val="15"/>
          <w:color w:val="auto"/>
        </w:rPr>
        <w:t>The unrecognized compensation cost before tax for these awards at September 30, 2007 and 2006 total approximately $47 and $215, respectively, to be recognized over approximately one and two years, respectively. As of September 30, 2007, the actual cumulative forfeiture rate of the awards granted was approximately 10%. Below is a summary of the status of the non-vested restricted stock as of September 30, 2007 and changes during the nine month period ended September 30, 2007:</w:t>
      </w:r>
    </w:p>
    <w:p>
      <w:pPr>
        <w:spacing w:after="0" w:line="165" w:lineRule="exact"/>
        <w:rPr>
          <w:sz w:val="20"/>
          <w:szCs w:val="20"/>
          <w:color w:val="auto"/>
        </w:rPr>
      </w:pPr>
    </w:p>
    <w:p>
      <w:pPr>
        <w:ind w:left="8621"/>
        <w:spacing w:after="0"/>
        <w:rPr>
          <w:sz w:val="20"/>
          <w:szCs w:val="20"/>
          <w:color w:val="auto"/>
        </w:rPr>
      </w:pPr>
      <w:r>
        <w:rPr>
          <w:rFonts w:ascii="Arial" w:cs="Arial" w:eastAsia="Arial" w:hAnsi="Arial"/>
          <w:sz w:val="16"/>
          <w:szCs w:val="16"/>
          <w:b w:val="1"/>
          <w:bCs w:val="1"/>
          <w:color w:val="auto"/>
        </w:rPr>
        <w:t>Weighted-</w:t>
      </w:r>
    </w:p>
    <w:p>
      <w:pPr>
        <w:spacing w:after="0" w:line="28" w:lineRule="exact"/>
        <w:rPr>
          <w:sz w:val="20"/>
          <w:szCs w:val="20"/>
          <w:color w:val="auto"/>
        </w:rPr>
      </w:pPr>
    </w:p>
    <w:p>
      <w:pPr>
        <w:ind w:left="6761"/>
        <w:spacing w:after="0"/>
        <w:tabs>
          <w:tab w:leader="none" w:pos="8421" w:val="left"/>
        </w:tabs>
        <w:rPr>
          <w:sz w:val="20"/>
          <w:szCs w:val="20"/>
          <w:color w:val="auto"/>
        </w:rPr>
      </w:pPr>
      <w:r>
        <w:rPr>
          <w:rFonts w:ascii="Arial" w:cs="Arial" w:eastAsia="Arial" w:hAnsi="Arial"/>
          <w:sz w:val="16"/>
          <w:szCs w:val="16"/>
          <w:b w:val="1"/>
          <w:bCs w:val="1"/>
          <w:color w:val="auto"/>
        </w:rPr>
        <w:t>Shares</w:t>
      </w:r>
      <w:r>
        <w:rPr>
          <w:sz w:val="20"/>
          <w:szCs w:val="20"/>
          <w:color w:val="auto"/>
        </w:rPr>
        <w:tab/>
      </w:r>
      <w:r>
        <w:rPr>
          <w:rFonts w:ascii="Arial" w:cs="Arial" w:eastAsia="Arial" w:hAnsi="Arial"/>
          <w:sz w:val="16"/>
          <w:szCs w:val="16"/>
          <w:b w:val="1"/>
          <w:bCs w:val="1"/>
          <w:color w:val="auto"/>
        </w:rPr>
        <w:t>Average Grant-</w:t>
      </w:r>
    </w:p>
    <w:p>
      <w:pPr>
        <w:spacing w:after="0" w:line="13" w:lineRule="exact"/>
        <w:rPr>
          <w:sz w:val="20"/>
          <w:szCs w:val="20"/>
          <w:color w:val="auto"/>
        </w:rPr>
      </w:pPr>
    </w:p>
    <w:p>
      <w:pPr>
        <w:ind w:left="6761"/>
        <w:spacing w:after="0"/>
        <w:tabs>
          <w:tab w:leader="none" w:pos="8421" w:val="left"/>
        </w:tabs>
        <w:rPr>
          <w:sz w:val="20"/>
          <w:szCs w:val="20"/>
          <w:color w:val="auto"/>
        </w:rPr>
      </w:pPr>
      <w:r>
        <w:rPr>
          <w:rFonts w:ascii="Arial" w:cs="Arial" w:eastAsia="Arial" w:hAnsi="Arial"/>
          <w:sz w:val="16"/>
          <w:szCs w:val="16"/>
          <w:b w:val="1"/>
          <w:bCs w:val="1"/>
          <w:color w:val="auto"/>
        </w:rPr>
        <w:t>(000’s)</w:t>
      </w:r>
      <w:r>
        <w:rPr>
          <w:sz w:val="20"/>
          <w:szCs w:val="20"/>
          <w:color w:val="auto"/>
        </w:rPr>
        <w:tab/>
      </w:r>
      <w:r>
        <w:rPr>
          <w:rFonts w:ascii="Arial" w:cs="Arial" w:eastAsia="Arial" w:hAnsi="Arial"/>
          <w:sz w:val="16"/>
          <w:szCs w:val="16"/>
          <w:b w:val="1"/>
          <w:bCs w:val="1"/>
          <w:color w:val="auto"/>
        </w:rPr>
        <w:t>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9525</wp:posOffset>
            </wp:positionV>
            <wp:extent cx="5801995" cy="15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01995" cy="15875"/>
                    </a:xfrm>
                    <a:prstGeom prst="rect">
                      <a:avLst/>
                    </a:prstGeom>
                    <a:noFill/>
                  </pic:spPr>
                </pic:pic>
              </a:graphicData>
            </a:graphic>
          </wp:anchor>
        </w:drawing>
      </w:r>
    </w:p>
    <w:p>
      <w:pPr>
        <w:sectPr>
          <w:pgSz w:w="11900" w:h="16838" w:orient="portrait"/>
          <w:cols w:equalWidth="0" w:num="1">
            <w:col w:w="11261"/>
          </w:cols>
          <w:pgMar w:left="239" w:top="703" w:right="399" w:bottom="1440" w:gutter="0" w:footer="0" w:header="0"/>
        </w:sectPr>
      </w:pPr>
    </w:p>
    <w:p>
      <w:pPr>
        <w:spacing w:after="0" w:line="27"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Non-vested at January 1, 2007</w:t>
      </w:r>
    </w:p>
    <w:p>
      <w:pPr>
        <w:spacing w:after="0" w:line="24"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Granted</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Vested</w:t>
      </w:r>
    </w:p>
    <w:p>
      <w:pPr>
        <w:spacing w:after="0" w:line="13" w:lineRule="exact"/>
        <w:rPr>
          <w:sz w:val="20"/>
          <w:szCs w:val="20"/>
          <w:color w:val="auto"/>
        </w:rPr>
      </w:pPr>
    </w:p>
    <w:p>
      <w:pPr>
        <w:ind w:left="1141"/>
        <w:spacing w:after="0"/>
        <w:rPr>
          <w:sz w:val="20"/>
          <w:szCs w:val="20"/>
          <w:color w:val="auto"/>
        </w:rPr>
      </w:pPr>
      <w:r>
        <w:rPr>
          <w:rFonts w:ascii="Arial" w:cs="Arial" w:eastAsia="Arial" w:hAnsi="Arial"/>
          <w:sz w:val="16"/>
          <w:szCs w:val="16"/>
          <w:color w:val="auto"/>
        </w:rPr>
        <w:t>Forfeited</w:t>
      </w:r>
    </w:p>
    <w:p>
      <w:pPr>
        <w:spacing w:after="0" w:line="27" w:lineRule="exact"/>
        <w:rPr>
          <w:sz w:val="20"/>
          <w:szCs w:val="20"/>
          <w:color w:val="auto"/>
        </w:rPr>
      </w:pPr>
    </w:p>
    <w:p>
      <w:pPr>
        <w:ind w:left="1141"/>
        <w:spacing w:after="0"/>
        <w:rPr>
          <w:sz w:val="20"/>
          <w:szCs w:val="20"/>
          <w:color w:val="auto"/>
        </w:rPr>
      </w:pPr>
      <w:r>
        <w:rPr>
          <w:rFonts w:ascii="Arial" w:cs="Arial" w:eastAsia="Arial" w:hAnsi="Arial"/>
          <w:sz w:val="14"/>
          <w:szCs w:val="14"/>
          <w:color w:val="auto"/>
        </w:rPr>
        <w:t>Non-vested at September 30, 2007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1620" w:type="dxa"/>
            <w:vAlign w:val="bottom"/>
          </w:tcPr>
          <w:p>
            <w:pPr>
              <w:jc w:val="center"/>
              <w:ind w:right="178"/>
              <w:spacing w:after="0"/>
              <w:rPr>
                <w:sz w:val="20"/>
                <w:szCs w:val="20"/>
                <w:color w:val="auto"/>
              </w:rPr>
            </w:pPr>
            <w:r>
              <w:rPr>
                <w:rFonts w:ascii="Arial" w:cs="Arial" w:eastAsia="Arial" w:hAnsi="Arial"/>
                <w:sz w:val="16"/>
                <w:szCs w:val="16"/>
                <w:color w:val="auto"/>
                <w:w w:val="89"/>
              </w:rPr>
              <w:t>33</w:t>
            </w:r>
          </w:p>
        </w:tc>
        <w:tc>
          <w:tcPr>
            <w:tcW w:w="2340" w:type="dxa"/>
            <w:vAlign w:val="bottom"/>
          </w:tcPr>
          <w:p>
            <w:pPr>
              <w:jc w:val="center"/>
              <w:ind w:right="158"/>
              <w:spacing w:after="0"/>
              <w:rPr>
                <w:sz w:val="20"/>
                <w:szCs w:val="20"/>
                <w:color w:val="auto"/>
              </w:rPr>
            </w:pPr>
            <w:r>
              <w:rPr>
                <w:rFonts w:ascii="Arial" w:cs="Arial" w:eastAsia="Arial" w:hAnsi="Arial"/>
                <w:sz w:val="16"/>
                <w:szCs w:val="16"/>
                <w:color w:val="auto"/>
                <w:w w:val="93"/>
              </w:rPr>
              <w:t>$ 12.70</w:t>
            </w:r>
          </w:p>
        </w:tc>
      </w:tr>
      <w:tr>
        <w:trPr>
          <w:trHeight w:val="197"/>
        </w:trPr>
        <w:tc>
          <w:tcPr>
            <w:tcW w:w="1620" w:type="dxa"/>
            <w:vAlign w:val="bottom"/>
          </w:tcPr>
          <w:p>
            <w:pPr>
              <w:jc w:val="center"/>
              <w:ind w:right="178"/>
              <w:spacing w:after="0"/>
              <w:rPr>
                <w:sz w:val="20"/>
                <w:szCs w:val="20"/>
                <w:color w:val="auto"/>
              </w:rPr>
            </w:pPr>
            <w:r>
              <w:rPr>
                <w:rFonts w:ascii="Arial" w:cs="Arial" w:eastAsia="Arial" w:hAnsi="Arial"/>
                <w:sz w:val="16"/>
                <w:szCs w:val="16"/>
                <w:color w:val="auto"/>
              </w:rPr>
              <w:t>--</w:t>
            </w:r>
          </w:p>
        </w:tc>
        <w:tc>
          <w:tcPr>
            <w:tcW w:w="2340" w:type="dxa"/>
            <w:vAlign w:val="bottom"/>
          </w:tcPr>
          <w:p>
            <w:pPr>
              <w:jc w:val="right"/>
              <w:ind w:right="1038"/>
              <w:spacing w:after="0"/>
              <w:rPr>
                <w:sz w:val="20"/>
                <w:szCs w:val="20"/>
                <w:color w:val="auto"/>
              </w:rPr>
            </w:pPr>
            <w:r>
              <w:rPr>
                <w:rFonts w:ascii="Arial" w:cs="Arial" w:eastAsia="Arial" w:hAnsi="Arial"/>
                <w:sz w:val="16"/>
                <w:szCs w:val="16"/>
                <w:color w:val="auto"/>
              </w:rPr>
              <w:t>--</w:t>
            </w:r>
          </w:p>
        </w:tc>
      </w:tr>
      <w:tr>
        <w:trPr>
          <w:trHeight w:val="197"/>
        </w:trPr>
        <w:tc>
          <w:tcPr>
            <w:tcW w:w="1620" w:type="dxa"/>
            <w:vAlign w:val="bottom"/>
          </w:tcPr>
          <w:p>
            <w:pPr>
              <w:jc w:val="center"/>
              <w:ind w:right="178"/>
              <w:spacing w:after="0"/>
              <w:rPr>
                <w:sz w:val="20"/>
                <w:szCs w:val="20"/>
                <w:color w:val="auto"/>
              </w:rPr>
            </w:pPr>
            <w:r>
              <w:rPr>
                <w:rFonts w:ascii="Arial" w:cs="Arial" w:eastAsia="Arial" w:hAnsi="Arial"/>
                <w:sz w:val="16"/>
                <w:szCs w:val="16"/>
                <w:color w:val="auto"/>
                <w:w w:val="98"/>
              </w:rPr>
              <w:t>(15)</w:t>
            </w:r>
          </w:p>
        </w:tc>
        <w:tc>
          <w:tcPr>
            <w:tcW w:w="2340" w:type="dxa"/>
            <w:vAlign w:val="bottom"/>
          </w:tcPr>
          <w:p>
            <w:pPr>
              <w:jc w:val="center"/>
              <w:ind w:right="158"/>
              <w:spacing w:after="0"/>
              <w:rPr>
                <w:sz w:val="20"/>
                <w:szCs w:val="20"/>
                <w:color w:val="auto"/>
              </w:rPr>
            </w:pPr>
            <w:r>
              <w:rPr>
                <w:rFonts w:ascii="Arial" w:cs="Arial" w:eastAsia="Arial" w:hAnsi="Arial"/>
                <w:sz w:val="16"/>
                <w:szCs w:val="16"/>
                <w:color w:val="auto"/>
                <w:w w:val="93"/>
              </w:rPr>
              <w:t>$12.70</w:t>
            </w:r>
          </w:p>
        </w:tc>
      </w:tr>
      <w:tr>
        <w:trPr>
          <w:trHeight w:val="214"/>
        </w:trPr>
        <w:tc>
          <w:tcPr>
            <w:tcW w:w="162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color w:val="auto"/>
              </w:rPr>
              <w:t>(3)</w:t>
            </w:r>
          </w:p>
        </w:tc>
        <w:tc>
          <w:tcPr>
            <w:tcW w:w="234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color w:val="auto"/>
                <w:w w:val="93"/>
              </w:rPr>
              <w:t>$12.70</w:t>
            </w:r>
          </w:p>
        </w:tc>
      </w:tr>
      <w:tr>
        <w:trPr>
          <w:trHeight w:val="197"/>
        </w:trPr>
        <w:tc>
          <w:tcPr>
            <w:tcW w:w="1620" w:type="dxa"/>
            <w:vAlign w:val="bottom"/>
            <w:tcBorders>
              <w:bottom w:val="single" w:sz="8" w:color="auto"/>
            </w:tcBorders>
          </w:tcPr>
          <w:p>
            <w:pPr>
              <w:jc w:val="center"/>
              <w:ind w:right="178"/>
              <w:spacing w:after="0"/>
              <w:rPr>
                <w:sz w:val="20"/>
                <w:szCs w:val="20"/>
                <w:color w:val="auto"/>
              </w:rPr>
            </w:pPr>
            <w:r>
              <w:rPr>
                <w:rFonts w:ascii="Arial" w:cs="Arial" w:eastAsia="Arial" w:hAnsi="Arial"/>
                <w:sz w:val="16"/>
                <w:szCs w:val="16"/>
                <w:color w:val="auto"/>
                <w:w w:val="89"/>
              </w:rPr>
              <w:t>15</w:t>
            </w:r>
          </w:p>
        </w:tc>
        <w:tc>
          <w:tcPr>
            <w:tcW w:w="2340" w:type="dxa"/>
            <w:vAlign w:val="bottom"/>
            <w:tcBorders>
              <w:bottom w:val="single" w:sz="8" w:color="auto"/>
            </w:tcBorders>
          </w:tcPr>
          <w:p>
            <w:pPr>
              <w:jc w:val="center"/>
              <w:ind w:right="158"/>
              <w:spacing w:after="0"/>
              <w:rPr>
                <w:sz w:val="20"/>
                <w:szCs w:val="20"/>
                <w:color w:val="auto"/>
              </w:rPr>
            </w:pPr>
            <w:r>
              <w:rPr>
                <w:rFonts w:ascii="Arial" w:cs="Arial" w:eastAsia="Arial" w:hAnsi="Arial"/>
                <w:sz w:val="16"/>
                <w:szCs w:val="16"/>
                <w:color w:val="auto"/>
                <w:w w:val="93"/>
              </w:rPr>
              <w:t>$ 12.70</w:t>
            </w:r>
          </w:p>
        </w:tc>
      </w:tr>
      <w:tr>
        <w:trPr>
          <w:trHeight w:val="20"/>
        </w:trPr>
        <w:tc>
          <w:tcPr>
            <w:tcW w:w="1620" w:type="dxa"/>
            <w:vAlign w:val="bottom"/>
            <w:tcBorders>
              <w:bottom w:val="single" w:sz="8" w:color="auto"/>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-3285490</wp:posOffset>
            </wp:positionH>
            <wp:positionV relativeFrom="paragraph">
              <wp:posOffset>-672465</wp:posOffset>
            </wp:positionV>
            <wp:extent cx="5801995" cy="1250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01995" cy="12509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-422275</wp:posOffset>
            </wp:positionV>
            <wp:extent cx="5801995" cy="1250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01995" cy="125095"/>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-156210</wp:posOffset>
            </wp:positionV>
            <wp:extent cx="5801995" cy="156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01995" cy="1568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01" w:space="720"/>
            <w:col w:w="4940"/>
          </w:cols>
          <w:pgMar w:left="239" w:top="703" w:right="399" w:bottom="1440" w:gutter="0" w:footer="0" w:header="0"/>
          <w:type w:val="continuous"/>
        </w:sectPr>
      </w:pPr>
    </w:p>
    <w:p>
      <w:pPr>
        <w:spacing w:after="0" w:line="5" w:lineRule="exact"/>
        <w:rPr>
          <w:sz w:val="20"/>
          <w:szCs w:val="20"/>
          <w:color w:val="auto"/>
        </w:rPr>
      </w:pPr>
    </w:p>
    <w:p>
      <w:pPr>
        <w:ind w:left="1"/>
        <w:spacing w:after="0"/>
        <w:rPr>
          <w:sz w:val="20"/>
          <w:szCs w:val="20"/>
          <w:color w:val="auto"/>
        </w:rPr>
      </w:pPr>
      <w:r>
        <w:rPr>
          <w:rFonts w:ascii="Arial" w:cs="Arial" w:eastAsia="Arial" w:hAnsi="Arial"/>
          <w:sz w:val="16"/>
          <w:szCs w:val="16"/>
          <w:b w:val="1"/>
          <w:bCs w:val="1"/>
          <w:color w:val="auto"/>
        </w:rPr>
        <w:t>Long term Incentive Plan</w:t>
      </w:r>
    </w:p>
    <w:p>
      <w:pPr>
        <w:spacing w:after="0" w:line="239" w:lineRule="exact"/>
        <w:rPr>
          <w:sz w:val="20"/>
          <w:szCs w:val="20"/>
          <w:color w:val="auto"/>
        </w:rPr>
      </w:pPr>
    </w:p>
    <w:p>
      <w:pPr>
        <w:ind w:left="1"/>
        <w:spacing w:after="0" w:line="263" w:lineRule="auto"/>
        <w:rPr>
          <w:sz w:val="20"/>
          <w:szCs w:val="20"/>
          <w:color w:val="auto"/>
        </w:rPr>
      </w:pPr>
      <w:r>
        <w:rPr>
          <w:rFonts w:ascii="Arial" w:cs="Arial" w:eastAsia="Arial" w:hAnsi="Arial"/>
          <w:sz w:val="16"/>
          <w:szCs w:val="16"/>
          <w:color w:val="auto"/>
        </w:rPr>
        <w:t>On June 29, 2007, the Company granted certain directors and other key employees an award of 151,500 performance units pursuant to the NN, Inc. 2005 Incentive Plan. Each unit is equal to one share of NN common stock. The award entitles the grantee to earn in a range from 90% to 150% of the total number of units based upon achieving earnings per share and return on capital employed targets over a defined performance cycle. The value of the performance units is based on the grant date fair value of one share of NN common stock or $11.80 per unit. The performance period is fiscal years 2007, 2008 and 2009 and the shares vest on December 31, 2009. There was $113 of compensation expense recognized during the three and nine months ended September 30, 2007 related to these performance units and $1,018 of unrecognized compensation cost, before tax to be recognized over approximately two years.</w:t>
      </w:r>
    </w:p>
    <w:p>
      <w:pPr>
        <w:spacing w:after="0" w:line="217" w:lineRule="exact"/>
        <w:rPr>
          <w:sz w:val="20"/>
          <w:szCs w:val="20"/>
          <w:color w:val="auto"/>
        </w:rPr>
      </w:pPr>
    </w:p>
    <w:p>
      <w:pPr>
        <w:ind w:left="1"/>
        <w:spacing w:after="0"/>
        <w:tabs>
          <w:tab w:leader="none" w:pos="801" w:val="left"/>
        </w:tabs>
        <w:rPr>
          <w:sz w:val="20"/>
          <w:szCs w:val="20"/>
          <w:color w:val="auto"/>
        </w:rPr>
      </w:pPr>
      <w:r>
        <w:rPr>
          <w:rFonts w:ascii="Arial" w:cs="Arial" w:eastAsia="Arial" w:hAnsi="Arial"/>
          <w:sz w:val="16"/>
          <w:szCs w:val="16"/>
          <w:b w:val="1"/>
          <w:bCs w:val="1"/>
          <w:color w:val="auto"/>
        </w:rPr>
        <w:t>Note 14.</w:t>
      </w:r>
      <w:r>
        <w:rPr>
          <w:sz w:val="20"/>
          <w:szCs w:val="20"/>
          <w:color w:val="auto"/>
        </w:rPr>
        <w:tab/>
      </w:r>
      <w:r>
        <w:rPr>
          <w:rFonts w:ascii="Arial" w:cs="Arial" w:eastAsia="Arial" w:hAnsi="Arial"/>
          <w:sz w:val="15"/>
          <w:szCs w:val="15"/>
          <w:b w:val="1"/>
          <w:bCs w:val="1"/>
          <w:color w:val="auto"/>
        </w:rPr>
        <w:t>Property, Plant and Equipment</w:t>
      </w:r>
    </w:p>
    <w:p>
      <w:pPr>
        <w:spacing w:after="0" w:line="239" w:lineRule="exact"/>
        <w:rPr>
          <w:sz w:val="20"/>
          <w:szCs w:val="20"/>
          <w:color w:val="auto"/>
        </w:rPr>
      </w:pPr>
    </w:p>
    <w:p>
      <w:pPr>
        <w:ind w:left="1"/>
        <w:spacing w:after="0"/>
        <w:rPr>
          <w:sz w:val="20"/>
          <w:szCs w:val="20"/>
          <w:color w:val="auto"/>
        </w:rPr>
      </w:pPr>
      <w:r>
        <w:rPr>
          <w:rFonts w:ascii="Arial" w:cs="Arial" w:eastAsia="Arial" w:hAnsi="Arial"/>
          <w:sz w:val="15"/>
          <w:szCs w:val="15"/>
          <w:color w:val="auto"/>
        </w:rPr>
        <w:t>During the first quarter of 2006, we completed a sale of excess land and two buildings at our Pinerolo, Italy facility. The net book value of this land and buildings was</w:t>
      </w:r>
    </w:p>
    <w:p>
      <w:pPr>
        <w:spacing w:after="0" w:line="36" w:lineRule="exact"/>
        <w:rPr>
          <w:sz w:val="20"/>
          <w:szCs w:val="20"/>
          <w:color w:val="auto"/>
        </w:rPr>
      </w:pPr>
    </w:p>
    <w:p>
      <w:pPr>
        <w:ind w:left="1" w:right="140"/>
        <w:spacing w:after="0" w:line="274" w:lineRule="auto"/>
        <w:rPr>
          <w:sz w:val="20"/>
          <w:szCs w:val="20"/>
          <w:color w:val="auto"/>
        </w:rPr>
      </w:pPr>
      <w:r>
        <w:rPr>
          <w:rFonts w:ascii="Arial" w:cs="Arial" w:eastAsia="Arial" w:hAnsi="Arial"/>
          <w:sz w:val="16"/>
          <w:szCs w:val="16"/>
          <w:color w:val="auto"/>
        </w:rPr>
        <w:t>$1,013 and was classified as held for sale at December 31, 2005. The proceeds from the sale were $2,804, resulting in a pre-tax gain of $1,791. In addition, the Pinerolo facility disposed of excess machinery in the first quarter of 2006 with a net book value of $1,087, resulting in a pre-tax loss of $1,062.</w:t>
      </w:r>
    </w:p>
    <w:p>
      <w:pPr>
        <w:spacing w:after="0" w:line="321"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3130"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261"/>
          </w:cols>
          <w:pgMar w:left="239" w:top="703" w:right="39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ind w:right="240"/>
        <w:spacing w:after="0" w:line="364" w:lineRule="auto"/>
        <w:rPr>
          <w:sz w:val="20"/>
          <w:szCs w:val="20"/>
          <w:color w:val="auto"/>
        </w:rPr>
      </w:pPr>
      <w:r>
        <w:rPr>
          <w:rFonts w:ascii="Arial" w:cs="Arial" w:eastAsia="Arial" w:hAnsi="Arial"/>
          <w:sz w:val="14"/>
          <w:szCs w:val="14"/>
          <w:color w:val="auto"/>
        </w:rPr>
        <w:t>Fixed assets at certain European operations of the Metal Bearing Components Segment were impaired as a result of the European restructuring (see Note 3.) The total reduction in fixed assets from the impairment charge was $3,410 and was reported in the restructuring and impairment charges of the Consolidated Statements of Income.</w:t>
      </w:r>
    </w:p>
    <w:p>
      <w:pPr>
        <w:spacing w:after="0" w:line="149"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Note 15.</w:t>
      </w:r>
      <w:r>
        <w:rPr>
          <w:sz w:val="20"/>
          <w:szCs w:val="20"/>
          <w:color w:val="auto"/>
        </w:rPr>
        <w:tab/>
      </w:r>
      <w:r>
        <w:rPr>
          <w:rFonts w:ascii="Arial" w:cs="Arial" w:eastAsia="Arial" w:hAnsi="Arial"/>
          <w:sz w:val="14"/>
          <w:szCs w:val="14"/>
          <w:b w:val="1"/>
          <w:bCs w:val="1"/>
          <w:color w:val="auto"/>
        </w:rPr>
        <w:t>Related Party Transactions</w:t>
      </w:r>
    </w:p>
    <w:p>
      <w:pPr>
        <w:spacing w:after="0" w:line="239"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During the first quarter of 2007, the Company remitted $18,638 to the former sole shareholder of Whirlaway to partially repay the related party note payable. The payment was financed under our $135,000 credit facility. The remaining $2,667 related party debt at December 31, 2006 related to a tax indemnity was eliminated with a corresponding reduction to goodwill in the third quarter of 2007.</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Note 16.</w:t>
      </w:r>
      <w:r>
        <w:rPr>
          <w:sz w:val="20"/>
          <w:szCs w:val="20"/>
          <w:color w:val="auto"/>
        </w:rPr>
        <w:tab/>
      </w:r>
      <w:r>
        <w:rPr>
          <w:rFonts w:ascii="Arial" w:cs="Arial" w:eastAsia="Arial" w:hAnsi="Arial"/>
          <w:sz w:val="14"/>
          <w:szCs w:val="14"/>
          <w:b w:val="1"/>
          <w:bCs w:val="1"/>
          <w:color w:val="auto"/>
        </w:rPr>
        <w:t>Provision for Income Taxes</w:t>
      </w:r>
    </w:p>
    <w:p>
      <w:pPr>
        <w:spacing w:after="0" w:line="23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 adopted the provisions of FIN 48 on January 1, 2007. As a result of the implementation of FIN 48, the Company recognized a $600 increase in our income tax liabilities and a corresponding reduction in beginning retained earnings.</w:t>
      </w:r>
    </w:p>
    <w:p>
      <w:pPr>
        <w:spacing w:after="0" w:line="173"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As of the date of adoption, the total unrecognized benefits were approximately $1,464, all of which, if recognized, would affect the effective tax rate. The amount of unrecognized benefits increased approximately $281 during the nine months ended September 30, 2007. The increase in the unrecognized benefits in 2007 was a result of previous tax planning strategies from operations. During the nine months ended September 30, 2007, this balance was reduced by approximately $220 due to a state tax liability that was paid in the second quarter of 2007.</w:t>
      </w:r>
    </w:p>
    <w:p>
      <w:pPr>
        <w:spacing w:after="0" w:line="192" w:lineRule="exact"/>
        <w:rPr>
          <w:sz w:val="20"/>
          <w:szCs w:val="20"/>
          <w:color w:val="auto"/>
        </w:rPr>
      </w:pPr>
    </w:p>
    <w:p>
      <w:pPr>
        <w:ind w:right="20"/>
        <w:spacing w:after="0" w:line="324" w:lineRule="auto"/>
        <w:rPr>
          <w:sz w:val="20"/>
          <w:szCs w:val="20"/>
          <w:color w:val="auto"/>
        </w:rPr>
      </w:pPr>
      <w:r>
        <w:rPr>
          <w:rFonts w:ascii="Arial" w:cs="Arial" w:eastAsia="Arial" w:hAnsi="Arial"/>
          <w:sz w:val="15"/>
          <w:szCs w:val="15"/>
          <w:color w:val="auto"/>
        </w:rPr>
        <w:t>Interest and penalties related to federal, state, and foreign income tax matters are recorded as a component of the provision for income taxes in our statements of income. We recorded an insignificant amount of foreign interest and penalties to the provision for income taxes in the three and nine months ended September 30, 2007.</w:t>
      </w:r>
    </w:p>
    <w:p>
      <w:pPr>
        <w:spacing w:after="0" w:line="151"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Company or its subsidiaries file income tax returns in the U.S. federal jurisdiction, and in various states and foreign jurisdictions. With few exceptions, the Company is no longer subject to federal, state and local income tax examinations by tax authorities for years before 2001. The Company is no longer subject to non-U.S. income tax examinations within various European Union countries for years before 2002.</w:t>
      </w:r>
    </w:p>
    <w:p>
      <w:pPr>
        <w:spacing w:after="0" w:line="186" w:lineRule="exact"/>
        <w:rPr>
          <w:sz w:val="20"/>
          <w:szCs w:val="20"/>
          <w:color w:val="auto"/>
        </w:rPr>
      </w:pPr>
    </w:p>
    <w:p>
      <w:pPr>
        <w:jc w:val="both"/>
        <w:ind w:right="140"/>
        <w:spacing w:after="0" w:line="267" w:lineRule="auto"/>
        <w:rPr>
          <w:sz w:val="20"/>
          <w:szCs w:val="20"/>
          <w:color w:val="auto"/>
        </w:rPr>
      </w:pPr>
      <w:r>
        <w:rPr>
          <w:rFonts w:ascii="Arial" w:cs="Arial" w:eastAsia="Arial" w:hAnsi="Arial"/>
          <w:sz w:val="16"/>
          <w:szCs w:val="16"/>
          <w:color w:val="auto"/>
        </w:rPr>
        <w:t>For the nine months ended September 30, 2007, the difference between the federal statutory tax rate of 34% and our effective tax rate of negative 775% is primarily due to the large impairment and restructuring charges for the European restructuring with only an 6% effective tax rate. The effective tax rate of the impairments is low as the tax benefits created by these impairments have limited ability to be used in the future based on low amounts of expected income to be generated at the locations effected by the impairments.</w:t>
      </w:r>
    </w:p>
    <w:p>
      <w:pPr>
        <w:spacing w:after="0" w:line="19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Excluding the impairment impacts, the effective tax rate would have been 39.3%. The effective rate is 5.1% higher than usual due to a valuation reserve being placed on a deferred tax asset from tax loss carry forwards at a location still incurring losses.</w:t>
      </w:r>
    </w:p>
    <w:p>
      <w:pPr>
        <w:spacing w:after="0" w:line="194" w:lineRule="exact"/>
        <w:rPr>
          <w:sz w:val="20"/>
          <w:szCs w:val="20"/>
          <w:color w:val="auto"/>
        </w:rPr>
      </w:pPr>
    </w:p>
    <w:p>
      <w:pPr>
        <w:spacing w:after="0"/>
        <w:tabs>
          <w:tab w:leader="none" w:pos="800" w:val="left"/>
        </w:tabs>
        <w:rPr>
          <w:sz w:val="20"/>
          <w:szCs w:val="20"/>
          <w:color w:val="auto"/>
        </w:rPr>
      </w:pPr>
      <w:r>
        <w:rPr>
          <w:rFonts w:ascii="Arial" w:cs="Arial" w:eastAsia="Arial" w:hAnsi="Arial"/>
          <w:sz w:val="16"/>
          <w:szCs w:val="16"/>
          <w:b w:val="1"/>
          <w:bCs w:val="1"/>
          <w:color w:val="auto"/>
        </w:rPr>
        <w:t>Note 17.</w:t>
      </w:r>
      <w:r>
        <w:rPr>
          <w:sz w:val="20"/>
          <w:szCs w:val="20"/>
          <w:color w:val="auto"/>
        </w:rPr>
        <w:tab/>
      </w:r>
      <w:r>
        <w:rPr>
          <w:rFonts w:ascii="Arial" w:cs="Arial" w:eastAsia="Arial" w:hAnsi="Arial"/>
          <w:sz w:val="14"/>
          <w:szCs w:val="14"/>
          <w:b w:val="1"/>
          <w:bCs w:val="1"/>
          <w:color w:val="auto"/>
        </w:rPr>
        <w:t>Contingencies</w:t>
      </w:r>
    </w:p>
    <w:p>
      <w:pPr>
        <w:spacing w:after="0" w:line="239"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24"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207"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Note 18.</w:t>
      </w:r>
      <w:r>
        <w:rPr>
          <w:sz w:val="20"/>
          <w:szCs w:val="20"/>
          <w:color w:val="auto"/>
        </w:rPr>
        <w:tab/>
      </w:r>
      <w:r>
        <w:rPr>
          <w:rFonts w:ascii="Arial" w:cs="Arial" w:eastAsia="Arial" w:hAnsi="Arial"/>
          <w:sz w:val="14"/>
          <w:szCs w:val="14"/>
          <w:b w:val="1"/>
          <w:bCs w:val="1"/>
          <w:color w:val="auto"/>
        </w:rPr>
        <w:t>Common Stock Repurchases</w:t>
      </w:r>
    </w:p>
    <w:p>
      <w:pPr>
        <w:spacing w:after="0" w:line="23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During the quarter ended September 30, 2007, the Company repurchased approximately 211,000 shares at an approximate cost of $10.21 per share for a total of $2,156 under the $10 million common stock repurchase program initiated in February 2006. This program expired on September 13, 2007 and was replaced with a new common stock repurchase program.</w:t>
      </w:r>
    </w:p>
    <w:p>
      <w:pPr>
        <w:spacing w:after="0" w:line="18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new share repurchase program will be in effect for a period of one year beginning on September 13, 2007, and the amount approved for purchase, from this date until the expiration of the program, will be $25 million worth of shares to be purchased in the open market from time to time in accordance with applicable laws and market regulations. During the quarter ended September 30, 2007, the Company repurchased approximately 98,000 shares at an average cost of $10.27 per share for a total of $1,000.</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total of all share repurchases was approximately 309,000 shares for $3,156.</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703" w:right="239" w:bottom="1440" w:gutter="0" w:footer="0" w:header="0"/>
        </w:sectPr>
      </w:pPr>
    </w:p>
    <w:bookmarkStart w:id="20" w:name="page21"/>
    <w:bookmarkEnd w:id="20"/>
    <w:p>
      <w:pPr>
        <w:ind w:right="4420"/>
        <w:spacing w:after="0" w:line="231" w:lineRule="auto"/>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16"/>
          <w:szCs w:val="16"/>
          <w:b w:val="1"/>
          <w:bCs w:val="1"/>
          <w:color w:val="auto"/>
        </w:rPr>
        <w:t>Management’s Discussion and Analysis of Financial Condition and Results of Operations</w:t>
      </w:r>
      <w:r>
        <w:rPr>
          <w:rFonts w:ascii="Arial" w:cs="Arial" w:eastAsia="Arial" w:hAnsi="Arial"/>
          <w:sz w:val="20"/>
          <w:szCs w:val="20"/>
          <w:b w:val="1"/>
          <w:bCs w:val="1"/>
          <w:color w:val="auto"/>
        </w:rPr>
        <w:t xml:space="preserve"> </w:t>
      </w:r>
      <w:r>
        <w:rPr>
          <w:rFonts w:ascii="Arial" w:cs="Arial" w:eastAsia="Arial" w:hAnsi="Arial"/>
          <w:sz w:val="16"/>
          <w:szCs w:val="16"/>
          <w:b w:val="1"/>
          <w:bCs w:val="1"/>
          <w:color w:val="auto"/>
        </w:rPr>
        <w:t>Risk Factors</w:t>
      </w:r>
    </w:p>
    <w:p>
      <w:pPr>
        <w:spacing w:after="0" w:line="211"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color w:val="auto"/>
        </w:rPr>
        <w:t>Our risk factors are disclosed in our Annual Report on Form 10-K for the year ended December 31, 2006 under Item 1.A. “Risk Factors”. There have been no material changes to these risk factors since December 31, 2006.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Three Months Ended September 30, 2007 Compared to the Three Months Ended September 30, 2006.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140" w:type="dxa"/>
            <w:vAlign w:val="bottom"/>
            <w:gridSpan w:val="2"/>
          </w:tcPr>
          <w:p>
            <w:pPr>
              <w:spacing w:after="0"/>
              <w:rPr>
                <w:sz w:val="20"/>
                <w:szCs w:val="20"/>
                <w:color w:val="auto"/>
              </w:rPr>
            </w:pPr>
            <w:r>
              <w:rPr>
                <w:rFonts w:ascii="Arial" w:cs="Arial" w:eastAsia="Arial" w:hAnsi="Arial"/>
                <w:sz w:val="16"/>
                <w:szCs w:val="16"/>
                <w:b w:val="1"/>
                <w:bCs w:val="1"/>
                <w:color w:val="auto"/>
              </w:rPr>
              <w:t>OVERALL RESULTS</w:t>
            </w:r>
          </w:p>
        </w:tc>
        <w:tc>
          <w:tcPr>
            <w:tcW w:w="16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6140" w:type="dxa"/>
            <w:vAlign w:val="bottom"/>
            <w:gridSpan w:val="2"/>
          </w:tcPr>
          <w:p>
            <w:pPr>
              <w:ind w:left="1140"/>
              <w:spacing w:after="0"/>
              <w:rPr>
                <w:sz w:val="20"/>
                <w:szCs w:val="20"/>
                <w:color w:val="auto"/>
              </w:rPr>
            </w:pPr>
            <w:r>
              <w:rPr>
                <w:rFonts w:ascii="Arial" w:cs="Arial" w:eastAsia="Arial" w:hAnsi="Arial"/>
                <w:sz w:val="16"/>
                <w:szCs w:val="16"/>
                <w:color w:val="auto"/>
              </w:rPr>
              <w:t>(In Thousands of Dollars)</w:t>
            </w:r>
          </w:p>
        </w:tc>
        <w:tc>
          <w:tcPr>
            <w:tcW w:w="29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Consolidated NN, Inc.</w:t>
            </w: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640" w:type="dxa"/>
            <w:vAlign w:val="bottom"/>
          </w:tcPr>
          <w:p>
            <w:pPr>
              <w:jc w:val="right"/>
              <w:ind w:right="678"/>
              <w:spacing w:after="0" w:line="181" w:lineRule="exact"/>
              <w:rPr>
                <w:sz w:val="20"/>
                <w:szCs w:val="20"/>
                <w:color w:val="auto"/>
              </w:rPr>
            </w:pPr>
            <w:r>
              <w:rPr>
                <w:rFonts w:ascii="Arial" w:cs="Arial" w:eastAsia="Arial" w:hAnsi="Arial"/>
                <w:sz w:val="16"/>
                <w:szCs w:val="16"/>
                <w:b w:val="1"/>
                <w:bCs w:val="1"/>
                <w:color w:val="auto"/>
              </w:rPr>
              <w:t>2007</w:t>
            </w:r>
          </w:p>
        </w:tc>
        <w:tc>
          <w:tcPr>
            <w:tcW w:w="1260" w:type="dxa"/>
            <w:vAlign w:val="bottom"/>
          </w:tcPr>
          <w:p>
            <w:pPr>
              <w:spacing w:after="0"/>
              <w:rPr>
                <w:sz w:val="15"/>
                <w:szCs w:val="15"/>
                <w:color w:val="auto"/>
              </w:rPr>
            </w:pPr>
          </w:p>
        </w:tc>
        <w:tc>
          <w:tcPr>
            <w:tcW w:w="74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8"/>
        </w:trPr>
        <w:tc>
          <w:tcPr>
            <w:tcW w:w="114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640" w:type="dxa"/>
            <w:vAlign w:val="bottom"/>
          </w:tcPr>
          <w:p>
            <w:pPr>
              <w:jc w:val="right"/>
              <w:ind w:right="458"/>
              <w:spacing w:after="0"/>
              <w:rPr>
                <w:sz w:val="20"/>
                <w:szCs w:val="20"/>
                <w:color w:val="auto"/>
              </w:rPr>
            </w:pPr>
            <w:r>
              <w:rPr>
                <w:rFonts w:ascii="Arial" w:cs="Arial" w:eastAsia="Arial" w:hAnsi="Arial"/>
                <w:sz w:val="16"/>
                <w:szCs w:val="16"/>
                <w:b w:val="1"/>
                <w:bCs w:val="1"/>
                <w:color w:val="auto"/>
              </w:rPr>
              <w:t>As restated</w:t>
            </w:r>
          </w:p>
        </w:tc>
        <w:tc>
          <w:tcPr>
            <w:tcW w:w="1260" w:type="dxa"/>
            <w:vAlign w:val="bottom"/>
          </w:tcPr>
          <w:p>
            <w:pPr>
              <w:jc w:val="right"/>
              <w:ind w:right="658"/>
              <w:spacing w:after="0"/>
              <w:rPr>
                <w:sz w:val="20"/>
                <w:szCs w:val="20"/>
                <w:color w:val="auto"/>
              </w:rPr>
            </w:pPr>
            <w:r>
              <w:rPr>
                <w:rFonts w:ascii="Arial" w:cs="Arial" w:eastAsia="Arial" w:hAnsi="Arial"/>
                <w:sz w:val="16"/>
                <w:szCs w:val="16"/>
                <w:b w:val="1"/>
                <w:bCs w:val="1"/>
                <w:color w:val="auto"/>
              </w:rPr>
              <w:t>2006</w:t>
            </w:r>
          </w:p>
        </w:tc>
        <w:tc>
          <w:tcPr>
            <w:tcW w:w="1260" w:type="dxa"/>
            <w:vAlign w:val="bottom"/>
            <w:gridSpan w:val="3"/>
          </w:tcPr>
          <w:p>
            <w:pPr>
              <w:jc w:val="right"/>
              <w:ind w:right="420"/>
              <w:spacing w:after="0"/>
              <w:rPr>
                <w:sz w:val="20"/>
                <w:szCs w:val="20"/>
                <w:color w:val="auto"/>
              </w:rPr>
            </w:pPr>
            <w:r>
              <w:rPr>
                <w:rFonts w:ascii="Arial" w:cs="Arial" w:eastAsia="Arial" w:hAnsi="Arial"/>
                <w:sz w:val="16"/>
                <w:szCs w:val="16"/>
                <w:b w:val="1"/>
                <w:bCs w:val="1"/>
                <w:color w:val="auto"/>
                <w:w w:val="94"/>
              </w:rPr>
              <w:t>As restated</w:t>
            </w:r>
          </w:p>
        </w:tc>
      </w:tr>
      <w:tr>
        <w:trPr>
          <w:trHeight w:val="197"/>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64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$ 99,021</w:t>
            </w:r>
          </w:p>
        </w:tc>
        <w:tc>
          <w:tcPr>
            <w:tcW w:w="1260" w:type="dxa"/>
            <w:vAlign w:val="bottom"/>
            <w:tcBorders>
              <w:top w:val="single" w:sz="8" w:color="auto"/>
            </w:tcBorders>
            <w:shd w:val="clear" w:color="auto" w:fill="CCEEFF"/>
          </w:tcPr>
          <w:p>
            <w:pPr>
              <w:jc w:val="right"/>
              <w:ind w:right="258"/>
              <w:spacing w:after="0"/>
              <w:rPr>
                <w:sz w:val="20"/>
                <w:szCs w:val="20"/>
                <w:color w:val="auto"/>
              </w:rPr>
            </w:pPr>
            <w:r>
              <w:rPr>
                <w:rFonts w:ascii="Arial" w:cs="Arial" w:eastAsia="Arial" w:hAnsi="Arial"/>
                <w:sz w:val="16"/>
                <w:szCs w:val="16"/>
                <w:color w:val="auto"/>
              </w:rPr>
              <w:t>$ 74,870</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24,151</w:t>
            </w:r>
          </w:p>
        </w:tc>
        <w:tc>
          <w:tcPr>
            <w:tcW w:w="20" w:type="dxa"/>
            <w:vAlign w:val="bottom"/>
          </w:tcPr>
          <w:p>
            <w:pPr>
              <w:spacing w:after="0"/>
              <w:rPr>
                <w:sz w:val="17"/>
                <w:szCs w:val="17"/>
                <w:color w:val="auto"/>
              </w:rPr>
            </w:pPr>
          </w:p>
        </w:tc>
      </w:tr>
      <w:tr>
        <w:trPr>
          <w:trHeight w:val="185"/>
        </w:trPr>
        <w:tc>
          <w:tcPr>
            <w:tcW w:w="114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Cost of products sold (exclusive of depreciation</w:t>
            </w:r>
          </w:p>
        </w:tc>
        <w:tc>
          <w:tcPr>
            <w:tcW w:w="16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5000" w:type="dxa"/>
            <w:vAlign w:val="bottom"/>
          </w:tcPr>
          <w:p>
            <w:pPr>
              <w:ind w:left="80"/>
              <w:spacing w:after="0"/>
              <w:rPr>
                <w:sz w:val="20"/>
                <w:szCs w:val="20"/>
                <w:color w:val="auto"/>
              </w:rPr>
            </w:pPr>
            <w:r>
              <w:rPr>
                <w:rFonts w:ascii="Arial" w:cs="Arial" w:eastAsia="Arial" w:hAnsi="Arial"/>
                <w:sz w:val="16"/>
                <w:szCs w:val="16"/>
                <w:color w:val="auto"/>
              </w:rPr>
              <w:t>and amortization shown separately below)</w:t>
            </w:r>
          </w:p>
        </w:tc>
        <w:tc>
          <w:tcPr>
            <w:tcW w:w="1640" w:type="dxa"/>
            <w:vAlign w:val="bottom"/>
          </w:tcPr>
          <w:p>
            <w:pPr>
              <w:jc w:val="right"/>
              <w:ind w:right="118"/>
              <w:spacing w:after="0"/>
              <w:rPr>
                <w:sz w:val="20"/>
                <w:szCs w:val="20"/>
                <w:color w:val="auto"/>
              </w:rPr>
            </w:pPr>
            <w:r>
              <w:rPr>
                <w:rFonts w:ascii="Arial" w:cs="Arial" w:eastAsia="Arial" w:hAnsi="Arial"/>
                <w:sz w:val="16"/>
                <w:szCs w:val="16"/>
                <w:color w:val="auto"/>
              </w:rPr>
              <w:t>80,264</w:t>
            </w:r>
          </w:p>
        </w:tc>
        <w:tc>
          <w:tcPr>
            <w:tcW w:w="1260" w:type="dxa"/>
            <w:vAlign w:val="bottom"/>
          </w:tcPr>
          <w:p>
            <w:pPr>
              <w:jc w:val="right"/>
              <w:ind w:right="258"/>
              <w:spacing w:after="0"/>
              <w:rPr>
                <w:sz w:val="20"/>
                <w:szCs w:val="20"/>
                <w:color w:val="auto"/>
              </w:rPr>
            </w:pPr>
            <w:r>
              <w:rPr>
                <w:rFonts w:ascii="Arial" w:cs="Arial" w:eastAsia="Arial" w:hAnsi="Arial"/>
                <w:sz w:val="16"/>
                <w:szCs w:val="16"/>
                <w:color w:val="auto"/>
              </w:rPr>
              <w:t>58,693</w:t>
            </w:r>
          </w:p>
        </w:tc>
        <w:tc>
          <w:tcPr>
            <w:tcW w:w="7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21,571</w:t>
            </w:r>
          </w:p>
        </w:tc>
      </w:tr>
      <w:tr>
        <w:trPr>
          <w:trHeight w:val="199"/>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8,423</w:t>
            </w:r>
          </w:p>
        </w:tc>
        <w:tc>
          <w:tcPr>
            <w:tcW w:w="12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7,178</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40" w:type="dxa"/>
            <w:vAlign w:val="bottom"/>
          </w:tcPr>
          <w:p>
            <w:pPr>
              <w:jc w:val="right"/>
              <w:ind w:right="138"/>
              <w:spacing w:after="0"/>
              <w:rPr>
                <w:sz w:val="20"/>
                <w:szCs w:val="20"/>
                <w:color w:val="auto"/>
              </w:rPr>
            </w:pPr>
            <w:r>
              <w:rPr>
                <w:rFonts w:ascii="Arial" w:cs="Arial" w:eastAsia="Arial" w:hAnsi="Arial"/>
                <w:sz w:val="16"/>
                <w:szCs w:val="16"/>
                <w:color w:val="auto"/>
              </w:rPr>
              <w:t>5,771</w:t>
            </w:r>
          </w:p>
        </w:tc>
        <w:tc>
          <w:tcPr>
            <w:tcW w:w="1260" w:type="dxa"/>
            <w:vAlign w:val="bottom"/>
          </w:tcPr>
          <w:p>
            <w:pPr>
              <w:jc w:val="right"/>
              <w:ind w:right="258"/>
              <w:spacing w:after="0"/>
              <w:rPr>
                <w:sz w:val="20"/>
                <w:szCs w:val="20"/>
                <w:color w:val="auto"/>
              </w:rPr>
            </w:pPr>
            <w:r>
              <w:rPr>
                <w:rFonts w:ascii="Arial" w:cs="Arial" w:eastAsia="Arial" w:hAnsi="Arial"/>
                <w:sz w:val="16"/>
                <w:szCs w:val="16"/>
                <w:color w:val="auto"/>
              </w:rPr>
              <w:t>4,192</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1,579</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1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1,362</w:t>
            </w:r>
          </w:p>
        </w:tc>
        <w:tc>
          <w:tcPr>
            <w:tcW w:w="12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1,362</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Arial" w:cs="Arial" w:eastAsia="Arial" w:hAnsi="Arial"/>
                <w:sz w:val="16"/>
                <w:szCs w:val="16"/>
                <w:color w:val="auto"/>
              </w:rPr>
              <w:t>Interest expense, net</w:t>
            </w:r>
          </w:p>
        </w:tc>
        <w:tc>
          <w:tcPr>
            <w:tcW w:w="1640" w:type="dxa"/>
            <w:vAlign w:val="bottom"/>
          </w:tcPr>
          <w:p>
            <w:pPr>
              <w:jc w:val="right"/>
              <w:ind w:right="138"/>
              <w:spacing w:after="0"/>
              <w:rPr>
                <w:sz w:val="20"/>
                <w:szCs w:val="20"/>
                <w:color w:val="auto"/>
              </w:rPr>
            </w:pPr>
            <w:r>
              <w:rPr>
                <w:rFonts w:ascii="Arial" w:cs="Arial" w:eastAsia="Arial" w:hAnsi="Arial"/>
                <w:sz w:val="16"/>
                <w:szCs w:val="16"/>
                <w:color w:val="auto"/>
              </w:rPr>
              <w:t>1,496</w:t>
            </w:r>
          </w:p>
        </w:tc>
        <w:tc>
          <w:tcPr>
            <w:tcW w:w="1260" w:type="dxa"/>
            <w:vAlign w:val="bottom"/>
          </w:tcPr>
          <w:p>
            <w:pPr>
              <w:jc w:val="right"/>
              <w:ind w:right="258"/>
              <w:spacing w:after="0"/>
              <w:rPr>
                <w:sz w:val="20"/>
                <w:szCs w:val="20"/>
                <w:color w:val="auto"/>
              </w:rPr>
            </w:pPr>
            <w:r>
              <w:rPr>
                <w:rFonts w:ascii="Arial" w:cs="Arial" w:eastAsia="Arial" w:hAnsi="Arial"/>
                <w:sz w:val="16"/>
                <w:szCs w:val="16"/>
                <w:color w:val="auto"/>
              </w:rPr>
              <w:t>916</w:t>
            </w:r>
          </w:p>
        </w:tc>
        <w:tc>
          <w:tcPr>
            <w:tcW w:w="7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580</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assets</w:t>
            </w:r>
          </w:p>
        </w:tc>
        <w:tc>
          <w:tcPr>
            <w:tcW w:w="1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(11)</w:t>
            </w:r>
          </w:p>
        </w:tc>
        <w:tc>
          <w:tcPr>
            <w:tcW w:w="12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7"/>
                <w:szCs w:val="17"/>
                <w:color w:val="auto"/>
              </w:rPr>
            </w:pPr>
          </w:p>
        </w:tc>
      </w:tr>
      <w:tr>
        <w:trPr>
          <w:trHeight w:val="202"/>
        </w:trPr>
        <w:tc>
          <w:tcPr>
            <w:tcW w:w="6140" w:type="dxa"/>
            <w:vAlign w:val="bottom"/>
            <w:gridSpan w:val="2"/>
          </w:tcPr>
          <w:p>
            <w:pPr>
              <w:ind w:left="1140"/>
              <w:spacing w:after="0"/>
              <w:rPr>
                <w:sz w:val="20"/>
                <w:szCs w:val="20"/>
                <w:color w:val="auto"/>
              </w:rPr>
            </w:pPr>
            <w:r>
              <w:rPr>
                <w:rFonts w:ascii="Arial" w:cs="Arial" w:eastAsia="Arial" w:hAnsi="Arial"/>
                <w:sz w:val="16"/>
                <w:szCs w:val="16"/>
                <w:color w:val="auto"/>
              </w:rPr>
              <w:t>Other income, net</w:t>
            </w: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(154)</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(550)</w:t>
            </w: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396</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provision for income taxes</w:t>
            </w:r>
          </w:p>
        </w:tc>
        <w:tc>
          <w:tcPr>
            <w:tcW w:w="164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1,870</w:t>
            </w:r>
          </w:p>
        </w:tc>
        <w:tc>
          <w:tcPr>
            <w:tcW w:w="126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rPr>
              <w:t>4,441</w:t>
            </w: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(2,571)</w:t>
            </w:r>
          </w:p>
        </w:tc>
        <w:tc>
          <w:tcPr>
            <w:tcW w:w="20" w:type="dxa"/>
            <w:vAlign w:val="bottom"/>
          </w:tcPr>
          <w:p>
            <w:pPr>
              <w:spacing w:after="0"/>
              <w:rPr>
                <w:sz w:val="17"/>
                <w:szCs w:val="17"/>
                <w:color w:val="auto"/>
              </w:rPr>
            </w:pPr>
          </w:p>
        </w:tc>
      </w:tr>
      <w:tr>
        <w:trPr>
          <w:trHeight w:val="202"/>
        </w:trPr>
        <w:tc>
          <w:tcPr>
            <w:tcW w:w="6140" w:type="dxa"/>
            <w:vAlign w:val="bottom"/>
            <w:gridSpan w:val="2"/>
          </w:tcPr>
          <w:p>
            <w:pPr>
              <w:ind w:left="1140"/>
              <w:spacing w:after="0"/>
              <w:rPr>
                <w:sz w:val="20"/>
                <w:szCs w:val="20"/>
                <w:color w:val="auto"/>
              </w:rPr>
            </w:pPr>
            <w:r>
              <w:rPr>
                <w:rFonts w:ascii="Arial" w:cs="Arial" w:eastAsia="Arial" w:hAnsi="Arial"/>
                <w:sz w:val="16"/>
                <w:szCs w:val="16"/>
                <w:color w:val="auto"/>
              </w:rPr>
              <w:t>Provision for income taxes</w:t>
            </w:r>
          </w:p>
        </w:tc>
        <w:tc>
          <w:tcPr>
            <w:tcW w:w="164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1,472</w:t>
            </w:r>
          </w:p>
        </w:tc>
        <w:tc>
          <w:tcPr>
            <w:tcW w:w="1260" w:type="dxa"/>
            <w:vAlign w:val="bottom"/>
            <w:tcBorders>
              <w:bottom w:val="single" w:sz="8" w:color="auto"/>
            </w:tcBorders>
          </w:tcPr>
          <w:p>
            <w:pPr>
              <w:jc w:val="right"/>
              <w:ind w:right="258"/>
              <w:spacing w:after="0"/>
              <w:rPr>
                <w:sz w:val="20"/>
                <w:szCs w:val="20"/>
                <w:color w:val="auto"/>
              </w:rPr>
            </w:pPr>
            <w:r>
              <w:rPr>
                <w:rFonts w:ascii="Arial" w:cs="Arial" w:eastAsia="Arial" w:hAnsi="Arial"/>
                <w:sz w:val="16"/>
                <w:szCs w:val="16"/>
                <w:color w:val="auto"/>
              </w:rPr>
              <w:t>1,808</w:t>
            </w:r>
          </w:p>
        </w:tc>
        <w:tc>
          <w:tcPr>
            <w:tcW w:w="7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2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500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640" w:type="dxa"/>
            <w:vAlign w:val="bottom"/>
            <w:tcBorders>
              <w:bottom w:val="single" w:sz="8" w:color="auto"/>
            </w:tcBorders>
            <w:shd w:val="clear" w:color="auto" w:fill="CCEEFF"/>
          </w:tcPr>
          <w:p>
            <w:pPr>
              <w:jc w:val="right"/>
              <w:ind w:right="118"/>
              <w:spacing w:after="0" w:line="178" w:lineRule="exact"/>
              <w:rPr>
                <w:sz w:val="20"/>
                <w:szCs w:val="20"/>
                <w:color w:val="auto"/>
              </w:rPr>
            </w:pPr>
            <w:r>
              <w:rPr>
                <w:rFonts w:ascii="Arial" w:cs="Arial" w:eastAsia="Arial" w:hAnsi="Arial"/>
                <w:sz w:val="16"/>
                <w:szCs w:val="16"/>
                <w:color w:val="auto"/>
              </w:rPr>
              <w:t>$ 398</w:t>
            </w:r>
          </w:p>
        </w:tc>
        <w:tc>
          <w:tcPr>
            <w:tcW w:w="1260" w:type="dxa"/>
            <w:vAlign w:val="bottom"/>
            <w:tcBorders>
              <w:bottom w:val="single" w:sz="8" w:color="auto"/>
            </w:tcBorders>
            <w:shd w:val="clear" w:color="auto" w:fill="CCEEFF"/>
          </w:tcPr>
          <w:p>
            <w:pPr>
              <w:jc w:val="right"/>
              <w:ind w:right="258"/>
              <w:spacing w:after="0" w:line="178" w:lineRule="exact"/>
              <w:rPr>
                <w:sz w:val="20"/>
                <w:szCs w:val="20"/>
                <w:color w:val="auto"/>
              </w:rPr>
            </w:pPr>
            <w:r>
              <w:rPr>
                <w:rFonts w:ascii="Arial" w:cs="Arial" w:eastAsia="Arial" w:hAnsi="Arial"/>
                <w:sz w:val="16"/>
                <w:szCs w:val="16"/>
                <w:color w:val="auto"/>
              </w:rPr>
              <w:t>$ 2,633</w:t>
            </w:r>
          </w:p>
        </w:tc>
        <w:tc>
          <w:tcPr>
            <w:tcW w:w="740" w:type="dxa"/>
            <w:vAlign w:val="bottom"/>
            <w:tcBorders>
              <w:bottom w:val="single" w:sz="8" w:color="auto"/>
            </w:tcBorders>
            <w:shd w:val="clear" w:color="auto" w:fill="CCEEFF"/>
          </w:tcPr>
          <w:p>
            <w:pPr>
              <w:jc w:val="right"/>
              <w:ind w:right="18"/>
              <w:spacing w:after="0" w:line="178" w:lineRule="exact"/>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4"/>
              </w:rPr>
              <w:t>(2,235)</w:t>
            </w:r>
          </w:p>
        </w:tc>
        <w:tc>
          <w:tcPr>
            <w:tcW w:w="20" w:type="dxa"/>
            <w:vAlign w:val="bottom"/>
          </w:tcPr>
          <w:p>
            <w:pPr>
              <w:spacing w:after="0"/>
              <w:rPr>
                <w:sz w:val="20"/>
                <w:szCs w:val="20"/>
                <w:color w:val="auto"/>
              </w:rPr>
            </w:pPr>
          </w:p>
        </w:tc>
      </w:tr>
    </w:tbl>
    <w:p>
      <w:pPr>
        <w:spacing w:after="0" w:line="209" w:lineRule="exact"/>
        <w:rPr>
          <w:sz w:val="20"/>
          <w:szCs w:val="20"/>
          <w:color w:val="auto"/>
        </w:rPr>
      </w:pPr>
    </w:p>
    <w:p>
      <w:pPr>
        <w:spacing w:after="0" w:line="265"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Sales have increased due to the addition of the Precision Metal Components Segment with the acquisition of Whirlaway on November 30, 2006 ($15.6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from increases in sales volume primarily in our Metal Bearing Components Segment ($4.0 million), and due to appreciation in value of Euro denominated sales relative to the U.S. Dollar ($3.8 million). In addition, sales have increased due to passing through raw material inflation to customers ($1.8 million). Partially offsetting these increases are reductions from price decreases given to several large customers in agreement with contractual terms ($0.8 million) and unfavorable product mix to existing customers ($0.3 million).</w:t>
      </w:r>
    </w:p>
    <w:p>
      <w:pPr>
        <w:spacing w:after="0" w:line="193"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i w:val="1"/>
          <w:iCs w:val="1"/>
          <w:color w:val="auto"/>
        </w:rPr>
        <w:t xml:space="preserve">Cost of Products Sold (exclusive of depreciation and amortization). </w:t>
      </w:r>
      <w:r>
        <w:rPr>
          <w:rFonts w:ascii="Arial" w:cs="Arial" w:eastAsia="Arial" w:hAnsi="Arial"/>
          <w:sz w:val="16"/>
          <w:szCs w:val="16"/>
          <w:color w:val="auto"/>
        </w:rPr>
        <w:t>Cost of products sold increased primarily due to the addition of the Precision Metal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on November 30, 2006 ($13.7 million) and due to the increase in the value of Euro denominated costs relative to the U.S. Dollar ($3.1 million). In addition, costs increased related to higher sales volume in our Metal Bearing Components Segment ($3.0 million). Finally, raw material, labor and utility inflation increased ($2.0 million). Offsetting these increases were the impacts of cost reduction projects that reduced cost of manufacturing ($0.3 million).</w:t>
      </w:r>
    </w:p>
    <w:p>
      <w:pPr>
        <w:spacing w:after="0" w:line="192" w:lineRule="exact"/>
        <w:rPr>
          <w:sz w:val="20"/>
          <w:szCs w:val="20"/>
          <w:color w:val="auto"/>
        </w:rPr>
      </w:pPr>
    </w:p>
    <w:p>
      <w:pPr>
        <w:ind w:right="280"/>
        <w:spacing w:after="0" w:line="324" w:lineRule="auto"/>
        <w:rPr>
          <w:sz w:val="20"/>
          <w:szCs w:val="20"/>
          <w:color w:val="auto"/>
        </w:rPr>
      </w:pPr>
      <w:r>
        <w:rPr>
          <w:rFonts w:ascii="Arial" w:cs="Arial" w:eastAsia="Arial" w:hAnsi="Arial"/>
          <w:sz w:val="15"/>
          <w:szCs w:val="15"/>
          <w:i w:val="1"/>
          <w:iCs w:val="1"/>
          <w:color w:val="auto"/>
        </w:rPr>
        <w:t xml:space="preserve">Selling, General and Administrative Expenses. </w:t>
      </w:r>
      <w:r>
        <w:rPr>
          <w:rFonts w:ascii="Arial" w:cs="Arial" w:eastAsia="Arial" w:hAnsi="Arial"/>
          <w:sz w:val="15"/>
          <w:szCs w:val="15"/>
          <w:color w:val="auto"/>
        </w:rPr>
        <w:t>The increase was primarily due to the addition of the Precision Metal Components Segment on November 30, 2006 ($1.1</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In addition, SG&amp;A expense increased due to the appreciation in the value of Euro denominated expenses relative to the U.S. Dollar ($0.2 million).</w:t>
      </w:r>
    </w:p>
    <w:p>
      <w:pPr>
        <w:spacing w:after="0" w:line="151"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These costs are higher primarily due to the acquisition of the Precision Metal Components Segment ($1.0 million) and due to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Euro based depreciation and amortization relative to the U.S. Dollar ($0.2 million).</w:t>
      </w:r>
    </w:p>
    <w:p>
      <w:pPr>
        <w:spacing w:after="0" w:line="173" w:lineRule="exact"/>
        <w:rPr>
          <w:sz w:val="20"/>
          <w:szCs w:val="20"/>
          <w:color w:val="auto"/>
        </w:rPr>
      </w:pPr>
    </w:p>
    <w:p>
      <w:pPr>
        <w:jc w:val="center"/>
        <w:ind w:right="140"/>
        <w:spacing w:after="0"/>
        <w:tabs>
          <w:tab w:leader="none" w:pos="100" w:val="left"/>
        </w:tabs>
        <w:rPr>
          <w:sz w:val="20"/>
          <w:szCs w:val="20"/>
          <w:color w:val="auto"/>
        </w:rPr>
      </w:pPr>
      <w:r>
        <w:rPr>
          <w:rFonts w:ascii="Arial" w:cs="Arial" w:eastAsia="Arial" w:hAnsi="Arial"/>
          <w:sz w:val="16"/>
          <w:szCs w:val="16"/>
          <w:i w:val="1"/>
          <w:iCs w:val="1"/>
          <w:color w:val="auto"/>
        </w:rPr>
        <w:t>Interest expense.</w:t>
      </w:r>
      <w:r>
        <w:rPr>
          <w:sz w:val="20"/>
          <w:szCs w:val="20"/>
          <w:color w:val="auto"/>
        </w:rPr>
        <w:tab/>
      </w:r>
      <w:r>
        <w:rPr>
          <w:rFonts w:ascii="Arial" w:cs="Arial" w:eastAsia="Arial" w:hAnsi="Arial"/>
          <w:sz w:val="14"/>
          <w:szCs w:val="14"/>
          <w:color w:val="auto"/>
        </w:rPr>
        <w:t>Interest expense is higher due to the additional debt assumed to acquire the Precision Metal Components Segment on November 30, 2006 ($0.6 million).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694" w:right="259" w:bottom="1440" w:gutter="0" w:footer="0" w:header="0"/>
        </w:sectPr>
      </w:pPr>
    </w:p>
    <w:bookmarkStart w:id="21" w:name="page22"/>
    <w:bookmarkEnd w:id="21"/>
    <w:p>
      <w:pPr>
        <w:ind w:right="400"/>
        <w:spacing w:after="0" w:line="273" w:lineRule="auto"/>
        <w:rPr>
          <w:sz w:val="20"/>
          <w:szCs w:val="20"/>
          <w:color w:val="auto"/>
        </w:rPr>
      </w:pPr>
      <w:r>
        <w:rPr>
          <w:rFonts w:ascii="Arial" w:cs="Arial" w:eastAsia="Arial" w:hAnsi="Arial"/>
          <w:sz w:val="16"/>
          <w:szCs w:val="16"/>
          <w:i w:val="1"/>
          <w:iCs w:val="1"/>
          <w:color w:val="auto"/>
        </w:rPr>
        <w:t xml:space="preserve">Restructuring and Impairment Changes. </w:t>
      </w:r>
      <w:r>
        <w:rPr>
          <w:rFonts w:ascii="Arial" w:cs="Arial" w:eastAsia="Arial" w:hAnsi="Arial"/>
          <w:sz w:val="16"/>
          <w:szCs w:val="16"/>
          <w:color w:val="auto"/>
        </w:rPr>
        <w:t>During the third quarter of 2007, we accrued $1.3 million, in accordance with SFAS 146, for severance cost to terminate 15</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at our Eltmann, Germany facility and 1 employee at our Metal Bearing Components Segment headquarters . In addition, during the third quarter of 2007 an additional $0.1 million of non-cash impairment charges were recorded in the Metal Bearing Components Segment.</w:t>
      </w:r>
    </w:p>
    <w:p>
      <w:pPr>
        <w:spacing w:after="0" w:line="18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third quarter of 2007 effective tax rate of 11.7% is primarily due to the large impairment charges for the European restructuring without any</w:t>
      </w:r>
      <w:r>
        <w:rPr>
          <w:rFonts w:ascii="Arial" w:cs="Arial" w:eastAsia="Arial" w:hAnsi="Arial"/>
          <w:sz w:val="16"/>
          <w:szCs w:val="16"/>
          <w:i w:val="1"/>
          <w:iCs w:val="1"/>
          <w:color w:val="auto"/>
        </w:rPr>
        <w:t xml:space="preserve"> </w:t>
      </w:r>
      <w:r>
        <w:rPr>
          <w:rFonts w:ascii="Arial" w:cs="Arial" w:eastAsia="Arial" w:hAnsi="Arial"/>
          <w:sz w:val="16"/>
          <w:szCs w:val="16"/>
          <w:color w:val="auto"/>
        </w:rPr>
        <w:t>tax benefit.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420" w:type="dxa"/>
            <w:vAlign w:val="bottom"/>
            <w:gridSpan w:val="4"/>
          </w:tcPr>
          <w:p>
            <w:pPr>
              <w:spacing w:after="0"/>
              <w:rPr>
                <w:sz w:val="20"/>
                <w:szCs w:val="20"/>
                <w:color w:val="auto"/>
              </w:rPr>
            </w:pPr>
            <w:r>
              <w:rPr>
                <w:rFonts w:ascii="Arial" w:cs="Arial" w:eastAsia="Arial" w:hAnsi="Arial"/>
                <w:sz w:val="16"/>
                <w:szCs w:val="16"/>
                <w:b w:val="1"/>
                <w:bCs w:val="1"/>
                <w:color w:val="auto"/>
              </w:rPr>
              <w:t>RESULTS BY SEGMENT</w:t>
            </w:r>
          </w:p>
        </w:tc>
        <w:tc>
          <w:tcPr>
            <w:tcW w:w="9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METAL BEARING COMPONENTS SEGMENT</w:t>
            </w:r>
          </w:p>
        </w:tc>
        <w:tc>
          <w:tcPr>
            <w:tcW w:w="29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6420" w:type="dxa"/>
            <w:vAlign w:val="bottom"/>
            <w:gridSpan w:val="4"/>
          </w:tcPr>
          <w:p>
            <w:pPr>
              <w:ind w:left="1140"/>
              <w:spacing w:after="0"/>
              <w:rPr>
                <w:sz w:val="20"/>
                <w:szCs w:val="20"/>
                <w:color w:val="auto"/>
              </w:rPr>
            </w:pPr>
            <w:r>
              <w:rPr>
                <w:rFonts w:ascii="Arial" w:cs="Arial" w:eastAsia="Arial" w:hAnsi="Arial"/>
                <w:sz w:val="16"/>
                <w:szCs w:val="16"/>
                <w:color w:val="auto"/>
              </w:rPr>
              <w:t>(In Thousands of Dollars)</w:t>
            </w:r>
          </w:p>
        </w:tc>
        <w:tc>
          <w:tcPr>
            <w:tcW w:w="3880" w:type="dxa"/>
            <w:vAlign w:val="bottom"/>
            <w:gridSpan w:val="5"/>
          </w:tcPr>
          <w:p>
            <w:pPr>
              <w:jc w:val="right"/>
              <w:ind w:right="1240"/>
              <w:spacing w:after="0"/>
              <w:rPr>
                <w:sz w:val="20"/>
                <w:szCs w:val="20"/>
                <w:color w:val="auto"/>
              </w:rPr>
            </w:pPr>
            <w:r>
              <w:rPr>
                <w:rFonts w:ascii="Arial" w:cs="Arial" w:eastAsia="Arial" w:hAnsi="Arial"/>
                <w:sz w:val="16"/>
                <w:szCs w:val="16"/>
                <w:b w:val="1"/>
                <w:bCs w:val="1"/>
                <w:color w:val="auto"/>
                <w:w w:val="96"/>
              </w:rPr>
              <w:t>Three Months Ended September 30,</w:t>
            </w:r>
          </w:p>
        </w:tc>
        <w:tc>
          <w:tcPr>
            <w:tcW w:w="0" w:type="dxa"/>
            <w:vAlign w:val="bottom"/>
          </w:tcPr>
          <w:p>
            <w:pPr>
              <w:spacing w:after="0"/>
              <w:rPr>
                <w:sz w:val="1"/>
                <w:szCs w:val="1"/>
                <w:color w:val="auto"/>
              </w:rPr>
            </w:pPr>
          </w:p>
        </w:tc>
      </w:tr>
      <w:tr>
        <w:trPr>
          <w:trHeight w:val="181"/>
        </w:trPr>
        <w:tc>
          <w:tcPr>
            <w:tcW w:w="3480" w:type="dxa"/>
            <w:vAlign w:val="bottom"/>
            <w:gridSpan w:val="2"/>
          </w:tcPr>
          <w:p>
            <w:pPr>
              <w:spacing w:after="0"/>
              <w:rPr>
                <w:sz w:val="15"/>
                <w:szCs w:val="15"/>
                <w:color w:val="auto"/>
              </w:rPr>
            </w:pPr>
          </w:p>
        </w:tc>
        <w:tc>
          <w:tcPr>
            <w:tcW w:w="1800" w:type="dxa"/>
            <w:vAlign w:val="bottom"/>
          </w:tcPr>
          <w:p>
            <w:pPr>
              <w:spacing w:after="0"/>
              <w:rPr>
                <w:sz w:val="15"/>
                <w:szCs w:val="15"/>
                <w:color w:val="auto"/>
              </w:rPr>
            </w:pPr>
          </w:p>
        </w:tc>
        <w:tc>
          <w:tcPr>
            <w:tcW w:w="1140" w:type="dxa"/>
            <w:vAlign w:val="bottom"/>
            <w:tcBorders>
              <w:top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2007</w:t>
            </w:r>
          </w:p>
        </w:tc>
        <w:tc>
          <w:tcPr>
            <w:tcW w:w="9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ind w:right="478"/>
              <w:spacing w:after="0" w:line="181" w:lineRule="exact"/>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120" w:type="dxa"/>
            <w:vAlign w:val="bottom"/>
            <w:gridSpan w:val="2"/>
          </w:tcPr>
          <w:p>
            <w:pPr>
              <w:jc w:val="center"/>
              <w:ind w:right="198"/>
              <w:spacing w:after="0"/>
              <w:rPr>
                <w:sz w:val="20"/>
                <w:szCs w:val="20"/>
                <w:color w:val="auto"/>
              </w:rPr>
            </w:pPr>
            <w:r>
              <w:rPr>
                <w:rFonts w:ascii="Arial" w:cs="Arial" w:eastAsia="Arial" w:hAnsi="Arial"/>
                <w:sz w:val="16"/>
                <w:szCs w:val="16"/>
                <w:b w:val="1"/>
                <w:bCs w:val="1"/>
                <w:color w:val="auto"/>
                <w:w w:val="91"/>
              </w:rPr>
              <w:t>As restated</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720" w:type="dxa"/>
            <w:vAlign w:val="bottom"/>
          </w:tcPr>
          <w:p>
            <w:pPr>
              <w:spacing w:after="0"/>
              <w:rPr>
                <w:sz w:val="18"/>
                <w:szCs w:val="18"/>
                <w:color w:val="auto"/>
              </w:rPr>
            </w:pPr>
          </w:p>
        </w:tc>
        <w:tc>
          <w:tcPr>
            <w:tcW w:w="148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  70,814</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w w:val="98"/>
              </w:rPr>
              <w:t>62,228</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8,586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5280" w:type="dxa"/>
            <w:vAlign w:val="bottom"/>
            <w:gridSpan w:val="3"/>
          </w:tcPr>
          <w:p>
            <w:pPr>
              <w:spacing w:after="0"/>
              <w:rPr>
                <w:sz w:val="20"/>
                <w:szCs w:val="20"/>
                <w:color w:val="auto"/>
              </w:rPr>
            </w:pPr>
            <w:r>
              <w:rPr>
                <w:rFonts w:ascii="Arial" w:cs="Arial" w:eastAsia="Arial" w:hAnsi="Arial"/>
                <w:sz w:val="16"/>
                <w:szCs w:val="16"/>
                <w:color w:val="auto"/>
              </w:rPr>
              <w:t>Segment profit, excluding restructuring and impairment</w:t>
            </w: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420" w:type="dxa"/>
            <w:vAlign w:val="bottom"/>
            <w:gridSpan w:val="4"/>
          </w:tcPr>
          <w:p>
            <w:pPr>
              <w:ind w:left="1140"/>
              <w:spacing w:after="0"/>
              <w:rPr>
                <w:sz w:val="20"/>
                <w:szCs w:val="20"/>
                <w:color w:val="auto"/>
              </w:rPr>
            </w:pPr>
            <w:r>
              <w:rPr>
                <w:rFonts w:ascii="Arial" w:cs="Arial" w:eastAsia="Arial" w:hAnsi="Arial"/>
                <w:sz w:val="16"/>
                <w:szCs w:val="16"/>
                <w:color w:val="auto"/>
              </w:rPr>
              <w:t>charges</w:t>
            </w:r>
          </w:p>
        </w:tc>
        <w:tc>
          <w:tcPr>
            <w:tcW w:w="980" w:type="dxa"/>
            <w:vAlign w:val="bottom"/>
          </w:tcPr>
          <w:p>
            <w:pPr>
              <w:jc w:val="right"/>
              <w:ind w:right="198"/>
              <w:spacing w:after="0"/>
              <w:rPr>
                <w:sz w:val="20"/>
                <w:szCs w:val="20"/>
                <w:color w:val="auto"/>
              </w:rPr>
            </w:pPr>
            <w:r>
              <w:rPr>
                <w:rFonts w:ascii="Arial" w:cs="Arial" w:eastAsia="Arial" w:hAnsi="Arial"/>
                <w:sz w:val="16"/>
                <w:szCs w:val="16"/>
                <w:color w:val="auto"/>
              </w:rPr>
              <w:t>3,157</w:t>
            </w:r>
          </w:p>
        </w:tc>
        <w:tc>
          <w:tcPr>
            <w:tcW w:w="700" w:type="dxa"/>
            <w:vAlign w:val="bottom"/>
          </w:tcPr>
          <w:p>
            <w:pPr>
              <w:spacing w:after="0"/>
              <w:rPr>
                <w:sz w:val="18"/>
                <w:szCs w:val="18"/>
                <w:color w:val="auto"/>
              </w:rPr>
            </w:pPr>
          </w:p>
        </w:tc>
        <w:tc>
          <w:tcPr>
            <w:tcW w:w="720" w:type="dxa"/>
            <w:vAlign w:val="bottom"/>
          </w:tcPr>
          <w:p>
            <w:pPr>
              <w:jc w:val="right"/>
              <w:ind w:right="138"/>
              <w:spacing w:after="0"/>
              <w:rPr>
                <w:sz w:val="20"/>
                <w:szCs w:val="20"/>
                <w:color w:val="auto"/>
              </w:rPr>
            </w:pPr>
            <w:r>
              <w:rPr>
                <w:rFonts w:ascii="Arial" w:cs="Arial" w:eastAsia="Arial" w:hAnsi="Arial"/>
                <w:sz w:val="16"/>
                <w:szCs w:val="16"/>
                <w:color w:val="auto"/>
              </w:rPr>
              <w:t>3,563</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98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(1,152)</w:t>
            </w:r>
          </w:p>
        </w:tc>
        <w:tc>
          <w:tcPr>
            <w:tcW w:w="7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138"/>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80" w:type="dxa"/>
            <w:vAlign w:val="bottom"/>
            <w:gridSpan w:val="3"/>
          </w:tcPr>
          <w:p>
            <w:pPr>
              <w:ind w:left="1140"/>
              <w:spacing w:after="0"/>
              <w:rPr>
                <w:sz w:val="20"/>
                <w:szCs w:val="20"/>
                <w:color w:val="auto"/>
              </w:rPr>
            </w:pPr>
            <w:r>
              <w:rPr>
                <w:rFonts w:ascii="Arial" w:cs="Arial" w:eastAsia="Arial" w:hAnsi="Arial"/>
                <w:sz w:val="16"/>
                <w:szCs w:val="16"/>
                <w:color w:val="auto"/>
              </w:rPr>
              <w:t>Income tax impacts</w:t>
            </w:r>
          </w:p>
        </w:tc>
        <w:tc>
          <w:tcPr>
            <w:tcW w:w="1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98"/>
              <w:spacing w:after="0"/>
              <w:rPr>
                <w:sz w:val="20"/>
                <w:szCs w:val="20"/>
                <w:color w:val="auto"/>
              </w:rPr>
            </w:pPr>
            <w:r>
              <w:rPr>
                <w:rFonts w:ascii="Arial" w:cs="Arial" w:eastAsia="Arial" w:hAnsi="Arial"/>
                <w:sz w:val="16"/>
                <w:szCs w:val="16"/>
                <w:color w:val="auto"/>
              </w:rPr>
              <w:t>24</w:t>
            </w:r>
          </w:p>
        </w:tc>
        <w:tc>
          <w:tcPr>
            <w:tcW w:w="7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38"/>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14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1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98"/>
              <w:spacing w:after="0" w:line="178" w:lineRule="exact"/>
              <w:rPr>
                <w:sz w:val="20"/>
                <w:szCs w:val="20"/>
                <w:color w:val="auto"/>
              </w:rPr>
            </w:pPr>
            <w:r>
              <w:rPr>
                <w:rFonts w:ascii="Arial" w:cs="Arial" w:eastAsia="Arial" w:hAnsi="Arial"/>
                <w:sz w:val="16"/>
                <w:szCs w:val="16"/>
                <w:color w:val="auto"/>
              </w:rPr>
              <w:t>$ 2,029</w:t>
            </w:r>
          </w:p>
        </w:tc>
        <w:tc>
          <w:tcPr>
            <w:tcW w:w="7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shd w:val="clear" w:color="auto" w:fill="CCEEFF"/>
          </w:tcPr>
          <w:p>
            <w:pPr>
              <w:jc w:val="right"/>
              <w:ind w:right="138"/>
              <w:spacing w:after="0" w:line="178" w:lineRule="exact"/>
              <w:rPr>
                <w:sz w:val="20"/>
                <w:szCs w:val="20"/>
                <w:color w:val="auto"/>
              </w:rPr>
            </w:pPr>
            <w:r>
              <w:rPr>
                <w:rFonts w:ascii="Arial" w:cs="Arial" w:eastAsia="Arial" w:hAnsi="Arial"/>
                <w:sz w:val="16"/>
                <w:szCs w:val="16"/>
                <w:color w:val="auto"/>
              </w:rPr>
              <w:t>3,563</w:t>
            </w:r>
          </w:p>
        </w:tc>
        <w:tc>
          <w:tcPr>
            <w:tcW w:w="14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 (1,534)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sales increase at the Metal Bearing Components Segment was primarily due to higher volume with existing European customers ($4.5 million). Additionally, the Metal Bearing Components Segment experienced the positive impacts from the appreciation in value of Euro based sales relative to the U.S. Dollar ($3.8 million). Finally, sales increased related to passing through raw material inflation to customers ($1.4 million). The increases in sales were partially offset by unfavorable product mix to existing customers ($0.3 million) and due to contractual price decreases to certain large customers ($0.8 million).</w:t>
      </w:r>
    </w:p>
    <w:p>
      <w:pPr>
        <w:spacing w:after="0" w:line="19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segment profit, excluding restructuring and impairment charges, a non-GAAP accounting measure, in the third quarter of 2007 was favorably impacted by higher sales volumes ($0.9 million, net of tax). Euro denominated profits were favorably impacted by the increase in the value of the Euro against the U.S. Dollar ($0.2 million, net of tax). Partially offsetting these positive impacts were the effects of price decreases given to certain customers under contractual terms ($0.5 million, net of tax) and the effects of unfavorable product and customer mix ($0.3 million, net of tax). Raw material cost inflation was offset by price increases under contractual terms to certain customers, resulting in little impact on segment profit. Additionally, the third quarter of 2006 had a favorable effect related to the value of the Slovakian Koruna that did not repeat in 2007 ($0.3 million, net of tax). Finally, net operational inefficiencies primarily related to our China and Slovakia plants not operating at capacity negatively affected segment profit ($0.3 million).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84"/>
        </w:trPr>
        <w:tc>
          <w:tcPr>
            <w:tcW w:w="5360" w:type="dxa"/>
            <w:vAlign w:val="bottom"/>
            <w:gridSpan w:val="3"/>
          </w:tcPr>
          <w:p>
            <w:pPr>
              <w:spacing w:after="0"/>
              <w:rPr>
                <w:sz w:val="20"/>
                <w:szCs w:val="20"/>
                <w:color w:val="auto"/>
              </w:rPr>
            </w:pPr>
            <w:r>
              <w:rPr>
                <w:rFonts w:ascii="Arial" w:cs="Arial" w:eastAsia="Arial" w:hAnsi="Arial"/>
                <w:sz w:val="16"/>
                <w:szCs w:val="16"/>
                <w:b w:val="1"/>
                <w:bCs w:val="1"/>
                <w:color w:val="auto"/>
              </w:rPr>
              <w:t>PRECISION METAL COMPONENTS SEGMENT</w:t>
            </w: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3620" w:type="dxa"/>
            <w:vAlign w:val="bottom"/>
            <w:tcBorders>
              <w:top w:val="single" w:sz="8" w:color="auto"/>
            </w:tcBorders>
            <w:gridSpan w:val="2"/>
          </w:tcPr>
          <w:p>
            <w:pPr>
              <w:ind w:left="1140"/>
              <w:spacing w:after="0"/>
              <w:rPr>
                <w:sz w:val="20"/>
                <w:szCs w:val="20"/>
                <w:color w:val="auto"/>
              </w:rPr>
            </w:pPr>
            <w:r>
              <w:rPr>
                <w:rFonts w:ascii="Arial" w:cs="Arial" w:eastAsia="Arial" w:hAnsi="Arial"/>
                <w:sz w:val="16"/>
                <w:szCs w:val="16"/>
                <w:color w:val="auto"/>
              </w:rPr>
              <w:t>(In Thousands of Dollars)</w:t>
            </w:r>
          </w:p>
        </w:tc>
        <w:tc>
          <w:tcPr>
            <w:tcW w:w="174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3"/>
          </w:tcPr>
          <w:p>
            <w:pPr>
              <w:jc w:val="right"/>
              <w:ind w:right="58"/>
              <w:spacing w:after="0"/>
              <w:rPr>
                <w:sz w:val="20"/>
                <w:szCs w:val="20"/>
                <w:color w:val="auto"/>
              </w:rPr>
            </w:pPr>
            <w:r>
              <w:rPr>
                <w:rFonts w:ascii="Arial" w:cs="Arial" w:eastAsia="Arial" w:hAnsi="Arial"/>
                <w:sz w:val="16"/>
                <w:szCs w:val="16"/>
                <w:b w:val="1"/>
                <w:bCs w:val="1"/>
                <w:color w:val="auto"/>
                <w:w w:val="93"/>
              </w:rPr>
              <w:t>Three Months Ended September 30,</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ind w:left="40"/>
              <w:spacing w:after="0" w:line="181" w:lineRule="exact"/>
              <w:rPr>
                <w:sz w:val="20"/>
                <w:szCs w:val="20"/>
                <w:color w:val="auto"/>
              </w:rPr>
            </w:pPr>
            <w:r>
              <w:rPr>
                <w:rFonts w:ascii="Arial" w:cs="Arial" w:eastAsia="Arial" w:hAnsi="Arial"/>
                <w:sz w:val="16"/>
                <w:szCs w:val="16"/>
                <w:b w:val="1"/>
                <w:bCs w:val="1"/>
                <w:color w:val="auto"/>
              </w:rPr>
              <w:t>2007</w:t>
            </w:r>
          </w:p>
        </w:tc>
        <w:tc>
          <w:tcPr>
            <w:tcW w:w="1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0" w:type="dxa"/>
            <w:vAlign w:val="bottom"/>
            <w:gridSpan w:val="2"/>
          </w:tcPr>
          <w:p>
            <w:pPr>
              <w:ind w:left="680"/>
              <w:spacing w:after="0" w:line="181" w:lineRule="exact"/>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As restated</w:t>
            </w:r>
          </w:p>
        </w:tc>
        <w:tc>
          <w:tcPr>
            <w:tcW w:w="1940" w:type="dxa"/>
            <w:vAlign w:val="bottom"/>
            <w:tcBorders>
              <w:bottom w:val="single" w:sz="8" w:color="auto"/>
            </w:tcBorders>
            <w:gridSpan w:val="2"/>
          </w:tcPr>
          <w:p>
            <w:pPr>
              <w:jc w:val="right"/>
              <w:ind w:right="498"/>
              <w:spacing w:after="0"/>
              <w:rPr>
                <w:sz w:val="20"/>
                <w:szCs w:val="20"/>
                <w:color w:val="auto"/>
              </w:rPr>
            </w:pPr>
            <w:r>
              <w:rPr>
                <w:rFonts w:ascii="Arial" w:cs="Arial" w:eastAsia="Arial" w:hAnsi="Arial"/>
                <w:sz w:val="16"/>
                <w:szCs w:val="16"/>
                <w:b w:val="1"/>
                <w:bCs w:val="1"/>
                <w:color w:val="auto"/>
              </w:rPr>
              <w:t>2006</w:t>
            </w:r>
          </w:p>
        </w:tc>
        <w:tc>
          <w:tcPr>
            <w:tcW w:w="1800" w:type="dxa"/>
            <w:vAlign w:val="bottom"/>
            <w:tcBorders>
              <w:bottom w:val="single" w:sz="8" w:color="auto"/>
            </w:tcBorders>
            <w:gridSpan w:val="2"/>
          </w:tcPr>
          <w:p>
            <w:pPr>
              <w:ind w:left="560"/>
              <w:spacing w:after="0"/>
              <w:rPr>
                <w:sz w:val="20"/>
                <w:szCs w:val="20"/>
                <w:color w:val="auto"/>
              </w:rPr>
            </w:pPr>
            <w:r>
              <w:rPr>
                <w:rFonts w:ascii="Arial" w:cs="Arial" w:eastAsia="Arial" w:hAnsi="Arial"/>
                <w:sz w:val="16"/>
                <w:szCs w:val="16"/>
                <w:b w:val="1"/>
                <w:bCs w:val="1"/>
                <w:color w:val="auto"/>
              </w:rPr>
              <w:t>As restated</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6"/>
                <w:szCs w:val="16"/>
                <w:color w:val="auto"/>
              </w:rPr>
              <w:t>15,594</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18"/>
              <w:spacing w:after="0"/>
              <w:rPr>
                <w:sz w:val="20"/>
                <w:szCs w:val="20"/>
                <w:color w:val="auto"/>
              </w:rPr>
            </w:pPr>
            <w:r>
              <w:rPr>
                <w:rFonts w:ascii="Arial" w:cs="Arial" w:eastAsia="Arial" w:hAnsi="Arial"/>
                <w:sz w:val="16"/>
                <w:szCs w:val="16"/>
                <w:color w:val="auto"/>
              </w:rPr>
              <w:t>15,594</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w:t>
            </w:r>
          </w:p>
        </w:tc>
        <w:tc>
          <w:tcPr>
            <w:tcW w:w="11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ind w:right="478"/>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ind w:left="56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78"/>
              <w:spacing w:after="0"/>
              <w:rPr>
                <w:sz w:val="20"/>
                <w:szCs w:val="20"/>
                <w:color w:val="auto"/>
              </w:rPr>
            </w:pPr>
            <w:r>
              <w:rPr>
                <w:rFonts w:ascii="Arial" w:cs="Arial" w:eastAsia="Arial" w:hAnsi="Arial"/>
                <w:sz w:val="16"/>
                <w:szCs w:val="16"/>
                <w:color w:val="auto"/>
              </w:rPr>
              <w:t>(633)</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Precision Metal Components Segment was added on November 30, 2006 with the purchase of Whirlaway. Therefore, the segment was not included in the financial statements for the quarter ended September 30, 2006.</w:t>
      </w:r>
    </w:p>
    <w:p>
      <w:pPr>
        <w:spacing w:after="0" w:line="17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third quarter 2007 results of Whirlaway are not indicative of normalized annual operations. Volume in the third quarter of 2007 was down against historical sales levels due to lower demand of customers that serve the U.S. heavy truck and heating, ventilation, and air conditioning (“HVAC”) equipment markets. The demand in the heavy truck and HVAC markets was abnormally low in the third quarter of 2007 due to large amounts of purchases made in the fourth quarter of 2006 of heavy trucks and HVAC equipment. These purchases were made ahead of required environmental changes to these products on January 1, 2007.</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PLASTIC AND RUBBER COMPONENTS SEGMENT</w:t>
            </w:r>
          </w:p>
        </w:tc>
        <w:tc>
          <w:tcPr>
            <w:tcW w:w="7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4680" w:type="dxa"/>
            <w:vAlign w:val="bottom"/>
            <w:gridSpan w:val="3"/>
          </w:tcPr>
          <w:p>
            <w:pPr>
              <w:ind w:left="1140"/>
              <w:spacing w:after="0"/>
              <w:rPr>
                <w:sz w:val="20"/>
                <w:szCs w:val="20"/>
                <w:color w:val="auto"/>
              </w:rPr>
            </w:pPr>
            <w:r>
              <w:rPr>
                <w:rFonts w:ascii="Arial" w:cs="Arial" w:eastAsia="Arial" w:hAnsi="Arial"/>
                <w:sz w:val="16"/>
                <w:szCs w:val="16"/>
                <w:color w:val="auto"/>
              </w:rPr>
              <w:t>(In Thousands of Dollars)</w:t>
            </w:r>
          </w:p>
        </w:tc>
        <w:tc>
          <w:tcPr>
            <w:tcW w:w="5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2007</w:t>
            </w:r>
          </w:p>
        </w:tc>
        <w:tc>
          <w:tcPr>
            <w:tcW w:w="108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1338"/>
              <w:spacing w:after="0"/>
              <w:rPr>
                <w:sz w:val="20"/>
                <w:szCs w:val="20"/>
                <w:color w:val="auto"/>
              </w:rPr>
            </w:pPr>
            <w:r>
              <w:rPr>
                <w:rFonts w:ascii="Arial" w:cs="Arial" w:eastAsia="Arial" w:hAnsi="Arial"/>
                <w:sz w:val="16"/>
                <w:szCs w:val="16"/>
                <w:b w:val="1"/>
                <w:bCs w:val="1"/>
                <w:color w:val="auto"/>
              </w:rPr>
              <w:t>2006</w:t>
            </w:r>
          </w:p>
        </w:tc>
        <w:tc>
          <w:tcPr>
            <w:tcW w:w="1420" w:type="dxa"/>
            <w:vAlign w:val="bottom"/>
            <w:tcBorders>
              <w:bottom w:val="single" w:sz="8" w:color="auto"/>
            </w:tcBorders>
            <w:gridSpan w:val="2"/>
          </w:tcPr>
          <w:p>
            <w:pPr>
              <w:jc w:val="right"/>
              <w:ind w:right="598"/>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12,613</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1098"/>
              <w:spacing w:after="0"/>
              <w:rPr>
                <w:sz w:val="20"/>
                <w:szCs w:val="20"/>
                <w:color w:val="auto"/>
              </w:rPr>
            </w:pPr>
            <w:r>
              <w:rPr>
                <w:rFonts w:ascii="Arial" w:cs="Arial" w:eastAsia="Arial" w:hAnsi="Arial"/>
                <w:sz w:val="16"/>
                <w:szCs w:val="16"/>
                <w:color w:val="auto"/>
              </w:rPr>
              <w:t>12,642</w:t>
            </w:r>
          </w:p>
        </w:tc>
        <w:tc>
          <w:tcPr>
            <w:tcW w:w="3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498"/>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ind w:right="198"/>
              <w:spacing w:after="0"/>
              <w:rPr>
                <w:sz w:val="20"/>
                <w:szCs w:val="20"/>
                <w:color w:val="auto"/>
              </w:rPr>
            </w:pPr>
            <w:r>
              <w:rPr>
                <w:rFonts w:ascii="Arial" w:cs="Arial" w:eastAsia="Arial" w:hAnsi="Arial"/>
                <w:sz w:val="16"/>
                <w:szCs w:val="16"/>
                <w:color w:val="auto"/>
              </w:rPr>
              <w:t>567</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20" w:type="dxa"/>
            <w:vAlign w:val="bottom"/>
            <w:shd w:val="clear" w:color="auto" w:fill="CCEEFF"/>
          </w:tcPr>
          <w:p>
            <w:pPr>
              <w:jc w:val="right"/>
              <w:ind w:right="1098"/>
              <w:spacing w:after="0"/>
              <w:rPr>
                <w:sz w:val="20"/>
                <w:szCs w:val="20"/>
                <w:color w:val="auto"/>
              </w:rPr>
            </w:pPr>
            <w:r>
              <w:rPr>
                <w:rFonts w:ascii="Arial" w:cs="Arial" w:eastAsia="Arial" w:hAnsi="Arial"/>
                <w:sz w:val="16"/>
                <w:szCs w:val="16"/>
                <w:color w:val="auto"/>
              </w:rPr>
              <w:t>674</w:t>
            </w:r>
          </w:p>
        </w:tc>
        <w:tc>
          <w:tcPr>
            <w:tcW w:w="34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518"/>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Revenues in the Plastic and Rubber Components Segment were flat as sales increases related to raw material inflation pass through ($0.5 million) were offset by lower sales volume into the automotive market ($0.5 million).</w:t>
      </w:r>
    </w:p>
    <w:p>
      <w:pPr>
        <w:spacing w:after="0" w:line="173" w:lineRule="exact"/>
        <w:rPr>
          <w:sz w:val="20"/>
          <w:szCs w:val="20"/>
          <w:color w:val="auto"/>
        </w:rPr>
      </w:pPr>
    </w:p>
    <w:p>
      <w:pPr>
        <w:ind w:right="440"/>
        <w:spacing w:after="0" w:line="289" w:lineRule="auto"/>
        <w:rPr>
          <w:sz w:val="20"/>
          <w:szCs w:val="20"/>
          <w:color w:val="auto"/>
        </w:rPr>
      </w:pPr>
      <w:r>
        <w:rPr>
          <w:rFonts w:ascii="Arial" w:cs="Arial" w:eastAsia="Arial" w:hAnsi="Arial"/>
          <w:sz w:val="16"/>
          <w:szCs w:val="16"/>
          <w:color w:val="auto"/>
        </w:rPr>
        <w:t>Net income was negatively affected by the volume decreases in sales of products into the automotive market ($0.1 million, after tax). The increases in sales from raw material pass through were offset by raw material inflation.</w:t>
      </w: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473" w:right="31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i w:val="1"/>
          <w:iCs w:val="1"/>
          <w:color w:val="auto"/>
        </w:rPr>
        <w:t>Nine Months Ended September 30, 2007 Compared to the Nine Months Ended September 30, 2006.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20" w:type="dxa"/>
            <w:vAlign w:val="bottom"/>
            <w:gridSpan w:val="2"/>
          </w:tcPr>
          <w:p>
            <w:pPr>
              <w:spacing w:after="0"/>
              <w:rPr>
                <w:sz w:val="20"/>
                <w:szCs w:val="20"/>
                <w:color w:val="auto"/>
              </w:rPr>
            </w:pPr>
            <w:r>
              <w:rPr>
                <w:rFonts w:ascii="Arial" w:cs="Arial" w:eastAsia="Arial" w:hAnsi="Arial"/>
                <w:sz w:val="16"/>
                <w:szCs w:val="16"/>
                <w:b w:val="1"/>
                <w:bCs w:val="1"/>
                <w:color w:val="auto"/>
              </w:rPr>
              <w:t>OVERALL RESULTS</w:t>
            </w:r>
          </w:p>
        </w:tc>
        <w:tc>
          <w:tcPr>
            <w:tcW w:w="16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25"/>
        </w:trPr>
        <w:tc>
          <w:tcPr>
            <w:tcW w:w="6220" w:type="dxa"/>
            <w:vAlign w:val="bottom"/>
            <w:gridSpan w:val="2"/>
          </w:tcPr>
          <w:p>
            <w:pPr>
              <w:ind w:left="1140"/>
              <w:spacing w:after="0"/>
              <w:rPr>
                <w:sz w:val="20"/>
                <w:szCs w:val="20"/>
                <w:color w:val="auto"/>
              </w:rPr>
            </w:pPr>
            <w:r>
              <w:rPr>
                <w:rFonts w:ascii="Arial" w:cs="Arial" w:eastAsia="Arial" w:hAnsi="Arial"/>
                <w:sz w:val="16"/>
                <w:szCs w:val="16"/>
                <w:color w:val="auto"/>
              </w:rPr>
              <w:t>(In Thousands of Dollars)</w:t>
            </w:r>
          </w:p>
        </w:tc>
        <w:tc>
          <w:tcPr>
            <w:tcW w:w="28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Consolidated NN, Inc.</w:t>
            </w:r>
          </w:p>
        </w:tc>
        <w:tc>
          <w:tcPr>
            <w:tcW w:w="12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1140" w:type="dxa"/>
            <w:vAlign w:val="bottom"/>
          </w:tcPr>
          <w:p>
            <w:pPr>
              <w:spacing w:after="0"/>
              <w:rPr>
                <w:sz w:val="15"/>
                <w:szCs w:val="15"/>
                <w:color w:val="auto"/>
              </w:rPr>
            </w:pPr>
          </w:p>
        </w:tc>
        <w:tc>
          <w:tcPr>
            <w:tcW w:w="5080" w:type="dxa"/>
            <w:vAlign w:val="bottom"/>
          </w:tcPr>
          <w:p>
            <w:pPr>
              <w:spacing w:after="0"/>
              <w:rPr>
                <w:sz w:val="15"/>
                <w:szCs w:val="15"/>
                <w:color w:val="auto"/>
              </w:rPr>
            </w:pPr>
          </w:p>
        </w:tc>
        <w:tc>
          <w:tcPr>
            <w:tcW w:w="1640" w:type="dxa"/>
            <w:vAlign w:val="bottom"/>
          </w:tcPr>
          <w:p>
            <w:pPr>
              <w:jc w:val="right"/>
              <w:ind w:right="678"/>
              <w:spacing w:after="0" w:line="181" w:lineRule="exact"/>
              <w:rPr>
                <w:sz w:val="20"/>
                <w:szCs w:val="20"/>
                <w:color w:val="auto"/>
              </w:rPr>
            </w:pPr>
            <w:r>
              <w:rPr>
                <w:rFonts w:ascii="Arial" w:cs="Arial" w:eastAsia="Arial" w:hAnsi="Arial"/>
                <w:sz w:val="16"/>
                <w:szCs w:val="16"/>
                <w:b w:val="1"/>
                <w:bCs w:val="1"/>
                <w:color w:val="auto"/>
              </w:rPr>
              <w:t>2007</w:t>
            </w:r>
          </w:p>
        </w:tc>
        <w:tc>
          <w:tcPr>
            <w:tcW w:w="1220" w:type="dxa"/>
            <w:vAlign w:val="bottom"/>
          </w:tcPr>
          <w:p>
            <w:pPr>
              <w:spacing w:after="0"/>
              <w:rPr>
                <w:sz w:val="15"/>
                <w:szCs w:val="15"/>
                <w:color w:val="auto"/>
              </w:rPr>
            </w:pPr>
          </w:p>
        </w:tc>
        <w:tc>
          <w:tcPr>
            <w:tcW w:w="1200" w:type="dxa"/>
            <w:vAlign w:val="bottom"/>
          </w:tcPr>
          <w:p>
            <w:pPr>
              <w:jc w:val="right"/>
              <w:ind w:right="378"/>
              <w:spacing w:after="0" w:line="181" w:lineRule="exact"/>
              <w:rPr>
                <w:sz w:val="20"/>
                <w:szCs w:val="20"/>
                <w:color w:val="auto"/>
              </w:rPr>
            </w:pPr>
            <w:r>
              <w:rPr>
                <w:rFonts w:ascii="Arial" w:cs="Arial" w:eastAsia="Arial" w:hAnsi="Arial"/>
                <w:sz w:val="16"/>
                <w:szCs w:val="16"/>
                <w:b w:val="1"/>
                <w:bCs w:val="1"/>
                <w:color w:val="auto"/>
              </w:rPr>
              <w:t>Change</w:t>
            </w:r>
          </w:p>
        </w:tc>
        <w:tc>
          <w:tcPr>
            <w:tcW w:w="20" w:type="dxa"/>
            <w:vAlign w:val="bottom"/>
          </w:tcPr>
          <w:p>
            <w:pPr>
              <w:spacing w:after="0"/>
              <w:rPr>
                <w:sz w:val="15"/>
                <w:szCs w:val="15"/>
                <w:color w:val="auto"/>
              </w:rPr>
            </w:pPr>
          </w:p>
        </w:tc>
      </w:tr>
      <w:tr>
        <w:trPr>
          <w:trHeight w:val="218"/>
        </w:trPr>
        <w:tc>
          <w:tcPr>
            <w:tcW w:w="11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40" w:type="dxa"/>
            <w:vAlign w:val="bottom"/>
          </w:tcPr>
          <w:p>
            <w:pPr>
              <w:jc w:val="right"/>
              <w:ind w:right="458"/>
              <w:spacing w:after="0"/>
              <w:rPr>
                <w:sz w:val="20"/>
                <w:szCs w:val="20"/>
                <w:color w:val="auto"/>
              </w:rPr>
            </w:pPr>
            <w:r>
              <w:rPr>
                <w:rFonts w:ascii="Arial" w:cs="Arial" w:eastAsia="Arial" w:hAnsi="Arial"/>
                <w:sz w:val="16"/>
                <w:szCs w:val="16"/>
                <w:b w:val="1"/>
                <w:bCs w:val="1"/>
                <w:color w:val="auto"/>
              </w:rPr>
              <w:t>As restated</w:t>
            </w:r>
          </w:p>
        </w:tc>
        <w:tc>
          <w:tcPr>
            <w:tcW w:w="1220" w:type="dxa"/>
            <w:vAlign w:val="bottom"/>
          </w:tcPr>
          <w:p>
            <w:pPr>
              <w:jc w:val="right"/>
              <w:ind w:right="598"/>
              <w:spacing w:after="0"/>
              <w:rPr>
                <w:sz w:val="20"/>
                <w:szCs w:val="20"/>
                <w:color w:val="auto"/>
              </w:rPr>
            </w:pPr>
            <w:r>
              <w:rPr>
                <w:rFonts w:ascii="Arial" w:cs="Arial" w:eastAsia="Arial" w:hAnsi="Arial"/>
                <w:sz w:val="16"/>
                <w:szCs w:val="16"/>
                <w:b w:val="1"/>
                <w:bCs w:val="1"/>
                <w:color w:val="auto"/>
              </w:rPr>
              <w:t>2006</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96"/>
              </w:rPr>
              <w:t>As restated</w:t>
            </w:r>
          </w:p>
        </w:tc>
      </w:tr>
      <w:tr>
        <w:trPr>
          <w:trHeight w:val="197"/>
        </w:trPr>
        <w:tc>
          <w:tcPr>
            <w:tcW w:w="114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640" w:type="dxa"/>
            <w:vAlign w:val="bottom"/>
            <w:tcBorders>
              <w:top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$314,267</w:t>
            </w:r>
          </w:p>
        </w:tc>
        <w:tc>
          <w:tcPr>
            <w:tcW w:w="1220" w:type="dxa"/>
            <w:vAlign w:val="bottom"/>
            <w:tcBorders>
              <w:top w:val="single" w:sz="8" w:color="auto"/>
            </w:tcBorders>
            <w:shd w:val="clear" w:color="auto" w:fill="CCEEFF"/>
          </w:tcPr>
          <w:p>
            <w:pPr>
              <w:jc w:val="right"/>
              <w:ind w:right="178"/>
              <w:spacing w:after="0"/>
              <w:rPr>
                <w:sz w:val="20"/>
                <w:szCs w:val="20"/>
                <w:color w:val="auto"/>
              </w:rPr>
            </w:pPr>
            <w:r>
              <w:rPr>
                <w:rFonts w:ascii="Arial" w:cs="Arial" w:eastAsia="Arial" w:hAnsi="Arial"/>
                <w:sz w:val="16"/>
                <w:szCs w:val="16"/>
                <w:color w:val="auto"/>
              </w:rPr>
              <w:t>$ 244,441</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$69,826</w:t>
            </w:r>
          </w:p>
        </w:tc>
        <w:tc>
          <w:tcPr>
            <w:tcW w:w="20" w:type="dxa"/>
            <w:vAlign w:val="bottom"/>
          </w:tcPr>
          <w:p>
            <w:pPr>
              <w:spacing w:after="0"/>
              <w:rPr>
                <w:sz w:val="17"/>
                <w:szCs w:val="17"/>
                <w:color w:val="auto"/>
              </w:rPr>
            </w:pPr>
          </w:p>
        </w:tc>
      </w:tr>
      <w:tr>
        <w:trPr>
          <w:trHeight w:val="185"/>
        </w:trPr>
        <w:tc>
          <w:tcPr>
            <w:tcW w:w="1140" w:type="dxa"/>
            <w:vAlign w:val="bottom"/>
          </w:tcPr>
          <w:p>
            <w:pPr>
              <w:spacing w:after="0"/>
              <w:rPr>
                <w:sz w:val="16"/>
                <w:szCs w:val="16"/>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Cost of products sold (exclusive of depreciation</w:t>
            </w:r>
          </w:p>
        </w:tc>
        <w:tc>
          <w:tcPr>
            <w:tcW w:w="16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8"/>
        </w:trPr>
        <w:tc>
          <w:tcPr>
            <w:tcW w:w="1140" w:type="dxa"/>
            <w:vAlign w:val="bottom"/>
          </w:tcPr>
          <w:p>
            <w:pPr>
              <w:spacing w:after="0"/>
              <w:rPr>
                <w:sz w:val="18"/>
                <w:szCs w:val="18"/>
                <w:color w:val="auto"/>
              </w:rPr>
            </w:pPr>
          </w:p>
        </w:tc>
        <w:tc>
          <w:tcPr>
            <w:tcW w:w="5080" w:type="dxa"/>
            <w:vAlign w:val="bottom"/>
          </w:tcPr>
          <w:p>
            <w:pPr>
              <w:ind w:left="80"/>
              <w:spacing w:after="0"/>
              <w:rPr>
                <w:sz w:val="20"/>
                <w:szCs w:val="20"/>
                <w:color w:val="auto"/>
              </w:rPr>
            </w:pPr>
            <w:r>
              <w:rPr>
                <w:rFonts w:ascii="Arial" w:cs="Arial" w:eastAsia="Arial" w:hAnsi="Arial"/>
                <w:sz w:val="16"/>
                <w:szCs w:val="16"/>
                <w:color w:val="auto"/>
              </w:rPr>
              <w:t>and amortization shown separately below)</w:t>
            </w:r>
          </w:p>
        </w:tc>
        <w:tc>
          <w:tcPr>
            <w:tcW w:w="1640" w:type="dxa"/>
            <w:vAlign w:val="bottom"/>
          </w:tcPr>
          <w:p>
            <w:pPr>
              <w:jc w:val="right"/>
              <w:ind w:right="118"/>
              <w:spacing w:after="0"/>
              <w:rPr>
                <w:sz w:val="20"/>
                <w:szCs w:val="20"/>
                <w:color w:val="auto"/>
              </w:rPr>
            </w:pPr>
            <w:r>
              <w:rPr>
                <w:rFonts w:ascii="Arial" w:cs="Arial" w:eastAsia="Arial" w:hAnsi="Arial"/>
                <w:sz w:val="16"/>
                <w:szCs w:val="16"/>
                <w:color w:val="auto"/>
              </w:rPr>
              <w:t>251,274</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189,597</w:t>
            </w:r>
          </w:p>
        </w:tc>
        <w:tc>
          <w:tcPr>
            <w:tcW w:w="1220" w:type="dxa"/>
            <w:vAlign w:val="bottom"/>
            <w:gridSpan w:val="2"/>
          </w:tcPr>
          <w:p>
            <w:pPr>
              <w:jc w:val="right"/>
              <w:ind w:right="20"/>
              <w:spacing w:after="0"/>
              <w:rPr>
                <w:sz w:val="20"/>
                <w:szCs w:val="20"/>
                <w:color w:val="auto"/>
              </w:rPr>
            </w:pPr>
            <w:r>
              <w:rPr>
                <w:rFonts w:ascii="Arial" w:cs="Arial" w:eastAsia="Arial" w:hAnsi="Arial"/>
                <w:sz w:val="16"/>
                <w:szCs w:val="16"/>
                <w:color w:val="auto"/>
              </w:rPr>
              <w:t>61,677</w:t>
            </w:r>
          </w:p>
        </w:tc>
      </w:tr>
      <w:tr>
        <w:trPr>
          <w:trHeight w:val="199"/>
        </w:trPr>
        <w:tc>
          <w:tcPr>
            <w:tcW w:w="114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27,406</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21,922</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5,484</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640" w:type="dxa"/>
            <w:vAlign w:val="bottom"/>
          </w:tcPr>
          <w:p>
            <w:pPr>
              <w:jc w:val="right"/>
              <w:ind w:right="118"/>
              <w:spacing w:after="0"/>
              <w:rPr>
                <w:sz w:val="20"/>
                <w:szCs w:val="20"/>
                <w:color w:val="auto"/>
              </w:rPr>
            </w:pPr>
            <w:r>
              <w:rPr>
                <w:rFonts w:ascii="Arial" w:cs="Arial" w:eastAsia="Arial" w:hAnsi="Arial"/>
                <w:sz w:val="16"/>
                <w:szCs w:val="16"/>
                <w:color w:val="auto"/>
              </w:rPr>
              <w:t>16,951</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12,779</w:t>
            </w:r>
          </w:p>
        </w:tc>
        <w:tc>
          <w:tcPr>
            <w:tcW w:w="1200" w:type="dxa"/>
            <w:vAlign w:val="bottom"/>
          </w:tcPr>
          <w:p>
            <w:pPr>
              <w:jc w:val="right"/>
              <w:spacing w:after="0"/>
              <w:rPr>
                <w:sz w:val="20"/>
                <w:szCs w:val="20"/>
                <w:color w:val="auto"/>
              </w:rPr>
            </w:pPr>
            <w:r>
              <w:rPr>
                <w:rFonts w:ascii="Arial" w:cs="Arial" w:eastAsia="Arial" w:hAnsi="Arial"/>
                <w:sz w:val="16"/>
                <w:szCs w:val="16"/>
                <w:color w:val="auto"/>
              </w:rPr>
              <w:t>4,172</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Restructuring and impairment charges</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14,698</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14,698</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80" w:type="dxa"/>
            <w:vAlign w:val="bottom"/>
          </w:tcPr>
          <w:p>
            <w:pPr>
              <w:spacing w:after="0"/>
              <w:rPr>
                <w:sz w:val="20"/>
                <w:szCs w:val="20"/>
                <w:color w:val="auto"/>
              </w:rPr>
            </w:pPr>
            <w:r>
              <w:rPr>
                <w:rFonts w:ascii="Arial" w:cs="Arial" w:eastAsia="Arial" w:hAnsi="Arial"/>
                <w:sz w:val="16"/>
                <w:szCs w:val="16"/>
                <w:color w:val="auto"/>
              </w:rPr>
              <w:t>Interest expense, net</w:t>
            </w:r>
          </w:p>
        </w:tc>
        <w:tc>
          <w:tcPr>
            <w:tcW w:w="1640" w:type="dxa"/>
            <w:vAlign w:val="bottom"/>
          </w:tcPr>
          <w:p>
            <w:pPr>
              <w:jc w:val="right"/>
              <w:ind w:right="118"/>
              <w:spacing w:after="0"/>
              <w:rPr>
                <w:sz w:val="20"/>
                <w:szCs w:val="20"/>
                <w:color w:val="auto"/>
              </w:rPr>
            </w:pPr>
            <w:r>
              <w:rPr>
                <w:rFonts w:ascii="Arial" w:cs="Arial" w:eastAsia="Arial" w:hAnsi="Arial"/>
                <w:sz w:val="16"/>
                <w:szCs w:val="16"/>
                <w:color w:val="auto"/>
              </w:rPr>
              <w:t>4,821</w:t>
            </w:r>
          </w:p>
        </w:tc>
        <w:tc>
          <w:tcPr>
            <w:tcW w:w="1220" w:type="dxa"/>
            <w:vAlign w:val="bottom"/>
          </w:tcPr>
          <w:p>
            <w:pPr>
              <w:jc w:val="right"/>
              <w:ind w:right="178"/>
              <w:spacing w:after="0"/>
              <w:rPr>
                <w:sz w:val="20"/>
                <w:szCs w:val="20"/>
                <w:color w:val="auto"/>
              </w:rPr>
            </w:pPr>
            <w:r>
              <w:rPr>
                <w:rFonts w:ascii="Arial" w:cs="Arial" w:eastAsia="Arial" w:hAnsi="Arial"/>
                <w:sz w:val="16"/>
                <w:szCs w:val="16"/>
                <w:color w:val="auto"/>
              </w:rPr>
              <w:t>2,923</w:t>
            </w:r>
          </w:p>
        </w:tc>
        <w:tc>
          <w:tcPr>
            <w:tcW w:w="1200" w:type="dxa"/>
            <w:vAlign w:val="bottom"/>
          </w:tcPr>
          <w:p>
            <w:pPr>
              <w:jc w:val="right"/>
              <w:spacing w:after="0"/>
              <w:rPr>
                <w:sz w:val="20"/>
                <w:szCs w:val="20"/>
                <w:color w:val="auto"/>
              </w:rPr>
            </w:pPr>
            <w:r>
              <w:rPr>
                <w:rFonts w:ascii="Arial" w:cs="Arial" w:eastAsia="Arial" w:hAnsi="Arial"/>
                <w:sz w:val="16"/>
                <w:szCs w:val="16"/>
                <w:color w:val="auto"/>
              </w:rPr>
              <w:t>1,898</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Gain on disposal of assets</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(23)</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(726)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20" w:type="dxa"/>
            <w:vAlign w:val="bottom"/>
          </w:tcPr>
          <w:p>
            <w:pPr>
              <w:spacing w:after="0"/>
              <w:rPr>
                <w:sz w:val="17"/>
                <w:szCs w:val="17"/>
                <w:color w:val="auto"/>
              </w:rPr>
            </w:pPr>
          </w:p>
        </w:tc>
      </w:tr>
      <w:tr>
        <w:trPr>
          <w:trHeight w:val="202"/>
        </w:trPr>
        <w:tc>
          <w:tcPr>
            <w:tcW w:w="6220" w:type="dxa"/>
            <w:vAlign w:val="bottom"/>
            <w:gridSpan w:val="2"/>
          </w:tcPr>
          <w:p>
            <w:pPr>
              <w:ind w:left="1140"/>
              <w:spacing w:after="0"/>
              <w:rPr>
                <w:sz w:val="20"/>
                <w:szCs w:val="20"/>
                <w:color w:val="auto"/>
              </w:rPr>
            </w:pPr>
            <w:r>
              <w:rPr>
                <w:rFonts w:ascii="Arial" w:cs="Arial" w:eastAsia="Arial" w:hAnsi="Arial"/>
                <w:sz w:val="16"/>
                <w:szCs w:val="16"/>
                <w:color w:val="auto"/>
              </w:rPr>
              <w:t>Other income, net</w:t>
            </w: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(150)</w:t>
            </w: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(310)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160</w:t>
            </w:r>
          </w:p>
        </w:tc>
        <w:tc>
          <w:tcPr>
            <w:tcW w:w="2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Income (loss) before provision for income taxes</w:t>
            </w:r>
          </w:p>
        </w:tc>
        <w:tc>
          <w:tcPr>
            <w:tcW w:w="1640" w:type="dxa"/>
            <w:vAlign w:val="bottom"/>
            <w:shd w:val="clear" w:color="auto" w:fill="CCEEFF"/>
          </w:tcPr>
          <w:p>
            <w:pPr>
              <w:jc w:val="right"/>
              <w:ind w:right="118"/>
              <w:spacing w:after="0"/>
              <w:rPr>
                <w:sz w:val="20"/>
                <w:szCs w:val="20"/>
                <w:color w:val="auto"/>
              </w:rPr>
            </w:pPr>
            <w:r>
              <w:rPr>
                <w:rFonts w:ascii="Arial" w:cs="Arial" w:eastAsia="Arial" w:hAnsi="Arial"/>
                <w:sz w:val="16"/>
                <w:szCs w:val="16"/>
                <w:color w:val="auto"/>
              </w:rPr>
              <w:t>(710)</w:t>
            </w:r>
          </w:p>
        </w:tc>
        <w:tc>
          <w:tcPr>
            <w:tcW w:w="122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18,256</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(18,966)</w:t>
            </w:r>
          </w:p>
        </w:tc>
        <w:tc>
          <w:tcPr>
            <w:tcW w:w="20" w:type="dxa"/>
            <w:vAlign w:val="bottom"/>
          </w:tcPr>
          <w:p>
            <w:pPr>
              <w:spacing w:after="0"/>
              <w:rPr>
                <w:sz w:val="17"/>
                <w:szCs w:val="17"/>
                <w:color w:val="auto"/>
              </w:rPr>
            </w:pPr>
          </w:p>
        </w:tc>
      </w:tr>
      <w:tr>
        <w:trPr>
          <w:trHeight w:val="202"/>
        </w:trPr>
        <w:tc>
          <w:tcPr>
            <w:tcW w:w="6220" w:type="dxa"/>
            <w:vAlign w:val="bottom"/>
            <w:gridSpan w:val="2"/>
          </w:tcPr>
          <w:p>
            <w:pPr>
              <w:ind w:left="1140"/>
              <w:spacing w:after="0"/>
              <w:rPr>
                <w:sz w:val="20"/>
                <w:szCs w:val="20"/>
                <w:color w:val="auto"/>
              </w:rPr>
            </w:pPr>
            <w:r>
              <w:rPr>
                <w:rFonts w:ascii="Arial" w:cs="Arial" w:eastAsia="Arial" w:hAnsi="Arial"/>
                <w:sz w:val="16"/>
                <w:szCs w:val="16"/>
                <w:color w:val="auto"/>
              </w:rPr>
              <w:t>Provision for income taxes</w:t>
            </w:r>
          </w:p>
        </w:tc>
        <w:tc>
          <w:tcPr>
            <w:tcW w:w="1640" w:type="dxa"/>
            <w:vAlign w:val="bottom"/>
            <w:tcBorders>
              <w:bottom w:val="single" w:sz="8" w:color="auto"/>
            </w:tcBorders>
          </w:tcPr>
          <w:p>
            <w:pPr>
              <w:jc w:val="right"/>
              <w:ind w:right="118"/>
              <w:spacing w:after="0"/>
              <w:rPr>
                <w:sz w:val="20"/>
                <w:szCs w:val="20"/>
                <w:color w:val="auto"/>
              </w:rPr>
            </w:pPr>
            <w:r>
              <w:rPr>
                <w:rFonts w:ascii="Arial" w:cs="Arial" w:eastAsia="Arial" w:hAnsi="Arial"/>
                <w:sz w:val="16"/>
                <w:szCs w:val="16"/>
                <w:color w:val="auto"/>
              </w:rPr>
              <w:t>5,501</w:t>
            </w:r>
          </w:p>
        </w:tc>
        <w:tc>
          <w:tcPr>
            <w:tcW w:w="1220" w:type="dxa"/>
            <w:vAlign w:val="bottom"/>
            <w:tcBorders>
              <w:bottom w:val="single" w:sz="8" w:color="auto"/>
            </w:tcBorders>
          </w:tcPr>
          <w:p>
            <w:pPr>
              <w:jc w:val="right"/>
              <w:ind w:right="178"/>
              <w:spacing w:after="0"/>
              <w:rPr>
                <w:sz w:val="20"/>
                <w:szCs w:val="20"/>
                <w:color w:val="auto"/>
              </w:rPr>
            </w:pPr>
            <w:r>
              <w:rPr>
                <w:rFonts w:ascii="Arial" w:cs="Arial" w:eastAsia="Arial" w:hAnsi="Arial"/>
                <w:sz w:val="16"/>
                <w:szCs w:val="16"/>
                <w:color w:val="auto"/>
              </w:rPr>
              <w:t>6,908</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w:t>
            </w:r>
          </w:p>
        </w:tc>
        <w:tc>
          <w:tcPr>
            <w:tcW w:w="20" w:type="dxa"/>
            <w:vAlign w:val="bottom"/>
          </w:tcPr>
          <w:p>
            <w:pPr>
              <w:spacing w:after="0"/>
              <w:rPr>
                <w:sz w:val="17"/>
                <w:szCs w:val="17"/>
                <w:color w:val="auto"/>
              </w:rPr>
            </w:pPr>
          </w:p>
        </w:tc>
      </w:tr>
      <w:tr>
        <w:trPr>
          <w:trHeight w:val="237"/>
        </w:trPr>
        <w:tc>
          <w:tcPr>
            <w:tcW w:w="1140" w:type="dxa"/>
            <w:vAlign w:val="bottom"/>
          </w:tcPr>
          <w:p>
            <w:pPr>
              <w:spacing w:after="0"/>
              <w:rPr>
                <w:sz w:val="20"/>
                <w:szCs w:val="20"/>
                <w:color w:val="auto"/>
              </w:rPr>
            </w:pPr>
          </w:p>
        </w:tc>
        <w:tc>
          <w:tcPr>
            <w:tcW w:w="508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640" w:type="dxa"/>
            <w:vAlign w:val="bottom"/>
            <w:tcBorders>
              <w:bottom w:val="single" w:sz="8" w:color="auto"/>
            </w:tcBorders>
            <w:shd w:val="clear" w:color="auto" w:fill="CCEEFF"/>
          </w:tcPr>
          <w:p>
            <w:pPr>
              <w:jc w:val="right"/>
              <w:ind w:right="118"/>
              <w:spacing w:after="0" w:line="178" w:lineRule="exact"/>
              <w:rPr>
                <w:sz w:val="20"/>
                <w:szCs w:val="20"/>
                <w:color w:val="auto"/>
              </w:rPr>
            </w:pPr>
            <w:r>
              <w:rPr>
                <w:rFonts w:ascii="Arial" w:cs="Arial" w:eastAsia="Arial" w:hAnsi="Arial"/>
                <w:sz w:val="16"/>
                <w:szCs w:val="16"/>
                <w:color w:val="auto"/>
              </w:rPr>
              <w:t>$ (6,211)</w:t>
            </w:r>
          </w:p>
        </w:tc>
        <w:tc>
          <w:tcPr>
            <w:tcW w:w="1220" w:type="dxa"/>
            <w:vAlign w:val="bottom"/>
            <w:tcBorders>
              <w:bottom w:val="single" w:sz="8" w:color="auto"/>
            </w:tcBorders>
            <w:shd w:val="clear" w:color="auto" w:fill="CCEEFF"/>
          </w:tcPr>
          <w:p>
            <w:pPr>
              <w:jc w:val="right"/>
              <w:ind w:right="178"/>
              <w:spacing w:after="0" w:line="178" w:lineRule="exact"/>
              <w:rPr>
                <w:sz w:val="20"/>
                <w:szCs w:val="20"/>
                <w:color w:val="auto"/>
              </w:rPr>
            </w:pPr>
            <w:r>
              <w:rPr>
                <w:rFonts w:ascii="Arial" w:cs="Arial" w:eastAsia="Arial" w:hAnsi="Arial"/>
                <w:sz w:val="16"/>
                <w:szCs w:val="16"/>
                <w:color w:val="auto"/>
              </w:rPr>
              <w:t>$ 11,348</w:t>
            </w:r>
          </w:p>
        </w:tc>
        <w:tc>
          <w:tcPr>
            <w:tcW w:w="12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 (17,559)</w:t>
            </w:r>
          </w:p>
        </w:tc>
        <w:tc>
          <w:tcPr>
            <w:tcW w:w="20" w:type="dxa"/>
            <w:vAlign w:val="bottom"/>
          </w:tcPr>
          <w:p>
            <w:pPr>
              <w:spacing w:after="0"/>
              <w:rPr>
                <w:sz w:val="20"/>
                <w:szCs w:val="20"/>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5"/>
          <w:szCs w:val="15"/>
          <w:i w:val="1"/>
          <w:iCs w:val="1"/>
          <w:color w:val="auto"/>
        </w:rPr>
        <w:t xml:space="preserve">Net Sales. </w:t>
      </w:r>
      <w:r>
        <w:rPr>
          <w:rFonts w:ascii="Arial" w:cs="Arial" w:eastAsia="Arial" w:hAnsi="Arial"/>
          <w:sz w:val="15"/>
          <w:szCs w:val="15"/>
          <w:color w:val="auto"/>
        </w:rPr>
        <w:t>Sales have increased due to the addition of the Precision Metal Components Segment with the acquisition of Whirlaway ($50.7 million) and due to appreciation in</w:t>
      </w:r>
      <w:r>
        <w:rPr>
          <w:rFonts w:ascii="Arial" w:cs="Arial" w:eastAsia="Arial" w:hAnsi="Arial"/>
          <w:sz w:val="15"/>
          <w:szCs w:val="15"/>
          <w:i w:val="1"/>
          <w:iCs w:val="1"/>
          <w:color w:val="auto"/>
        </w:rPr>
        <w:t xml:space="preserve"> </w:t>
      </w:r>
      <w:r>
        <w:rPr>
          <w:rFonts w:ascii="Arial" w:cs="Arial" w:eastAsia="Arial" w:hAnsi="Arial"/>
          <w:sz w:val="15"/>
          <w:szCs w:val="15"/>
          <w:color w:val="auto"/>
        </w:rPr>
        <w:t>value of Euro denominated sales relative to the U.S. Dollar ($13.1 million). In addition, sales have increased due to the pass through of raw material inflation to customers ($4.4 million) and due to higher volume to existing customers at our European operations ($6.6 million). Partially offsetting these increases are reductions from price decreases given to several large customers in agreement with contractual terms ($3.0 million) and unfavorable product mix to existing customers ($2.0 million).</w:t>
      </w:r>
    </w:p>
    <w:p>
      <w:pPr>
        <w:spacing w:after="0" w:line="175" w:lineRule="exact"/>
        <w:rPr>
          <w:sz w:val="20"/>
          <w:szCs w:val="20"/>
          <w:color w:val="auto"/>
        </w:rPr>
      </w:pPr>
    </w:p>
    <w:p>
      <w:pPr>
        <w:ind w:right="280"/>
        <w:spacing w:after="0" w:line="291" w:lineRule="auto"/>
        <w:rPr>
          <w:sz w:val="20"/>
          <w:szCs w:val="20"/>
          <w:color w:val="auto"/>
        </w:rPr>
      </w:pPr>
      <w:r>
        <w:rPr>
          <w:rFonts w:ascii="Arial" w:cs="Arial" w:eastAsia="Arial" w:hAnsi="Arial"/>
          <w:sz w:val="15"/>
          <w:szCs w:val="15"/>
          <w:i w:val="1"/>
          <w:iCs w:val="1"/>
          <w:color w:val="auto"/>
        </w:rPr>
        <w:t xml:space="preserve">Cost of Products Sold (exclusive of depreciation and amortization). </w:t>
      </w:r>
      <w:r>
        <w:rPr>
          <w:rFonts w:ascii="Arial" w:cs="Arial" w:eastAsia="Arial" w:hAnsi="Arial"/>
          <w:sz w:val="15"/>
          <w:szCs w:val="15"/>
          <w:color w:val="auto"/>
        </w:rPr>
        <w:t>Cost of products sold increased primarily due to the addition of the Precision Metal Components</w:t>
      </w:r>
      <w:r>
        <w:rPr>
          <w:rFonts w:ascii="Arial" w:cs="Arial" w:eastAsia="Arial" w:hAnsi="Arial"/>
          <w:sz w:val="15"/>
          <w:szCs w:val="15"/>
          <w:i w:val="1"/>
          <w:iCs w:val="1"/>
          <w:color w:val="auto"/>
        </w:rPr>
        <w:t xml:space="preserve"> </w:t>
      </w:r>
      <w:r>
        <w:rPr>
          <w:rFonts w:ascii="Arial" w:cs="Arial" w:eastAsia="Arial" w:hAnsi="Arial"/>
          <w:sz w:val="15"/>
          <w:szCs w:val="15"/>
          <w:color w:val="auto"/>
        </w:rPr>
        <w:t>Segment on November 30, 2006 ($43.8 million) and due to the increase in value of Euro denominated costs relative to the U.S. Dollar ($10.4 million). In addition, raw material, labor and utility inflation increased ($6.8 million) and costs increased related to higher sales volume at our European operations ($5.7 million). Offsetting these increases were favorable mix impacts to cost of products sold ($1.1 million) and the impact of projects focused on reducing cost of manufacturing ($3.9 million).</w:t>
      </w:r>
    </w:p>
    <w:p>
      <w:pPr>
        <w:spacing w:after="0" w:line="175"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The SG&amp;A expense increase was primarily due to the addition of the Precision Metal Components Segment on November</w:t>
      </w:r>
      <w:r>
        <w:rPr>
          <w:rFonts w:ascii="Arial" w:cs="Arial" w:eastAsia="Arial" w:hAnsi="Arial"/>
          <w:sz w:val="16"/>
          <w:szCs w:val="16"/>
          <w:i w:val="1"/>
          <w:iCs w:val="1"/>
          <w:color w:val="auto"/>
        </w:rPr>
        <w:t xml:space="preserve"> </w:t>
      </w:r>
      <w:r>
        <w:rPr>
          <w:rFonts w:ascii="Arial" w:cs="Arial" w:eastAsia="Arial" w:hAnsi="Arial"/>
          <w:sz w:val="16"/>
          <w:szCs w:val="16"/>
          <w:color w:val="auto"/>
        </w:rPr>
        <w:t>30, 2006 ($3.4 million). In addition, SG&amp;A expense increased due to the appreciation in the value of Euro denominated expenses relative to the U.S. Dollar ($0.9 million). Finally, the total was higher due to recognizing stock option expense ($0.3 million), from higher spending on consulting and professional fees ($0.3 million), higher travel and salary cost ($0.3 million) and additional bad debt expense ($0.2 million).</w:t>
      </w:r>
    </w:p>
    <w:p>
      <w:pPr>
        <w:spacing w:after="0" w:line="19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These costs were higher due to the acquisition of the Precision Metal Components Segment ($3.1 million) and due to the increase in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Euro based depreciation and amortization relative to the U.S. Dollar ($0.7 million).</w:t>
      </w:r>
    </w:p>
    <w:p>
      <w:pPr>
        <w:spacing w:after="0" w:line="173" w:lineRule="exact"/>
        <w:rPr>
          <w:sz w:val="20"/>
          <w:szCs w:val="20"/>
          <w:color w:val="auto"/>
        </w:rPr>
      </w:pPr>
    </w:p>
    <w:p>
      <w:pPr>
        <w:ind w:right="360"/>
        <w:spacing w:after="0" w:line="289" w:lineRule="auto"/>
        <w:rPr>
          <w:sz w:val="20"/>
          <w:szCs w:val="20"/>
          <w:color w:val="auto"/>
        </w:rPr>
      </w:pPr>
      <w:r>
        <w:rPr>
          <w:rFonts w:ascii="Arial" w:cs="Arial" w:eastAsia="Arial" w:hAnsi="Arial"/>
          <w:sz w:val="16"/>
          <w:szCs w:val="16"/>
          <w:i w:val="1"/>
          <w:iCs w:val="1"/>
          <w:color w:val="auto"/>
        </w:rPr>
        <w:t xml:space="preserve">Interest expense. </w:t>
      </w:r>
      <w:r>
        <w:rPr>
          <w:rFonts w:ascii="Arial" w:cs="Arial" w:eastAsia="Arial" w:hAnsi="Arial"/>
          <w:sz w:val="16"/>
          <w:szCs w:val="16"/>
          <w:color w:val="auto"/>
        </w:rPr>
        <w:t>Interest expense was primarily higher due to the additional debt assumed to acquire the Precision Metal Components Segment on November 30, 2006</w:t>
      </w:r>
      <w:r>
        <w:rPr>
          <w:rFonts w:ascii="Arial" w:cs="Arial" w:eastAsia="Arial" w:hAnsi="Arial"/>
          <w:sz w:val="16"/>
          <w:szCs w:val="16"/>
          <w:i w:val="1"/>
          <w:iCs w:val="1"/>
          <w:color w:val="auto"/>
        </w:rPr>
        <w:t xml:space="preserve"> </w:t>
      </w:r>
      <w:r>
        <w:rPr>
          <w:rFonts w:ascii="Arial" w:cs="Arial" w:eastAsia="Arial" w:hAnsi="Arial"/>
          <w:sz w:val="16"/>
          <w:szCs w:val="16"/>
          <w:color w:val="auto"/>
        </w:rPr>
        <w:t>($1.9 million).</w:t>
      </w:r>
    </w:p>
    <w:p>
      <w:pPr>
        <w:spacing w:after="0" w:line="173"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i w:val="1"/>
          <w:iCs w:val="1"/>
          <w:color w:val="auto"/>
        </w:rPr>
        <w:t xml:space="preserve">Gain on disposal of assets. </w:t>
      </w:r>
      <w:r>
        <w:rPr>
          <w:rFonts w:ascii="Arial" w:cs="Arial" w:eastAsia="Arial" w:hAnsi="Arial"/>
          <w:sz w:val="16"/>
          <w:szCs w:val="16"/>
          <w:color w:val="auto"/>
        </w:rPr>
        <w:t>In 2006, we incurred a gain from the sale of excess land at our Pinerolo, Italy facility ($1.8 million) partially offset by a loss on disposal of</w:t>
      </w:r>
      <w:r>
        <w:rPr>
          <w:rFonts w:ascii="Arial" w:cs="Arial" w:eastAsia="Arial" w:hAnsi="Arial"/>
          <w:sz w:val="16"/>
          <w:szCs w:val="16"/>
          <w:i w:val="1"/>
          <w:iCs w:val="1"/>
          <w:color w:val="auto"/>
        </w:rPr>
        <w:t xml:space="preserve"> </w:t>
      </w:r>
      <w:r>
        <w:rPr>
          <w:rFonts w:ascii="Arial" w:cs="Arial" w:eastAsia="Arial" w:hAnsi="Arial"/>
          <w:sz w:val="16"/>
          <w:szCs w:val="16"/>
          <w:color w:val="auto"/>
        </w:rPr>
        <w:t>excess equipment at the same facility ($1.1 million).</w:t>
      </w:r>
    </w:p>
    <w:p>
      <w:pPr>
        <w:spacing w:after="0" w:line="173"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Restructuring and Impairment Changes. </w:t>
      </w:r>
      <w:r>
        <w:rPr>
          <w:rFonts w:ascii="Arial" w:cs="Arial" w:eastAsia="Arial" w:hAnsi="Arial"/>
          <w:sz w:val="16"/>
          <w:szCs w:val="16"/>
          <w:color w:val="auto"/>
        </w:rPr>
        <w:t>We have begun to take steps to appropriately adjust our cost structure and align our plant capacity in our Metal Bearing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This will include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707" w:right="239" w:bottom="1440" w:gutter="0" w:footer="0" w:header="0"/>
        </w:sectPr>
      </w:pPr>
    </w:p>
    <w:bookmarkStart w:id="24" w:name="page25"/>
    <w:bookmarkEnd w:id="24"/>
    <w:p>
      <w:pPr>
        <w:spacing w:after="0" w:line="265" w:lineRule="auto"/>
        <w:rPr>
          <w:sz w:val="20"/>
          <w:szCs w:val="20"/>
          <w:color w:val="auto"/>
        </w:rPr>
      </w:pPr>
      <w:r>
        <w:rPr>
          <w:rFonts w:ascii="Arial" w:cs="Arial" w:eastAsia="Arial" w:hAnsi="Arial"/>
          <w:sz w:val="16"/>
          <w:szCs w:val="16"/>
          <w:color w:val="auto"/>
        </w:rPr>
        <w:t>restructuring at the European operations of the Metal Bearing Components Segment as we adjust our global precision ball manufacturing capacity to better take advantage of favorable cost structures at our Slovakian and Chinese Metal Bearing Components manufacturing facilities. As a result of this restructuring, certain goodwill and fixed assets in our European operations are now considered impaired. As a result, during the second quarter, we recorded approximately $13.3 million ($12.6 million after-tax) of non-cash impairment costs. These costs include the write-down of certain excess production equipment and the impairment of goodwill to levels supported by projected cash flows after the restructuring.</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6"/>
          <w:szCs w:val="16"/>
          <w:color w:val="auto"/>
        </w:rPr>
        <w:t>During the third quarter of 2007, we accrued $1.3 million, in accordance with SFAS 146, for severance cost to terminate employment of 16 employees within our Metal Bearing Components Segment. In addition, during the third quarter of 2007, an additional $0.1 million of non-cash impairment charges were recorded in the Metal Bearing Components Segment.</w:t>
      </w:r>
    </w:p>
    <w:p>
      <w:pPr>
        <w:spacing w:after="0" w:line="18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2007 effective tax rate of negative 774% was primarily due to the large impairment charges for the European restructuring with an unusually</w:t>
      </w:r>
      <w:r>
        <w:rPr>
          <w:rFonts w:ascii="Arial" w:cs="Arial" w:eastAsia="Arial" w:hAnsi="Arial"/>
          <w:sz w:val="16"/>
          <w:szCs w:val="16"/>
          <w:i w:val="1"/>
          <w:iCs w:val="1"/>
          <w:color w:val="auto"/>
        </w:rPr>
        <w:t xml:space="preserve"> </w:t>
      </w:r>
      <w:r>
        <w:rPr>
          <w:rFonts w:ascii="Arial" w:cs="Arial" w:eastAsia="Arial" w:hAnsi="Arial"/>
          <w:sz w:val="16"/>
          <w:szCs w:val="16"/>
          <w:color w:val="auto"/>
        </w:rPr>
        <w:t>low 6% effective tax rate. Factoring out the impairment impacts, the effective tax rate would have been a more normal 39%. A valuation reserve ($0.8 million) was placed on a loss carry forward deferred tax asset at a location still incurring losses which increased the 2007 effective rate 5%. The 2006 effective rate is lower than the historical effective rate due to the favorable 19% tax rate on the gain from sale of land at our Pinerolo, Italy facility.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RESULTS BY SEGMENT</w:t>
            </w: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METAL BEARING COMPONENTS SEGMENT</w:t>
            </w: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5280" w:type="dxa"/>
            <w:vAlign w:val="bottom"/>
            <w:gridSpan w:val="3"/>
          </w:tcPr>
          <w:p>
            <w:pPr>
              <w:ind w:left="1140"/>
              <w:spacing w:after="0"/>
              <w:rPr>
                <w:sz w:val="20"/>
                <w:szCs w:val="20"/>
                <w:color w:val="auto"/>
              </w:rPr>
            </w:pPr>
            <w:r>
              <w:rPr>
                <w:rFonts w:ascii="Arial" w:cs="Arial" w:eastAsia="Arial" w:hAnsi="Arial"/>
                <w:sz w:val="16"/>
                <w:szCs w:val="16"/>
                <w:color w:val="auto"/>
              </w:rPr>
              <w:t>(In Thousands of Dollars)</w:t>
            </w:r>
          </w:p>
        </w:tc>
        <w:tc>
          <w:tcPr>
            <w:tcW w:w="11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9"/>
              </w:rPr>
              <w:t>Nine Months Ended September 30,</w:t>
            </w:r>
          </w:p>
        </w:tc>
        <w:tc>
          <w:tcPr>
            <w:tcW w:w="6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100" w:type="dxa"/>
            <w:vAlign w:val="bottom"/>
          </w:tcPr>
          <w:p>
            <w:pPr>
              <w:jc w:val="right"/>
              <w:ind w:right="18"/>
              <w:spacing w:after="0" w:line="181" w:lineRule="exact"/>
              <w:rPr>
                <w:sz w:val="20"/>
                <w:szCs w:val="20"/>
                <w:color w:val="auto"/>
              </w:rPr>
            </w:pPr>
            <w:r>
              <w:rPr>
                <w:rFonts w:ascii="Arial" w:cs="Arial" w:eastAsia="Arial" w:hAnsi="Arial"/>
                <w:sz w:val="16"/>
                <w:szCs w:val="16"/>
                <w:b w:val="1"/>
                <w:bCs w:val="1"/>
                <w:color w:val="auto"/>
              </w:rPr>
              <w:t>2007</w:t>
            </w: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Change</w:t>
            </w: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000" w:type="dxa"/>
            <w:vAlign w:val="bottom"/>
            <w:gridSpan w:val="2"/>
          </w:tcPr>
          <w:p>
            <w:pPr>
              <w:jc w:val="right"/>
              <w:ind w:right="678"/>
              <w:spacing w:after="0"/>
              <w:rPr>
                <w:sz w:val="20"/>
                <w:szCs w:val="20"/>
                <w:color w:val="auto"/>
              </w:rPr>
            </w:pPr>
            <w:r>
              <w:rPr>
                <w:rFonts w:ascii="Arial" w:cs="Arial" w:eastAsia="Arial" w:hAnsi="Arial"/>
                <w:sz w:val="16"/>
                <w:szCs w:val="16"/>
                <w:b w:val="1"/>
                <w:bCs w:val="1"/>
                <w:color w:val="auto"/>
              </w:rPr>
              <w:t>As restated</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2006</w:t>
            </w:r>
          </w:p>
        </w:tc>
        <w:tc>
          <w:tcPr>
            <w:tcW w:w="1020" w:type="dxa"/>
            <w:vAlign w:val="bottom"/>
          </w:tcPr>
          <w:p>
            <w:pPr>
              <w:spacing w:after="0"/>
              <w:rPr>
                <w:sz w:val="18"/>
                <w:szCs w:val="18"/>
                <w:color w:val="auto"/>
              </w:rPr>
            </w:pPr>
          </w:p>
        </w:tc>
        <w:tc>
          <w:tcPr>
            <w:tcW w:w="1260" w:type="dxa"/>
            <w:vAlign w:val="bottom"/>
            <w:gridSpan w:val="3"/>
          </w:tcPr>
          <w:p>
            <w:pPr>
              <w:jc w:val="right"/>
              <w:ind w:right="460"/>
              <w:spacing w:after="0"/>
              <w:rPr>
                <w:sz w:val="20"/>
                <w:szCs w:val="20"/>
                <w:color w:val="auto"/>
              </w:rPr>
            </w:pPr>
            <w:r>
              <w:rPr>
                <w:rFonts w:ascii="Arial" w:cs="Arial" w:eastAsia="Arial" w:hAnsi="Arial"/>
                <w:sz w:val="16"/>
                <w:szCs w:val="16"/>
                <w:b w:val="1"/>
                <w:bCs w:val="1"/>
                <w:color w:val="auto"/>
                <w:w w:val="89"/>
              </w:rPr>
              <w:t>As restated</w:t>
            </w: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96"/>
              </w:rPr>
              <w:t>224,373</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203,533</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Segment profit, excludingrestructuring andimpairment</w:t>
            </w: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280" w:type="dxa"/>
            <w:vAlign w:val="bottom"/>
            <w:gridSpan w:val="3"/>
          </w:tcPr>
          <w:p>
            <w:pPr>
              <w:ind w:left="1140"/>
              <w:spacing w:after="0"/>
              <w:rPr>
                <w:sz w:val="20"/>
                <w:szCs w:val="20"/>
                <w:color w:val="auto"/>
              </w:rPr>
            </w:pPr>
            <w:r>
              <w:rPr>
                <w:rFonts w:ascii="Arial" w:cs="Arial" w:eastAsia="Arial" w:hAnsi="Arial"/>
                <w:sz w:val="16"/>
                <w:szCs w:val="16"/>
                <w:color w:val="auto"/>
              </w:rPr>
              <w:t>changes</w:t>
            </w:r>
          </w:p>
        </w:tc>
        <w:tc>
          <w:tcPr>
            <w:tcW w:w="1100" w:type="dxa"/>
            <w:vAlign w:val="bottom"/>
          </w:tcPr>
          <w:p>
            <w:pPr>
              <w:spacing w:after="0"/>
              <w:rPr>
                <w:sz w:val="18"/>
                <w:szCs w:val="18"/>
                <w:color w:val="auto"/>
              </w:rPr>
            </w:pPr>
          </w:p>
        </w:tc>
        <w:tc>
          <w:tcPr>
            <w:tcW w:w="900" w:type="dxa"/>
            <w:vAlign w:val="bottom"/>
          </w:tcPr>
          <w:p>
            <w:pPr>
              <w:jc w:val="right"/>
              <w:ind w:right="238"/>
              <w:spacing w:after="0"/>
              <w:rPr>
                <w:sz w:val="20"/>
                <w:szCs w:val="20"/>
                <w:color w:val="auto"/>
              </w:rPr>
            </w:pPr>
            <w:r>
              <w:rPr>
                <w:rFonts w:ascii="Arial" w:cs="Arial" w:eastAsia="Arial" w:hAnsi="Arial"/>
                <w:sz w:val="16"/>
                <w:szCs w:val="16"/>
                <w:color w:val="auto"/>
              </w:rPr>
              <w:t>12,901</w:t>
            </w:r>
          </w:p>
        </w:tc>
        <w:tc>
          <w:tcPr>
            <w:tcW w:w="740" w:type="dxa"/>
            <w:vAlign w:val="bottom"/>
          </w:tcPr>
          <w:p>
            <w:pPr>
              <w:spacing w:after="0"/>
              <w:rPr>
                <w:sz w:val="18"/>
                <w:szCs w:val="18"/>
                <w:color w:val="auto"/>
              </w:rPr>
            </w:pPr>
          </w:p>
        </w:tc>
        <w:tc>
          <w:tcPr>
            <w:tcW w:w="1020" w:type="dxa"/>
            <w:vAlign w:val="bottom"/>
          </w:tcPr>
          <w:p>
            <w:pPr>
              <w:jc w:val="right"/>
              <w:ind w:right="338"/>
              <w:spacing w:after="0"/>
              <w:rPr>
                <w:sz w:val="20"/>
                <w:szCs w:val="20"/>
                <w:color w:val="auto"/>
              </w:rPr>
            </w:pPr>
            <w:r>
              <w:rPr>
                <w:rFonts w:ascii="Arial" w:cs="Arial" w:eastAsia="Arial" w:hAnsi="Arial"/>
                <w:sz w:val="16"/>
                <w:szCs w:val="16"/>
                <w:color w:val="auto"/>
              </w:rPr>
              <w:t>13,502</w:t>
            </w:r>
          </w:p>
        </w:tc>
        <w:tc>
          <w:tcPr>
            <w:tcW w:w="6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6"/>
                <w:szCs w:val="16"/>
                <w:color w:val="auto"/>
              </w:rPr>
              <w:t>(601)</w:t>
            </w: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Restructuring and impairmentcharges</w:t>
            </w:r>
          </w:p>
        </w:tc>
        <w:tc>
          <w:tcPr>
            <w:tcW w:w="110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8"/>
              <w:spacing w:after="0"/>
              <w:rPr>
                <w:sz w:val="20"/>
                <w:szCs w:val="20"/>
                <w:color w:val="auto"/>
              </w:rPr>
            </w:pPr>
            <w:r>
              <w:rPr>
                <w:rFonts w:ascii="Arial" w:cs="Arial" w:eastAsia="Arial" w:hAnsi="Arial"/>
                <w:sz w:val="16"/>
                <w:szCs w:val="16"/>
                <w:color w:val="auto"/>
                <w:w w:val="93"/>
              </w:rPr>
              <w:t>(14,488)</w:t>
            </w:r>
          </w:p>
        </w:tc>
        <w:tc>
          <w:tcPr>
            <w:tcW w:w="74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338"/>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(14,488)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4140" w:type="dxa"/>
            <w:vAlign w:val="bottom"/>
            <w:gridSpan w:val="2"/>
          </w:tcPr>
          <w:p>
            <w:pPr>
              <w:spacing w:after="0"/>
              <w:rPr>
                <w:sz w:val="20"/>
                <w:szCs w:val="20"/>
                <w:color w:val="auto"/>
              </w:rPr>
            </w:pPr>
            <w:r>
              <w:rPr>
                <w:rFonts w:ascii="Arial" w:cs="Arial" w:eastAsia="Arial" w:hAnsi="Arial"/>
                <w:sz w:val="16"/>
                <w:szCs w:val="16"/>
                <w:color w:val="auto"/>
              </w:rPr>
              <w:t>Income tax impacts</w:t>
            </w:r>
          </w:p>
        </w:tc>
        <w:tc>
          <w:tcPr>
            <w:tcW w:w="1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8"/>
              <w:spacing w:after="0"/>
              <w:rPr>
                <w:sz w:val="20"/>
                <w:szCs w:val="20"/>
                <w:color w:val="auto"/>
              </w:rPr>
            </w:pPr>
            <w:r>
              <w:rPr>
                <w:rFonts w:ascii="Arial" w:cs="Arial" w:eastAsia="Arial" w:hAnsi="Arial"/>
                <w:sz w:val="16"/>
                <w:szCs w:val="16"/>
                <w:color w:val="auto"/>
              </w:rPr>
              <w:t>(60)</w:t>
            </w:r>
          </w:p>
        </w:tc>
        <w:tc>
          <w:tcPr>
            <w:tcW w:w="7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140" w:type="dxa"/>
            <w:vAlign w:val="bottom"/>
          </w:tcPr>
          <w:p>
            <w:pPr>
              <w:spacing w:after="0"/>
              <w:rPr>
                <w:sz w:val="20"/>
                <w:szCs w:val="20"/>
                <w:color w:val="auto"/>
              </w:rPr>
            </w:pPr>
          </w:p>
        </w:tc>
        <w:tc>
          <w:tcPr>
            <w:tcW w:w="414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6"/>
                <w:szCs w:val="16"/>
                <w:color w:val="auto"/>
              </w:rPr>
              <w:t>Net income (loss)</w:t>
            </w:r>
          </w:p>
        </w:tc>
        <w:tc>
          <w:tcPr>
            <w:tcW w:w="11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238"/>
              <w:spacing w:after="0" w:line="178" w:lineRule="exact"/>
              <w:rPr>
                <w:sz w:val="20"/>
                <w:szCs w:val="20"/>
                <w:color w:val="auto"/>
              </w:rPr>
            </w:pPr>
            <w:r>
              <w:rPr>
                <w:rFonts w:ascii="Arial" w:cs="Arial" w:eastAsia="Arial" w:hAnsi="Arial"/>
                <w:sz w:val="16"/>
                <w:szCs w:val="16"/>
                <w:color w:val="auto"/>
              </w:rPr>
              <w:t>(1,647)</w:t>
            </w:r>
          </w:p>
        </w:tc>
        <w:tc>
          <w:tcPr>
            <w:tcW w:w="7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ind w:right="338"/>
              <w:spacing w:after="0" w:line="178" w:lineRule="exact"/>
              <w:rPr>
                <w:sz w:val="20"/>
                <w:szCs w:val="20"/>
                <w:color w:val="auto"/>
              </w:rPr>
            </w:pPr>
            <w:r>
              <w:rPr>
                <w:rFonts w:ascii="Arial" w:cs="Arial" w:eastAsia="Arial" w:hAnsi="Arial"/>
                <w:sz w:val="16"/>
                <w:szCs w:val="16"/>
                <w:color w:val="auto"/>
              </w:rPr>
              <w:t>13,502</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6"/>
                <w:szCs w:val="16"/>
                <w:color w:val="auto"/>
                <w:w w:val="90"/>
              </w:rPr>
              <w:t>(15,149)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100"/>
        <w:spacing w:after="0" w:line="267" w:lineRule="auto"/>
        <w:rPr>
          <w:sz w:val="20"/>
          <w:szCs w:val="20"/>
          <w:color w:val="auto"/>
        </w:rPr>
      </w:pPr>
      <w:r>
        <w:rPr>
          <w:rFonts w:ascii="Arial" w:cs="Arial" w:eastAsia="Arial" w:hAnsi="Arial"/>
          <w:sz w:val="16"/>
          <w:szCs w:val="16"/>
          <w:color w:val="auto"/>
        </w:rPr>
        <w:t>The sales increase at the Metal Bearing Components Segment was primarily due to the positive impacts from the rise in value of Euro based sales relative to the U.S. Dollar ($13.1 million). Additionally, the Metal Bearing Components Segment experienced higher volume with existing European customers ($9.7 million) and increases related to the pass through of raw material inflation to customers ($3.2 million). These increases were partially offset by unfavorable product mix to existing customers ($2.0 million) and due to contractual price decreases to certain large customers ($3.1 million).</w:t>
      </w:r>
    </w:p>
    <w:p>
      <w:pPr>
        <w:spacing w:after="0" w:line="192" w:lineRule="exact"/>
        <w:rPr>
          <w:sz w:val="20"/>
          <w:szCs w:val="20"/>
          <w:color w:val="auto"/>
        </w:rPr>
      </w:pPr>
    </w:p>
    <w:p>
      <w:pPr>
        <w:ind w:right="20"/>
        <w:spacing w:after="0" w:line="284" w:lineRule="auto"/>
        <w:rPr>
          <w:sz w:val="20"/>
          <w:szCs w:val="20"/>
          <w:color w:val="auto"/>
        </w:rPr>
      </w:pPr>
      <w:r>
        <w:rPr>
          <w:rFonts w:ascii="Arial" w:cs="Arial" w:eastAsia="Arial" w:hAnsi="Arial"/>
          <w:sz w:val="15"/>
          <w:szCs w:val="15"/>
          <w:color w:val="auto"/>
        </w:rPr>
        <w:t>The difference in segment profit, excluding restructuring and impairment charges, a non-GAAP accounting measure, was primarily related to price decreases given to certain customers under contractual terms in 2007 ($1.9 million, net of tax) and a gain on the sale of land, net of loss on disposal of machinery, at our Pinerolo, Italy facility in the first quarter of 2006 that did not repeat in 2007 ($0.8 million, net of tax). Raw material cost inflation was offset by price increases under contractual terms to certain customers, resulting in little impact on segment profit. Partially offsetting the negative impacts stated above were cost reduction projects that offset utility and labor inflation ($0.7 million, net of tax). Additionally, Euro denominated profits were favorably impacted by the appreciation in the value of the Euro against the U.S. Dollar ($0.8 million, net of tax). Finally, the effect from higher sales volumes in Europe favorably impacted 2007 ($0.8 million, net of tax).</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84"/>
        </w:trPr>
        <w:tc>
          <w:tcPr>
            <w:tcW w:w="5280" w:type="dxa"/>
            <w:vAlign w:val="bottom"/>
            <w:gridSpan w:val="3"/>
          </w:tcPr>
          <w:p>
            <w:pPr>
              <w:spacing w:after="0"/>
              <w:rPr>
                <w:sz w:val="20"/>
                <w:szCs w:val="20"/>
                <w:color w:val="auto"/>
              </w:rPr>
            </w:pPr>
            <w:r>
              <w:rPr>
                <w:rFonts w:ascii="Arial" w:cs="Arial" w:eastAsia="Arial" w:hAnsi="Arial"/>
                <w:sz w:val="16"/>
                <w:szCs w:val="16"/>
                <w:b w:val="1"/>
                <w:bCs w:val="1"/>
                <w:color w:val="auto"/>
              </w:rPr>
              <w:t>PRECISION METAL COMPONENTS SEGMENT</w:t>
            </w:r>
          </w:p>
        </w:tc>
        <w:tc>
          <w:tcPr>
            <w:tcW w:w="10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3620" w:type="dxa"/>
            <w:vAlign w:val="bottom"/>
            <w:tcBorders>
              <w:top w:val="single" w:sz="8" w:color="auto"/>
            </w:tcBorders>
            <w:gridSpan w:val="2"/>
          </w:tcPr>
          <w:p>
            <w:pPr>
              <w:ind w:left="1140"/>
              <w:spacing w:after="0"/>
              <w:rPr>
                <w:sz w:val="20"/>
                <w:szCs w:val="20"/>
                <w:color w:val="auto"/>
              </w:rPr>
            </w:pPr>
            <w:r>
              <w:rPr>
                <w:rFonts w:ascii="Arial" w:cs="Arial" w:eastAsia="Arial" w:hAnsi="Arial"/>
                <w:sz w:val="16"/>
                <w:szCs w:val="16"/>
                <w:color w:val="auto"/>
              </w:rPr>
              <w:t>(In Thousands of Dollars)</w:t>
            </w:r>
          </w:p>
        </w:tc>
        <w:tc>
          <w:tcPr>
            <w:tcW w:w="166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4"/>
          </w:tcPr>
          <w:p>
            <w:pPr>
              <w:jc w:val="right"/>
              <w:ind w:right="678"/>
              <w:spacing w:after="0"/>
              <w:rPr>
                <w:sz w:val="20"/>
                <w:szCs w:val="20"/>
                <w:color w:val="auto"/>
              </w:rPr>
            </w:pPr>
            <w:r>
              <w:rPr>
                <w:rFonts w:ascii="Arial" w:cs="Arial" w:eastAsia="Arial" w:hAnsi="Arial"/>
                <w:sz w:val="16"/>
                <w:szCs w:val="16"/>
                <w:b w:val="1"/>
                <w:bCs w:val="1"/>
                <w:color w:val="auto"/>
              </w:rPr>
              <w:t>Nine Months Ended September 30,</w:t>
            </w:r>
          </w:p>
        </w:tc>
        <w:tc>
          <w:tcPr>
            <w:tcW w:w="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1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0" w:type="dxa"/>
            <w:vAlign w:val="bottom"/>
          </w:tcPr>
          <w:p>
            <w:pPr>
              <w:jc w:val="right"/>
              <w:spacing w:after="0" w:line="181" w:lineRule="exact"/>
              <w:rPr>
                <w:sz w:val="20"/>
                <w:szCs w:val="20"/>
                <w:color w:val="auto"/>
              </w:rPr>
            </w:pPr>
            <w:r>
              <w:rPr>
                <w:rFonts w:ascii="Arial" w:cs="Arial" w:eastAsia="Arial" w:hAnsi="Arial"/>
                <w:sz w:val="16"/>
                <w:szCs w:val="16"/>
                <w:b w:val="1"/>
                <w:bCs w:val="1"/>
                <w:color w:val="auto"/>
              </w:rPr>
              <w:t>2007</w:t>
            </w: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ind w:right="58"/>
              <w:spacing w:after="0" w:line="181" w:lineRule="exact"/>
              <w:rPr>
                <w:sz w:val="20"/>
                <w:szCs w:val="20"/>
                <w:color w:val="auto"/>
              </w:rPr>
            </w:pPr>
            <w:r>
              <w:rPr>
                <w:rFonts w:ascii="Arial" w:cs="Arial" w:eastAsia="Arial" w:hAnsi="Arial"/>
                <w:sz w:val="16"/>
                <w:szCs w:val="16"/>
                <w:b w:val="1"/>
                <w:bCs w:val="1"/>
                <w:color w:val="auto"/>
              </w:rPr>
              <w:t>Change</w:t>
            </w: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11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840" w:type="dxa"/>
            <w:vAlign w:val="bottom"/>
            <w:tcBorders>
              <w:bottom w:val="single" w:sz="8" w:color="auto"/>
            </w:tcBorders>
            <w:gridSpan w:val="2"/>
          </w:tcPr>
          <w:p>
            <w:pPr>
              <w:jc w:val="right"/>
              <w:ind w:right="618"/>
              <w:spacing w:after="0"/>
              <w:rPr>
                <w:sz w:val="20"/>
                <w:szCs w:val="20"/>
                <w:color w:val="auto"/>
              </w:rPr>
            </w:pPr>
            <w:r>
              <w:rPr>
                <w:rFonts w:ascii="Arial" w:cs="Arial" w:eastAsia="Arial" w:hAnsi="Arial"/>
                <w:sz w:val="16"/>
                <w:szCs w:val="16"/>
                <w:b w:val="1"/>
                <w:bCs w:val="1"/>
                <w:color w:val="auto"/>
              </w:rPr>
              <w:t>As restated</w:t>
            </w:r>
          </w:p>
        </w:tc>
        <w:tc>
          <w:tcPr>
            <w:tcW w:w="1120" w:type="dxa"/>
            <w:vAlign w:val="bottom"/>
            <w:tcBorders>
              <w:bottom w:val="single" w:sz="8" w:color="auto"/>
            </w:tcBorders>
          </w:tcPr>
          <w:p>
            <w:pPr>
              <w:jc w:val="right"/>
              <w:ind w:right="378"/>
              <w:spacing w:after="0"/>
              <w:rPr>
                <w:sz w:val="20"/>
                <w:szCs w:val="20"/>
                <w:color w:val="auto"/>
              </w:rPr>
            </w:pPr>
            <w:r>
              <w:rPr>
                <w:rFonts w:ascii="Arial" w:cs="Arial" w:eastAsia="Arial" w:hAnsi="Arial"/>
                <w:sz w:val="16"/>
                <w:szCs w:val="16"/>
                <w:b w:val="1"/>
                <w:bCs w:val="1"/>
                <w:color w:val="auto"/>
              </w:rPr>
              <w:t>2006</w:t>
            </w: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restated</w:t>
            </w:r>
          </w:p>
        </w:tc>
        <w:tc>
          <w:tcPr>
            <w:tcW w:w="5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sales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98"/>
              </w:rPr>
              <w:t>50,730</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50,730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48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loss</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258"/>
              <w:spacing w:after="0"/>
              <w:rPr>
                <w:sz w:val="20"/>
                <w:szCs w:val="20"/>
                <w:color w:val="auto"/>
              </w:rPr>
            </w:pPr>
            <w:r>
              <w:rPr>
                <w:rFonts w:ascii="Arial" w:cs="Arial" w:eastAsia="Arial" w:hAnsi="Arial"/>
                <w:sz w:val="16"/>
                <w:szCs w:val="16"/>
                <w:color w:val="auto"/>
                <w:w w:val="94"/>
              </w:rPr>
              <w:t>(1,093)</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460" w:type="dxa"/>
            <w:vAlign w:val="bottom"/>
            <w:shd w:val="clear" w:color="auto" w:fill="CCEEFF"/>
          </w:tcPr>
          <w:p>
            <w:pPr>
              <w:jc w:val="right"/>
              <w:ind w:right="178"/>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(1,093)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Precision Metal Components Segment was added on November 30, 2006 with the purchase of Whirlaway. Therefore, the segment was not included in the financial statements for the nine months ended September 30, 2006.</w:t>
      </w:r>
    </w:p>
    <w:p>
      <w:pPr>
        <w:spacing w:after="0" w:line="173"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The nine months ended September 30, 2007 results of Whirlaway are not indicative of normalized annual operations. The first quarter for this segment historically has had lower volume than average due to the purchasing patterns of the end markets served. The second and third quarters of 2007 were down due to abnormally low demand in customers that serve U.S. heavy truck and HVAC equipment markets.</w:t>
      </w:r>
    </w:p>
    <w:p>
      <w:pPr>
        <w:spacing w:after="0" w:line="186" w:lineRule="exact"/>
        <w:rPr>
          <w:sz w:val="20"/>
          <w:szCs w:val="20"/>
          <w:color w:val="auto"/>
        </w:rPr>
      </w:pPr>
    </w:p>
    <w:p>
      <w:pPr>
        <w:ind w:right="420"/>
        <w:spacing w:after="0" w:line="364" w:lineRule="auto"/>
        <w:rPr>
          <w:sz w:val="20"/>
          <w:szCs w:val="20"/>
          <w:color w:val="auto"/>
        </w:rPr>
      </w:pPr>
      <w:r>
        <w:rPr>
          <w:rFonts w:ascii="Arial" w:cs="Arial" w:eastAsia="Arial" w:hAnsi="Arial"/>
          <w:sz w:val="14"/>
          <w:szCs w:val="14"/>
          <w:color w:val="auto"/>
        </w:rPr>
        <w:t>The demand in the heavy truck and HVAC markets was abnormally low in the second and third quarters of 2007 due to large amounts of purchases made in the fourth quarter of 2006 of heavy trucks and HVAC equipment. These purchases were made ahead of required environmental changes to these products on January 1, 2007.</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PLASTIC AND RUBBER COMPONENTS SEGMENT</w:t>
            </w:r>
          </w:p>
        </w:tc>
        <w:tc>
          <w:tcPr>
            <w:tcW w:w="166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1"/>
        </w:trPr>
        <w:tc>
          <w:tcPr>
            <w:tcW w:w="5580" w:type="dxa"/>
            <w:vAlign w:val="bottom"/>
            <w:gridSpan w:val="4"/>
          </w:tcPr>
          <w:p>
            <w:pPr>
              <w:ind w:left="1140"/>
              <w:spacing w:after="0"/>
              <w:rPr>
                <w:sz w:val="20"/>
                <w:szCs w:val="20"/>
                <w:color w:val="auto"/>
              </w:rPr>
            </w:pPr>
            <w:r>
              <w:rPr>
                <w:rFonts w:ascii="Arial" w:cs="Arial" w:eastAsia="Arial" w:hAnsi="Arial"/>
                <w:sz w:val="16"/>
                <w:szCs w:val="16"/>
                <w:color w:val="auto"/>
              </w:rPr>
              <w:t>(In Thousands of Dollars)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80" w:type="dxa"/>
            <w:vAlign w:val="bottom"/>
            <w:gridSpan w:val="2"/>
          </w:tcPr>
          <w:p>
            <w:pPr>
              <w:jc w:val="right"/>
              <w:ind w:right="98"/>
              <w:spacing w:after="0"/>
              <w:rPr>
                <w:sz w:val="20"/>
                <w:szCs w:val="20"/>
                <w:color w:val="auto"/>
              </w:rPr>
            </w:pPr>
            <w:r>
              <w:rPr>
                <w:rFonts w:ascii="Arial" w:cs="Arial" w:eastAsia="Arial" w:hAnsi="Arial"/>
                <w:sz w:val="16"/>
                <w:szCs w:val="16"/>
                <w:b w:val="1"/>
                <w:bCs w:val="1"/>
                <w:color w:val="auto"/>
                <w:w w:val="94"/>
              </w:rPr>
              <w:t>Nine Months Ended September 30,</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20" w:type="dxa"/>
            <w:vAlign w:val="bottom"/>
            <w:gridSpan w:val="2"/>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2007</w:t>
            </w:r>
          </w:p>
        </w:tc>
        <w:tc>
          <w:tcPr>
            <w:tcW w:w="120" w:type="dxa"/>
            <w:vAlign w:val="bottom"/>
            <w:tcBorders>
              <w:top w:val="single" w:sz="8" w:color="auto"/>
              <w:bottom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40" w:type="dxa"/>
            <w:vAlign w:val="bottom"/>
            <w:tcBorders>
              <w:top w:val="single" w:sz="8" w:color="auto"/>
              <w:bottom w:val="single" w:sz="8" w:color="auto"/>
            </w:tcBorders>
          </w:tcPr>
          <w:p>
            <w:pPr>
              <w:jc w:val="right"/>
              <w:ind w:right="318"/>
              <w:spacing w:after="0"/>
              <w:rPr>
                <w:sz w:val="20"/>
                <w:szCs w:val="20"/>
                <w:color w:val="auto"/>
              </w:rPr>
            </w:pPr>
            <w:r>
              <w:rPr>
                <w:rFonts w:ascii="Arial" w:cs="Arial" w:eastAsia="Arial" w:hAnsi="Arial"/>
                <w:sz w:val="16"/>
                <w:szCs w:val="16"/>
                <w:b w:val="1"/>
                <w:bCs w:val="1"/>
                <w:color w:val="auto"/>
              </w:rPr>
              <w:t>2006</w:t>
            </w:r>
          </w:p>
        </w:tc>
        <w:tc>
          <w:tcPr>
            <w:tcW w:w="10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b w:val="1"/>
                <w:bCs w:val="1"/>
                <w:color w:val="auto"/>
              </w:rPr>
              <w:t>Change</w:t>
            </w:r>
          </w:p>
        </w:tc>
        <w:tc>
          <w:tcPr>
            <w:tcW w:w="54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sales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39,164</w:t>
            </w:r>
          </w:p>
        </w:tc>
        <w:tc>
          <w:tcPr>
            <w:tcW w:w="16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40,908</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restart"/>
          </w:tcPr>
          <w:p>
            <w:pPr>
              <w:spacing w:after="0"/>
              <w:rPr>
                <w:sz w:val="17"/>
                <w:szCs w:val="17"/>
                <w:color w:val="auto"/>
              </w:rPr>
            </w:pPr>
          </w:p>
        </w:tc>
        <w:tc>
          <w:tcPr>
            <w:tcW w:w="2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vMerge w:val="continue"/>
          </w:tcPr>
          <w:p>
            <w:pPr>
              <w:spacing w:after="0"/>
              <w:rPr>
                <w:sz w:val="17"/>
                <w:szCs w:val="17"/>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w:t>
            </w:r>
          </w:p>
        </w:tc>
        <w:tc>
          <w:tcPr>
            <w:tcW w:w="164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398"/>
              <w:spacing w:after="0"/>
              <w:rPr>
                <w:sz w:val="20"/>
                <w:szCs w:val="20"/>
                <w:color w:val="auto"/>
              </w:rPr>
            </w:pPr>
            <w:r>
              <w:rPr>
                <w:rFonts w:ascii="Arial" w:cs="Arial" w:eastAsia="Arial" w:hAnsi="Arial"/>
                <w:sz w:val="16"/>
                <w:szCs w:val="16"/>
                <w:color w:val="auto"/>
              </w:rPr>
              <w:t>2,380</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right="20"/>
        <w:spacing w:after="0" w:line="324" w:lineRule="auto"/>
        <w:rPr>
          <w:sz w:val="20"/>
          <w:szCs w:val="20"/>
          <w:color w:val="auto"/>
        </w:rPr>
      </w:pPr>
      <w:r>
        <w:rPr>
          <w:rFonts w:ascii="Arial" w:cs="Arial" w:eastAsia="Arial" w:hAnsi="Arial"/>
          <w:sz w:val="15"/>
          <w:szCs w:val="15"/>
          <w:color w:val="auto"/>
        </w:rPr>
        <w:t>Revenues in the Plastic and Rubber Components Segment were down due to lower sales volume to the automotive market ($2.3 million) and lower sales to certain specialty non-automotive customers ($0.7 million). Partially offsetting the volume decreases were benefits from raw material inflation pass through ($1.3 million).</w:t>
      </w:r>
    </w:p>
    <w:p>
      <w:pPr>
        <w:spacing w:after="0" w:line="151" w:lineRule="exact"/>
        <w:rPr>
          <w:sz w:val="20"/>
          <w:szCs w:val="20"/>
          <w:color w:val="auto"/>
        </w:rPr>
      </w:pPr>
    </w:p>
    <w:p>
      <w:pPr>
        <w:ind w:right="240"/>
        <w:spacing w:after="0" w:line="324" w:lineRule="auto"/>
        <w:rPr>
          <w:sz w:val="20"/>
          <w:szCs w:val="20"/>
          <w:color w:val="auto"/>
        </w:rPr>
      </w:pPr>
      <w:r>
        <w:rPr>
          <w:rFonts w:ascii="Arial" w:cs="Arial" w:eastAsia="Arial" w:hAnsi="Arial"/>
          <w:sz w:val="15"/>
          <w:szCs w:val="15"/>
          <w:color w:val="auto"/>
        </w:rPr>
        <w:t>Net income was negatively affected by the volume decreases in sales net of cost of goods sold ($1.0 million, after tax). Partially offsetting the volume impacts were cost reduction projects net of inflation ($0.3 million, after tax). The increases in sales from raw material pass through were offset by raw material inflation.</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39" w:lineRule="exact"/>
        <w:rPr>
          <w:sz w:val="20"/>
          <w:szCs w:val="20"/>
          <w:color w:val="auto"/>
        </w:rPr>
      </w:pPr>
    </w:p>
    <w:p>
      <w:pPr>
        <w:jc w:val="both"/>
        <w:spacing w:after="0" w:line="291" w:lineRule="auto"/>
        <w:rPr>
          <w:sz w:val="20"/>
          <w:szCs w:val="20"/>
          <w:color w:val="auto"/>
        </w:rPr>
      </w:pPr>
      <w:r>
        <w:rPr>
          <w:rFonts w:ascii="Arial" w:cs="Arial" w:eastAsia="Arial" w:hAnsi="Arial"/>
          <w:sz w:val="15"/>
          <w:szCs w:val="15"/>
          <w:color w:val="auto"/>
        </w:rPr>
        <w:t>Amounts outstanding under our $135.0 million credit facility and our $40.0 million notes as of September 30, 2007 were $64.5 million and $40.0 million, respectively. See Note 10 of the Notes to Consolidated Financial Statements. We were in compliance with all covenants of our $135.0 million syndicated credit facility and our $40.0 million senior notes as of September 30, 2007. The Company received an amendment to the $135.0 million credit facility, retroactive to June 30, 2007, that amends the definitions of certain components of the financial covenant calculations to exclude the negative impact of non-cash restructuring and impairment charges.</w:t>
      </w:r>
    </w:p>
    <w:p>
      <w:pPr>
        <w:spacing w:after="0" w:line="39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340"/>
          </w:cols>
          <w:pgMar w:left="240" w:top="473" w:right="319" w:bottom="1440" w:gutter="0" w:footer="0" w:header="0"/>
        </w:sectPr>
      </w:pPr>
    </w:p>
    <w:bookmarkStart w:id="26" w:name="page27"/>
    <w:bookmarkEnd w:id="26"/>
    <w:p>
      <w:pPr>
        <w:ind w:right="80"/>
        <w:spacing w:after="0" w:line="273" w:lineRule="auto"/>
        <w:rPr>
          <w:sz w:val="20"/>
          <w:szCs w:val="20"/>
          <w:color w:val="auto"/>
        </w:rPr>
      </w:pPr>
      <w:r>
        <w:rPr>
          <w:rFonts w:ascii="Arial" w:cs="Arial" w:eastAsia="Arial" w:hAnsi="Arial"/>
          <w:sz w:val="16"/>
          <w:szCs w:val="16"/>
          <w:color w:val="auto"/>
        </w:rPr>
        <w:t>As of September 30, 2007, we had $70.5 million of availability under the $135.0 million five year revolving credit facility. Our borrowings under the credit facility increased by $18.6 million related to the acquisition of Whirlaway. In addition, our borrowings increased $6.4 million from December 31, 2006 due to short-term cash flow needs from increased receivable and inventory balances.</w:t>
      </w:r>
    </w:p>
    <w:p>
      <w:pPr>
        <w:spacing w:after="0" w:line="18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Many of our locations use the Euro as their functional currency. In 2007, the fluctuation of the Euro against the U.S. Dollar favorably impacted our revenue and income and increased the value of assets and liabilities, as the average Euro exchange rate was higher for the nine months ended September 30, 2007 compared with the nine months ended September 30, 2006 and the spot rate at September 30, 2007 was higher than the exchange rate at December 31, 2006. As of September 30, 2007, no currency hedges were in place. Changes in value of the U.S. Dollar and/or Euro against foreign currencies could impair our ability to compete with international competitors for foreign as well as domestic sales.</w:t>
      </w:r>
    </w:p>
    <w:p>
      <w:pPr>
        <w:spacing w:after="0" w:line="19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Working capital, which consists principally of accounts receivable, inventories, and accounts payable, was $55.4 million at September 30, 2007 as compared to $51.0 million at December 31, 2006. The ratio of current assets to current liabilities increased from 1.68:1 at December 31, 2006 to 1.69:1 at September 30, 2007. The increase in working capital was due primarily to the increase in accounts receivable balances ($8.0 million) and inventory balances ($4.3 million) due to higher sales volume in the third quarter of 2007 compared to the fourth quarter of 2006 and appreciation of Euro denominated balances. Partially offsetting these increases was a lower accounts payable balance ($7.6 million).</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Cash flow provided by operations was $10.8 million during the first nine months of 2007, compared with cash flow provided by operations of $22.8 million during the first nine months of 2006. The decrease in cash flow provided by operations is due to accounts receivable having increased in 2007 from higher sales volumes in the nine months of 2007 and due to inventory having increased in 2007 from higher sales volumes and from building a level of customer service safety stock ahead of the European restructuring.</w:t>
      </w:r>
    </w:p>
    <w:p>
      <w:pPr>
        <w:spacing w:after="0" w:line="192" w:lineRule="exact"/>
        <w:rPr>
          <w:sz w:val="20"/>
          <w:szCs w:val="20"/>
          <w:color w:val="auto"/>
        </w:rPr>
      </w:pPr>
    </w:p>
    <w:p>
      <w:pPr>
        <w:jc w:val="both"/>
        <w:ind w:right="260"/>
        <w:spacing w:after="0" w:line="279" w:lineRule="auto"/>
        <w:rPr>
          <w:sz w:val="20"/>
          <w:szCs w:val="20"/>
          <w:color w:val="auto"/>
        </w:rPr>
      </w:pPr>
      <w:r>
        <w:rPr>
          <w:rFonts w:ascii="Arial" w:cs="Arial" w:eastAsia="Arial" w:hAnsi="Arial"/>
          <w:sz w:val="15"/>
          <w:szCs w:val="15"/>
          <w:color w:val="auto"/>
        </w:rPr>
        <w:t>Total assets and current assets increased approximately $13.0 million and $5.1 million, respectively, from the December 31, 2006 balance due to appreciation of the Euro relative to the U.S. Dollar. Factoring out the foreign exchange effects, accounts receivable was up due to higher sales volume in the third quarter of 2007 than the fourth quarter of 2006 ($5.4 million). Inventories were higher ($2.7 million) due to higher sales volumes and planned stock increases ahead of the European</w:t>
      </w:r>
    </w:p>
    <w:p>
      <w:pPr>
        <w:spacing w:after="0" w:line="2" w:lineRule="exact"/>
        <w:rPr>
          <w:sz w:val="20"/>
          <w:szCs w:val="20"/>
          <w:color w:val="auto"/>
        </w:rPr>
      </w:pPr>
    </w:p>
    <w:p>
      <w:pPr>
        <w:ind w:right="220"/>
        <w:spacing w:after="0" w:line="274" w:lineRule="auto"/>
        <w:rPr>
          <w:sz w:val="20"/>
          <w:szCs w:val="20"/>
          <w:color w:val="auto"/>
        </w:rPr>
      </w:pPr>
      <w:r>
        <w:rPr>
          <w:rFonts w:ascii="Arial" w:cs="Arial" w:eastAsia="Arial" w:hAnsi="Arial"/>
          <w:sz w:val="16"/>
          <w:szCs w:val="16"/>
          <w:color w:val="auto"/>
        </w:rPr>
        <w:t>Restructuring. Factoring out foreign exchange effects, property, plant and equipment was lower due to certain fixed assets being impaired ($3.4 million) and from year to date capital spending having been lower than depreciation ($2.7 million).</w:t>
      </w:r>
    </w:p>
    <w:p>
      <w:pPr>
        <w:spacing w:after="0" w:line="185"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Total liabilities and current liabilities increased approximately $5.6 million and $3.7 million, respectively, from the December 31, 2006 balance due to appreciation of the Euro relative to the U.S. Dollar. Factoring out the foreign exchange effects, accounts payable was lower primarily due to the pay-off of certain payables from year end December 31, 2006 ($10.0 million). Our debt increased to finance the growth in working capital from year end. Finally, liabilities increased due to the accrual of taxes on three quarter’s of income and from the adoption of FIN 48 ($1.1 million).</w:t>
      </w:r>
    </w:p>
    <w:p>
      <w:pPr>
        <w:spacing w:after="0" w:line="192" w:lineRule="exact"/>
        <w:rPr>
          <w:sz w:val="20"/>
          <w:szCs w:val="20"/>
          <w:color w:val="auto"/>
        </w:rPr>
      </w:pPr>
    </w:p>
    <w:p>
      <w:pPr>
        <w:jc w:val="both"/>
        <w:ind w:right="120"/>
        <w:spacing w:after="0" w:line="273" w:lineRule="auto"/>
        <w:rPr>
          <w:sz w:val="20"/>
          <w:szCs w:val="20"/>
          <w:color w:val="auto"/>
        </w:rPr>
      </w:pPr>
      <w:r>
        <w:rPr>
          <w:rFonts w:ascii="Arial" w:cs="Arial" w:eastAsia="Arial" w:hAnsi="Arial"/>
          <w:sz w:val="16"/>
          <w:szCs w:val="16"/>
          <w:color w:val="auto"/>
        </w:rPr>
        <w:t>During the second and third quarters, we recorded approximately $14.7 million ($13.9 million after-tax) of non-cash impairment charges. These charges include the write-down to estimated fair market value of certain excess production equipment and the full impairment of goodwill at one location to levels supported by projected cash flows after the restructuring. These charges did not require the use of any of our existing cash flows from operations or available credit lines.</w:t>
      </w:r>
    </w:p>
    <w:p>
      <w:pPr>
        <w:spacing w:after="0" w:line="186" w:lineRule="exact"/>
        <w:rPr>
          <w:sz w:val="20"/>
          <w:szCs w:val="20"/>
          <w:color w:val="auto"/>
        </w:rPr>
      </w:pPr>
    </w:p>
    <w:p>
      <w:pPr>
        <w:ind w:right="300"/>
        <w:spacing w:after="0" w:line="273" w:lineRule="auto"/>
        <w:rPr>
          <w:sz w:val="20"/>
          <w:szCs w:val="20"/>
          <w:color w:val="auto"/>
        </w:rPr>
      </w:pPr>
      <w:r>
        <w:rPr>
          <w:rFonts w:ascii="Arial" w:cs="Arial" w:eastAsia="Arial" w:hAnsi="Arial"/>
          <w:sz w:val="16"/>
          <w:szCs w:val="16"/>
          <w:color w:val="auto"/>
        </w:rPr>
        <w:t>During the third quarter of 2007, we recorded additional charges related to the European restructuring for adjustment of employment levels related to the restructuring of European operations of approximately $1.3 million ($1.2 million after-tax). These charges will require use of cash and will be financed from existing cash flows from operations.</w:t>
      </w:r>
    </w:p>
    <w:p>
      <w:pPr>
        <w:spacing w:after="0" w:line="186" w:lineRule="exact"/>
        <w:rPr>
          <w:sz w:val="20"/>
          <w:szCs w:val="20"/>
          <w:color w:val="auto"/>
        </w:rPr>
      </w:pPr>
    </w:p>
    <w:p>
      <w:pPr>
        <w:ind w:right="140"/>
        <w:spacing w:after="0" w:line="291" w:lineRule="auto"/>
        <w:rPr>
          <w:sz w:val="20"/>
          <w:szCs w:val="20"/>
          <w:color w:val="auto"/>
        </w:rPr>
      </w:pPr>
      <w:r>
        <w:rPr>
          <w:rFonts w:ascii="Arial" w:cs="Arial" w:eastAsia="Arial" w:hAnsi="Arial"/>
          <w:sz w:val="15"/>
          <w:szCs w:val="15"/>
          <w:color w:val="auto"/>
        </w:rPr>
        <w:t>During 2007, we plan to spend approximately $19.0 million on capital expenditures of which $11.3 million is related primarily to equipment, process upgrades, and replacements and approximately $7.7 million is related to geographic expansion of our manufacturing base. Of these amounts, approximately $12.8 million has been spent through September 30, 2007. We intend to finance these activities with cash generated from operations and funds available under the credit facilities described above. We believe that funds generated from operations and borrowings from the credit facilities will be sufficient to finance our working capital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349" w:right="25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needs, projected capital expenditure requirements and dividend payments through December 2007.</w:t>
      </w:r>
    </w:p>
    <w:p>
      <w:pPr>
        <w:spacing w:after="0" w:line="235" w:lineRule="exact"/>
        <w:rPr>
          <w:sz w:val="20"/>
          <w:szCs w:val="20"/>
          <w:color w:val="auto"/>
        </w:rPr>
      </w:pPr>
    </w:p>
    <w:p>
      <w:pPr>
        <w:ind w:right="60"/>
        <w:spacing w:after="0" w:line="273" w:lineRule="auto"/>
        <w:rPr>
          <w:sz w:val="20"/>
          <w:szCs w:val="20"/>
          <w:color w:val="auto"/>
        </w:rPr>
      </w:pPr>
      <w:r>
        <w:rPr>
          <w:rFonts w:ascii="Arial" w:cs="Arial" w:eastAsia="Arial" w:hAnsi="Arial"/>
          <w:sz w:val="16"/>
          <w:szCs w:val="16"/>
          <w:color w:val="auto"/>
        </w:rPr>
        <w:t>During the quarter ended September 30, 2007, the Company repurchased approximately 211,000 shares at an approximate cost of $10.21 per share for a total of $2.1 million under the existing $10 million common stock repurchase program initiated in February 2006. This program expired on September 13, 2007 and was replaced with a new common stock repurchase program.</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The new share repurchase program will be in effect for a period of one year beginning on September 13, 2007, and the amount approved for purchase, from this date until the expiration of the program, will be $25 million worth of shares to be purchased in the open market from time to time in accordance with applicable laws and market regulations. During the quarter ended September 30, 2007, the Company repurchased approximately 98,000 shares at an average cost of $10.27 per share for a total of $1.0 million.</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total of all share repurchases was 309,000 shares for $3.1 million.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During the third quarter of 2007, a dividend declared on August 14, 2007 totaling $1.4 million was paid on September 13, 2007.</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 and Fluctuation in Quarterly Results</w:t>
      </w:r>
    </w:p>
    <w:p>
      <w:pPr>
        <w:spacing w:after="0" w:line="239" w:lineRule="exact"/>
        <w:rPr>
          <w:sz w:val="20"/>
          <w:szCs w:val="20"/>
          <w:color w:val="auto"/>
        </w:rPr>
      </w:pPr>
    </w:p>
    <w:p>
      <w:pPr>
        <w:ind w:right="240"/>
        <w:spacing w:after="0" w:line="299" w:lineRule="auto"/>
        <w:rPr>
          <w:sz w:val="20"/>
          <w:szCs w:val="20"/>
          <w:color w:val="auto"/>
        </w:rPr>
      </w:pPr>
      <w:r>
        <w:rPr>
          <w:rFonts w:ascii="Arial" w:cs="Arial" w:eastAsia="Arial" w:hAnsi="Arial"/>
          <w:sz w:val="15"/>
          <w:szCs w:val="15"/>
          <w:color w:val="auto"/>
        </w:rPr>
        <w:t>Our net sales in the Metal Bearing Components Segment historically have been of a seasonal nature due to the fact that a significant portion of our sales are to European customers that significantly slow production during the month of August. With the addition of the Precision Metal Components Segment, the seasonality of the Company should become less pronounced as sales volumes within this segment are lower in the first and fourth quarters and higher in the second and third quarters.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39"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significant accounting policies, including the assumptions and judgments underlying them, are disclosed in our annual report on Form 10-K for the year ended December 31, 2006, including those policies as discussed in Note 1 to the annual report. These policies have been consistently applied in all material respects and address such matters as revenue recognition, inventory valuation, asset impairment recognition, business combination accounting and pension and postretirement benefits. There can be no assurance that actual results will not significantly differ from the estimates used in these critical accounting policies. The only change during the three and nine month periods ended September 30, 2007 was adoption of FIN 48 related to accounting for uncertain tax positions. FIN 48 has had an immaterial effect on the financial statements for the three and nine month periods ended September 30, 2007.</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Concentration</w:t>
      </w:r>
    </w:p>
    <w:p>
      <w:pPr>
        <w:spacing w:after="0" w:line="239" w:lineRule="exact"/>
        <w:rPr>
          <w:sz w:val="20"/>
          <w:szCs w:val="20"/>
          <w:color w:val="auto"/>
        </w:rPr>
      </w:pPr>
    </w:p>
    <w:p>
      <w:pPr>
        <w:ind w:right="80"/>
        <w:spacing w:after="0" w:line="273" w:lineRule="auto"/>
        <w:rPr>
          <w:sz w:val="20"/>
          <w:szCs w:val="20"/>
          <w:color w:val="auto"/>
        </w:rPr>
      </w:pPr>
      <w:r>
        <w:rPr>
          <w:rFonts w:ascii="Arial" w:cs="Arial" w:eastAsia="Arial" w:hAnsi="Arial"/>
          <w:sz w:val="16"/>
          <w:szCs w:val="16"/>
          <w:color w:val="auto"/>
        </w:rPr>
        <w:t>In January 2007, we entered into a two-year supply agreement with Schaeffler Group (INA) effective as of July 1, 2006 that replaced the agreement that expired on June 30, 2006. In May 2007, a new multi-year contract was signed with SKF with the terms being retroactively applied back to January 1, 2007 and effective until December 31, 2009.</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European Restructuring</w:t>
      </w:r>
    </w:p>
    <w:p>
      <w:pPr>
        <w:spacing w:after="0" w:line="239"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As previously mentioned in our annual report on Form 10-K for the year ended December 31, 2006, during 2006 we entered into negotiations with representatives of the Eltmann, Germany plant employees. The negotiations seek significant wage reductions and changes in work rules. These negotiations are still in process as of the date of this report.</w:t>
      </w:r>
    </w:p>
    <w:p>
      <w:pPr>
        <w:spacing w:after="0" w:line="186" w:lineRule="exact"/>
        <w:rPr>
          <w:sz w:val="20"/>
          <w:szCs w:val="20"/>
          <w:color w:val="auto"/>
        </w:rPr>
      </w:pPr>
    </w:p>
    <w:p>
      <w:pPr>
        <w:ind w:right="140"/>
        <w:spacing w:after="0" w:line="273" w:lineRule="auto"/>
        <w:rPr>
          <w:sz w:val="20"/>
          <w:szCs w:val="20"/>
          <w:color w:val="auto"/>
        </w:rPr>
      </w:pPr>
      <w:r>
        <w:rPr>
          <w:rFonts w:ascii="Arial" w:cs="Arial" w:eastAsia="Arial" w:hAnsi="Arial"/>
          <w:sz w:val="16"/>
          <w:szCs w:val="16"/>
          <w:color w:val="auto"/>
        </w:rPr>
        <w:t>In the third quarter of 2007, we began the process to shift production to lower cost facilities, thereby incurring costs for the production shifts and further restructuring at the Eltmann facility, including actions leading to downsizing that location. In addition, in the second quarter of 2007, we incurred non-cash impairment charges related to the decision to begin shifting production away from Eltmann. See Note 3 of the Notes to Consolidated Financial Statements.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28" w:name="page29"/>
    <w:bookmarkEnd w:id="28"/>
    <w:p>
      <w:pPr>
        <w:spacing w:after="0"/>
        <w:tabs>
          <w:tab w:leader="none" w:pos="76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Q</w:t>
      </w:r>
      <w:r>
        <w:rPr>
          <w:rFonts w:ascii="Arial" w:cs="Arial" w:eastAsia="Arial" w:hAnsi="Arial"/>
          <w:sz w:val="15"/>
          <w:szCs w:val="15"/>
          <w:b w:val="1"/>
          <w:bCs w:val="1"/>
          <w:color w:val="auto"/>
        </w:rPr>
        <w:t>uantitative and Qualitative Disclosures About Market Risk</w:t>
      </w:r>
    </w:p>
    <w:p>
      <w:pPr>
        <w:spacing w:after="0" w:line="227" w:lineRule="exact"/>
        <w:rPr>
          <w:sz w:val="20"/>
          <w:szCs w:val="20"/>
          <w:color w:val="auto"/>
        </w:rPr>
      </w:pPr>
    </w:p>
    <w:p>
      <w:pPr>
        <w:spacing w:after="0" w:line="282" w:lineRule="auto"/>
        <w:rPr>
          <w:sz w:val="20"/>
          <w:szCs w:val="20"/>
          <w:color w:val="auto"/>
        </w:rPr>
      </w:pPr>
      <w:r>
        <w:rPr>
          <w:rFonts w:ascii="Arial" w:cs="Arial" w:eastAsia="Arial" w:hAnsi="Arial"/>
          <w:sz w:val="15"/>
          <w:szCs w:val="15"/>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September 30, 2007, we had $64.5 million outstanding under the domestic credit facilities and $40.0 million aggregate principal amount of senior notes outstanding. See Note 10 of the Notes to Consolidated Financial Statements. At September 30, 2007, a one-percent increase in the interest rate charged on our outstanding borrowings under our credit facilities, which are subject to variable interest rates, would result in interest expense increasing annually by approximately $0.6 million. Translation of our operating cash flows denominated in foreign currencies is impacted by changes in foreign exchange rates. We did not hold a position in any foreign currency hedging instruments as of September 30, 2007.</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4"/>
          <w:szCs w:val="14"/>
          <w:b w:val="1"/>
          <w:bCs w:val="1"/>
          <w:color w:val="auto"/>
        </w:rPr>
        <w:t>Controls and Procedures</w:t>
      </w:r>
    </w:p>
    <w:p>
      <w:pPr>
        <w:spacing w:after="0" w:line="227" w:lineRule="exact"/>
        <w:rPr>
          <w:sz w:val="20"/>
          <w:szCs w:val="20"/>
          <w:color w:val="auto"/>
        </w:rPr>
      </w:pPr>
    </w:p>
    <w:p>
      <w:pPr>
        <w:spacing w:after="0" w:line="317" w:lineRule="auto"/>
        <w:rPr>
          <w:sz w:val="20"/>
          <w:szCs w:val="20"/>
          <w:color w:val="auto"/>
        </w:rPr>
      </w:pPr>
      <w:r>
        <w:rPr>
          <w:rFonts w:ascii="Arial" w:cs="Arial" w:eastAsia="Arial" w:hAnsi="Arial"/>
          <w:sz w:val="14"/>
          <w:szCs w:val="14"/>
          <w:color w:val="auto"/>
        </w:rPr>
        <w:t>Under the supervision and with the participation of our management, including our Chief Executive Officer and Chief Financial Officer, the Company conducted an evaluation of the effectiveness of the design and operation of our disclosure controls and procedures pursuant to Rule 13a-15 and 15d-15 of the Securities Exchange Act of 1934 (the “Exchange Act”). Based upon that evaluation, the Chief Executive Officer and Chief Financial Officer, concluded that our disclosure controls and procedures are not effective as of September 30, 2007, the end of the period covered by this quarterly report on Form 10-Q/A due to the existence of the material weakness described below.</w:t>
      </w:r>
    </w:p>
    <w:p>
      <w:pPr>
        <w:spacing w:after="0" w:line="161" w:lineRule="exact"/>
        <w:rPr>
          <w:sz w:val="20"/>
          <w:szCs w:val="20"/>
          <w:color w:val="auto"/>
        </w:rPr>
      </w:pPr>
    </w:p>
    <w:p>
      <w:pPr>
        <w:ind w:right="20"/>
        <w:spacing w:after="0" w:line="280" w:lineRule="auto"/>
        <w:rPr>
          <w:sz w:val="20"/>
          <w:szCs w:val="20"/>
          <w:color w:val="auto"/>
        </w:rPr>
      </w:pPr>
      <w:r>
        <w:rPr>
          <w:rFonts w:ascii="Arial" w:cs="Arial" w:eastAsia="Arial" w:hAnsi="Arial"/>
          <w:sz w:val="15"/>
          <w:szCs w:val="15"/>
          <w:color w:val="auto"/>
        </w:rPr>
        <w:t>A material weakness is a control deficiency, or combination of control deficiencies, in internal control over financial reporting, such that there is a reasonable possibility that a material misstatement of the annual or interim financial statements will not be prevented or detected on a timely basis. In connection with the restatement disclosed in Note 2 "Restatement of Form 10-Q filed November 9, 2007" to the Consolidated Financial Statements included in Part I Item 1 of this Form 10-Q/A, the following material weakness was identified in our internal control over financial reporting as of September 30, 2007. The Company did not maintain effective controls over the accounting for the impairment of customer intangible assets. Specifically, the Company did not maintain effective controls to ensure that when circumstances indicate the carrying value of intangible assets may not be recoverable these assets are appropriately grouped at the lowest level for which identifiable cash flows are largely independent of the cash flows of other assets and liabilities in accordance with generally accepted accounting principles</w:t>
      </w:r>
      <w:r>
        <w:rPr>
          <w:rFonts w:ascii="Arial" w:cs="Arial" w:eastAsia="Arial" w:hAnsi="Arial"/>
          <w:sz w:val="15"/>
          <w:szCs w:val="15"/>
          <w:i w:val="1"/>
          <w:iCs w:val="1"/>
          <w:color w:val="auto"/>
        </w:rPr>
        <w:t>.</w:t>
      </w:r>
      <w:r>
        <w:rPr>
          <w:rFonts w:ascii="Arial" w:cs="Arial" w:eastAsia="Arial" w:hAnsi="Arial"/>
          <w:sz w:val="15"/>
          <w:szCs w:val="15"/>
          <w:color w:val="auto"/>
        </w:rPr>
        <w:t xml:space="preserve"> This control deficiency resulted in the restatement of the interim consolidated financial statements for the second and third quarters of 2007 affecting depreciation and amortization expense, restructuring and impairment charges and intangible assets and other assets. Further, this control deficiency could result in misstatements of the aforementioned accounts that would result in a material misstatement of the annual or interim consolidated financial statements that would not be prevented or detected.</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Remediation of Material Weakness</w:t>
      </w:r>
    </w:p>
    <w:p>
      <w:pPr>
        <w:spacing w:after="0" w:line="239" w:lineRule="exact"/>
        <w:rPr>
          <w:sz w:val="20"/>
          <w:szCs w:val="20"/>
          <w:color w:val="auto"/>
        </w:rPr>
      </w:pPr>
    </w:p>
    <w:p>
      <w:pPr>
        <w:ind w:right="160"/>
        <w:spacing w:after="0" w:line="299" w:lineRule="auto"/>
        <w:rPr>
          <w:sz w:val="20"/>
          <w:szCs w:val="20"/>
          <w:color w:val="auto"/>
        </w:rPr>
      </w:pPr>
      <w:r>
        <w:rPr>
          <w:rFonts w:ascii="Arial" w:cs="Arial" w:eastAsia="Arial" w:hAnsi="Arial"/>
          <w:sz w:val="15"/>
          <w:szCs w:val="15"/>
          <w:color w:val="auto"/>
        </w:rPr>
        <w:t xml:space="preserve">Management has determined that, as of the date of this filing on Form 10 Q/A, the material weakness in our internal control over financial reporting with respect to accounting for the impairment of customer intangible assets has been remediated. Management's remediation efforts focused on applying a correct interpretation of SFAS 144, </w:t>
      </w:r>
      <w:r>
        <w:rPr>
          <w:rFonts w:ascii="Arial" w:cs="Arial" w:eastAsia="Arial" w:hAnsi="Arial"/>
          <w:sz w:val="15"/>
          <w:szCs w:val="15"/>
          <w:i w:val="1"/>
          <w:iCs w:val="1"/>
          <w:color w:val="auto"/>
        </w:rPr>
        <w:t>Accounting for the Impairment or Disposal of Long-Lived Assets,</w:t>
      </w:r>
      <w:r>
        <w:rPr>
          <w:rFonts w:ascii="Arial" w:cs="Arial" w:eastAsia="Arial" w:hAnsi="Arial"/>
          <w:sz w:val="15"/>
          <w:szCs w:val="15"/>
          <w:color w:val="auto"/>
        </w:rPr>
        <w:t xml:space="preserve"> in evaluating whether the Company's intangible assets are impaired.</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2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There have been no changes during this fiscal quarter in our internal control over financial reporting or in other factors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76835</wp:posOffset>
            </wp:positionV>
            <wp:extent cx="7263130" cy="20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00"/>
          </w:cols>
          <w:pgMar w:left="240" w:top="472" w:right="25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Part II. Other Information</w:t>
      </w:r>
    </w:p>
    <w:p>
      <w:pPr>
        <w:spacing w:after="0" w:line="227"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227" w:lineRule="exact"/>
        <w:rPr>
          <w:sz w:val="20"/>
          <w:szCs w:val="20"/>
          <w:color w:val="auto"/>
        </w:rPr>
      </w:pPr>
    </w:p>
    <w:p>
      <w:pPr>
        <w:ind w:right="80"/>
        <w:spacing w:after="0" w:line="299" w:lineRule="auto"/>
        <w:rPr>
          <w:sz w:val="20"/>
          <w:szCs w:val="20"/>
          <w:color w:val="auto"/>
        </w:rPr>
      </w:pPr>
      <w:r>
        <w:rPr>
          <w:rFonts w:ascii="Arial" w:cs="Arial" w:eastAsia="Arial" w:hAnsi="Arial"/>
          <w:sz w:val="15"/>
          <w:szCs w:val="15"/>
          <w:color w:val="auto"/>
        </w:rPr>
        <w:t>On March 20, 2006, we, as well as numerous other parties, received correspondence from the Environmental Protection Agency (“EPA”) requesting information regarding a former waste recycling vendor previously used by us. The vendor has since ceased operations and the EPA is investigating the clean up of the site or sites used by the vendor. As of the date of this report, we do not know whether we have any liability related to this vendor’s actions or estimatable range for any potential liability.</w:t>
      </w:r>
    </w:p>
    <w:p>
      <w:pPr>
        <w:spacing w:after="0" w:line="169"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June 20, 2007, we, as well as numerous other parties, received correspondence from the New York State Department of Environmental Conservation notifying us that we have been named as a potentially responsible party for the potential clean up of a former waste recycling facility. As of the date of this report, we do not know whether we have any liability related to this vendor’s actions or estimatable range for any potential liability.</w:t>
      </w:r>
    </w:p>
    <w:p>
      <w:pPr>
        <w:spacing w:after="0" w:line="186" w:lineRule="exact"/>
        <w:rPr>
          <w:sz w:val="20"/>
          <w:szCs w:val="20"/>
          <w:color w:val="auto"/>
        </w:rPr>
      </w:pPr>
    </w:p>
    <w:p>
      <w:pPr>
        <w:ind w:right="580"/>
        <w:spacing w:after="0" w:line="289" w:lineRule="auto"/>
        <w:rPr>
          <w:sz w:val="20"/>
          <w:szCs w:val="20"/>
          <w:color w:val="auto"/>
        </w:rPr>
      </w:pPr>
      <w:r>
        <w:rPr>
          <w:rFonts w:ascii="Arial" w:cs="Arial" w:eastAsia="Arial" w:hAnsi="Arial"/>
          <w:sz w:val="16"/>
          <w:szCs w:val="16"/>
          <w:color w:val="auto"/>
        </w:rPr>
        <w:t>All of our other legal proceedings are of an ordinary and routine nature and are incidental to our operations. Management believes that such proceedings should not, individually or in the aggregate, have a material adverse effect on our business or financial condition or on the results of operations.</w:t>
      </w:r>
    </w:p>
    <w:p>
      <w:pPr>
        <w:spacing w:after="0" w:line="391" w:lineRule="exact"/>
        <w:rPr>
          <w:sz w:val="20"/>
          <w:szCs w:val="20"/>
          <w:color w:val="auto"/>
        </w:rPr>
      </w:pPr>
    </w:p>
    <w:p>
      <w:pPr>
        <w:spacing w:after="0"/>
        <w:tabs>
          <w:tab w:leader="none" w:pos="84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239"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color w:val="auto"/>
        </w:rPr>
        <w:t>There have not been any material changes in risk factors from those disclosed our annual report on Form 10-K for the year ended December 31, 2006 filed on March 16, 2007.</w:t>
      </w:r>
    </w:p>
    <w:p>
      <w:pPr>
        <w:spacing w:after="0" w:line="161"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6"/>
          <w:szCs w:val="16"/>
          <w:b w:val="1"/>
          <w:bCs w:val="1"/>
          <w:color w:val="auto"/>
        </w:rPr>
        <w:t>Unregistered Sales of Equity Securities and Use of Proceeds</w:t>
      </w:r>
    </w:p>
    <w:p>
      <w:pPr>
        <w:spacing w:after="0" w:line="19" w:lineRule="exact"/>
        <w:rPr>
          <w:sz w:val="20"/>
          <w:szCs w:val="20"/>
          <w:color w:val="auto"/>
        </w:rPr>
      </w:pPr>
    </w:p>
    <w:p>
      <w:pPr>
        <w:ind w:left="880" w:hanging="213"/>
        <w:spacing w:after="0"/>
        <w:tabs>
          <w:tab w:leader="none" w:pos="8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None</w:t>
      </w:r>
    </w:p>
    <w:p>
      <w:pPr>
        <w:spacing w:after="0" w:line="10" w:lineRule="exact"/>
        <w:rPr>
          <w:rFonts w:ascii="Arial" w:cs="Arial" w:eastAsia="Arial" w:hAnsi="Arial"/>
          <w:sz w:val="16"/>
          <w:szCs w:val="16"/>
          <w:b w:val="1"/>
          <w:bCs w:val="1"/>
          <w:color w:val="auto"/>
        </w:rPr>
      </w:pPr>
    </w:p>
    <w:p>
      <w:pPr>
        <w:ind w:left="880" w:hanging="222"/>
        <w:spacing w:after="0"/>
        <w:tabs>
          <w:tab w:leader="none" w:pos="8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None</w:t>
      </w:r>
    </w:p>
    <w:p>
      <w:pPr>
        <w:spacing w:after="0" w:line="13" w:lineRule="exact"/>
        <w:rPr>
          <w:rFonts w:ascii="Arial" w:cs="Arial" w:eastAsia="Arial" w:hAnsi="Arial"/>
          <w:sz w:val="16"/>
          <w:szCs w:val="16"/>
          <w:b w:val="1"/>
          <w:bCs w:val="1"/>
          <w:color w:val="auto"/>
        </w:rPr>
      </w:pPr>
    </w:p>
    <w:p>
      <w:pPr>
        <w:ind w:left="880" w:hanging="203"/>
        <w:spacing w:after="0"/>
        <w:tabs>
          <w:tab w:leader="none" w:pos="8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Issuer purchases of equity securities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Issuer Purchases of Equity Securities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2480" w:type="dxa"/>
            <w:vAlign w:val="bottom"/>
            <w:tcBorders>
              <w:top w:val="single" w:sz="8" w:color="auto"/>
            </w:tcBorders>
          </w:tcPr>
          <w:p>
            <w:pPr>
              <w:spacing w:after="0"/>
              <w:rPr>
                <w:sz w:val="16"/>
                <w:szCs w:val="16"/>
                <w:color w:val="auto"/>
              </w:rPr>
            </w:pPr>
          </w:p>
        </w:tc>
        <w:tc>
          <w:tcPr>
            <w:tcW w:w="2220" w:type="dxa"/>
            <w:vAlign w:val="bottom"/>
            <w:tcBorders>
              <w:top w:val="single" w:sz="8" w:color="auto"/>
            </w:tcBorders>
          </w:tcPr>
          <w:p>
            <w:pPr>
              <w:spacing w:after="0"/>
              <w:rPr>
                <w:sz w:val="16"/>
                <w:szCs w:val="16"/>
                <w:color w:val="auto"/>
              </w:rPr>
            </w:pPr>
          </w:p>
        </w:tc>
        <w:tc>
          <w:tcPr>
            <w:tcW w:w="212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 Maximum</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7"/>
              </w:rPr>
              <w:t>Number (or</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5"/>
              </w:rPr>
              <w:t>(c) Total Number</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1"/>
              </w:rPr>
              <w:t>of Shares (or</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5"/>
              </w:rPr>
              <w:t>Dollar Value) of</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jc w:val="center"/>
              <w:ind w:left="298"/>
              <w:spacing w:after="0"/>
              <w:rPr>
                <w:sz w:val="20"/>
                <w:szCs w:val="20"/>
                <w:color w:val="auto"/>
              </w:rPr>
            </w:pPr>
            <w:r>
              <w:rPr>
                <w:rFonts w:ascii="Arial" w:cs="Arial" w:eastAsia="Arial" w:hAnsi="Arial"/>
                <w:sz w:val="16"/>
                <w:szCs w:val="16"/>
                <w:b w:val="1"/>
                <w:bCs w:val="1"/>
                <w:color w:val="auto"/>
                <w:w w:val="96"/>
              </w:rPr>
              <w:t>(a) Total</w:t>
            </w:r>
          </w:p>
        </w:tc>
        <w:tc>
          <w:tcPr>
            <w:tcW w:w="2120" w:type="dxa"/>
            <w:vAlign w:val="bottom"/>
          </w:tcPr>
          <w:p>
            <w:pPr>
              <w:jc w:val="center"/>
              <w:ind w:right="58"/>
              <w:spacing w:after="0"/>
              <w:rPr>
                <w:sz w:val="20"/>
                <w:szCs w:val="20"/>
                <w:color w:val="auto"/>
              </w:rPr>
            </w:pPr>
            <w:r>
              <w:rPr>
                <w:rFonts w:ascii="Arial" w:cs="Arial" w:eastAsia="Arial" w:hAnsi="Arial"/>
                <w:sz w:val="16"/>
                <w:szCs w:val="16"/>
                <w:b w:val="1"/>
                <w:bCs w:val="1"/>
                <w:color w:val="auto"/>
                <w:w w:val="92"/>
              </w:rPr>
              <w:t>(b) Average Price</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2"/>
              </w:rPr>
              <w:t>Units) Purchased</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4"/>
              </w:rPr>
              <w:t>Shares that May</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jc w:val="center"/>
              <w:ind w:left="298"/>
              <w:spacing w:after="0"/>
              <w:rPr>
                <w:sz w:val="20"/>
                <w:szCs w:val="20"/>
                <w:color w:val="auto"/>
              </w:rPr>
            </w:pPr>
            <w:r>
              <w:rPr>
                <w:rFonts w:ascii="Arial" w:cs="Arial" w:eastAsia="Arial" w:hAnsi="Arial"/>
                <w:sz w:val="16"/>
                <w:szCs w:val="16"/>
                <w:b w:val="1"/>
                <w:bCs w:val="1"/>
                <w:color w:val="auto"/>
                <w:w w:val="94"/>
              </w:rPr>
              <w:t>Number of</w:t>
            </w:r>
          </w:p>
        </w:tc>
        <w:tc>
          <w:tcPr>
            <w:tcW w:w="2120" w:type="dxa"/>
            <w:vAlign w:val="bottom"/>
          </w:tcPr>
          <w:p>
            <w:pPr>
              <w:jc w:val="center"/>
              <w:ind w:right="58"/>
              <w:spacing w:after="0"/>
              <w:rPr>
                <w:sz w:val="20"/>
                <w:szCs w:val="20"/>
                <w:color w:val="auto"/>
              </w:rPr>
            </w:pPr>
            <w:r>
              <w:rPr>
                <w:rFonts w:ascii="Arial" w:cs="Arial" w:eastAsia="Arial" w:hAnsi="Arial"/>
                <w:sz w:val="16"/>
                <w:szCs w:val="16"/>
                <w:b w:val="1"/>
                <w:bCs w:val="1"/>
                <w:color w:val="auto"/>
                <w:w w:val="94"/>
              </w:rPr>
              <w:t>Paid per Share (or</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3"/>
              </w:rPr>
              <w:t>as Part of Publicly</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1"/>
              </w:rPr>
              <w:t>Yet Be Purchased</w:t>
            </w:r>
          </w:p>
        </w:tc>
      </w:tr>
      <w:tr>
        <w:trPr>
          <w:trHeight w:val="197"/>
        </w:trPr>
        <w:tc>
          <w:tcPr>
            <w:tcW w:w="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220" w:type="dxa"/>
            <w:vAlign w:val="bottom"/>
          </w:tcPr>
          <w:p>
            <w:pPr>
              <w:jc w:val="center"/>
              <w:ind w:left="298"/>
              <w:spacing w:after="0"/>
              <w:rPr>
                <w:sz w:val="20"/>
                <w:szCs w:val="20"/>
                <w:color w:val="auto"/>
              </w:rPr>
            </w:pPr>
            <w:r>
              <w:rPr>
                <w:rFonts w:ascii="Arial" w:cs="Arial" w:eastAsia="Arial" w:hAnsi="Arial"/>
                <w:sz w:val="16"/>
                <w:szCs w:val="16"/>
                <w:b w:val="1"/>
                <w:bCs w:val="1"/>
                <w:color w:val="auto"/>
                <w:w w:val="90"/>
              </w:rPr>
              <w:t>Shares (or</w:t>
            </w:r>
          </w:p>
        </w:tc>
        <w:tc>
          <w:tcPr>
            <w:tcW w:w="2120" w:type="dxa"/>
            <w:vAlign w:val="bottom"/>
          </w:tcPr>
          <w:p>
            <w:pPr>
              <w:jc w:val="center"/>
              <w:ind w:right="78"/>
              <w:spacing w:after="0"/>
              <w:rPr>
                <w:sz w:val="20"/>
                <w:szCs w:val="20"/>
                <w:color w:val="auto"/>
              </w:rPr>
            </w:pPr>
            <w:r>
              <w:rPr>
                <w:rFonts w:ascii="Arial" w:cs="Arial" w:eastAsia="Arial" w:hAnsi="Arial"/>
                <w:sz w:val="16"/>
                <w:szCs w:val="16"/>
                <w:b w:val="1"/>
                <w:bCs w:val="1"/>
                <w:color w:val="auto"/>
                <w:w w:val="96"/>
              </w:rPr>
              <w:t>Unit) including</w:t>
            </w:r>
          </w:p>
        </w:tc>
        <w:tc>
          <w:tcPr>
            <w:tcW w:w="2280" w:type="dxa"/>
            <w:vAlign w:val="bottom"/>
          </w:tcPr>
          <w:p>
            <w:pPr>
              <w:jc w:val="center"/>
              <w:spacing w:after="0"/>
              <w:rPr>
                <w:sz w:val="20"/>
                <w:szCs w:val="20"/>
                <w:color w:val="auto"/>
              </w:rPr>
            </w:pPr>
            <w:r>
              <w:rPr>
                <w:rFonts w:ascii="Arial" w:cs="Arial" w:eastAsia="Arial" w:hAnsi="Arial"/>
                <w:sz w:val="16"/>
                <w:szCs w:val="16"/>
                <w:b w:val="1"/>
                <w:bCs w:val="1"/>
                <w:color w:val="auto"/>
                <w:w w:val="90"/>
              </w:rPr>
              <w:t>Announced Plans</w:t>
            </w:r>
          </w:p>
        </w:tc>
        <w:tc>
          <w:tcPr>
            <w:tcW w:w="2300" w:type="dxa"/>
            <w:vAlign w:val="bottom"/>
          </w:tcPr>
          <w:p>
            <w:pPr>
              <w:jc w:val="center"/>
              <w:spacing w:after="0"/>
              <w:rPr>
                <w:sz w:val="20"/>
                <w:szCs w:val="20"/>
                <w:color w:val="auto"/>
              </w:rPr>
            </w:pPr>
            <w:r>
              <w:rPr>
                <w:rFonts w:ascii="Arial" w:cs="Arial" w:eastAsia="Arial" w:hAnsi="Arial"/>
                <w:sz w:val="16"/>
                <w:szCs w:val="16"/>
                <w:b w:val="1"/>
                <w:bCs w:val="1"/>
                <w:color w:val="auto"/>
                <w:w w:val="92"/>
              </w:rPr>
              <w:t>Under the Plans or</w:t>
            </w:r>
          </w:p>
        </w:tc>
      </w:tr>
      <w:tr>
        <w:trPr>
          <w:trHeight w:val="218"/>
        </w:trPr>
        <w:tc>
          <w:tcPr>
            <w:tcW w:w="20" w:type="dxa"/>
            <w:vAlign w:val="bottom"/>
          </w:tcPr>
          <w:p>
            <w:pPr>
              <w:spacing w:after="0"/>
              <w:rPr>
                <w:sz w:val="18"/>
                <w:szCs w:val="18"/>
                <w:color w:val="auto"/>
              </w:rPr>
            </w:pPr>
          </w:p>
        </w:tc>
        <w:tc>
          <w:tcPr>
            <w:tcW w:w="2480" w:type="dxa"/>
            <w:vAlign w:val="bottom"/>
            <w:tcBorders>
              <w:bottom w:val="single" w:sz="8" w:color="auto"/>
            </w:tcBorders>
          </w:tcPr>
          <w:p>
            <w:pPr>
              <w:ind w:left="1260"/>
              <w:spacing w:after="0"/>
              <w:rPr>
                <w:sz w:val="20"/>
                <w:szCs w:val="20"/>
                <w:color w:val="auto"/>
              </w:rPr>
            </w:pPr>
            <w:r>
              <w:rPr>
                <w:rFonts w:ascii="Arial" w:cs="Arial" w:eastAsia="Arial" w:hAnsi="Arial"/>
                <w:sz w:val="16"/>
                <w:szCs w:val="16"/>
                <w:b w:val="1"/>
                <w:bCs w:val="1"/>
                <w:color w:val="auto"/>
              </w:rPr>
              <w:t>Period</w:t>
            </w:r>
          </w:p>
        </w:tc>
        <w:tc>
          <w:tcPr>
            <w:tcW w:w="2220" w:type="dxa"/>
            <w:vAlign w:val="bottom"/>
            <w:tcBorders>
              <w:bottom w:val="single" w:sz="8" w:color="auto"/>
            </w:tcBorders>
          </w:tcPr>
          <w:p>
            <w:pPr>
              <w:jc w:val="center"/>
              <w:ind w:left="298"/>
              <w:spacing w:after="0"/>
              <w:rPr>
                <w:sz w:val="20"/>
                <w:szCs w:val="20"/>
                <w:color w:val="auto"/>
              </w:rPr>
            </w:pPr>
            <w:r>
              <w:rPr>
                <w:rFonts w:ascii="Arial" w:cs="Arial" w:eastAsia="Arial" w:hAnsi="Arial"/>
                <w:sz w:val="16"/>
                <w:szCs w:val="16"/>
                <w:b w:val="1"/>
                <w:bCs w:val="1"/>
                <w:color w:val="auto"/>
                <w:w w:val="91"/>
              </w:rPr>
              <w:t>Units) Purchased</w:t>
            </w:r>
          </w:p>
        </w:tc>
        <w:tc>
          <w:tcPr>
            <w:tcW w:w="2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b w:val="1"/>
                <w:bCs w:val="1"/>
                <w:color w:val="auto"/>
                <w:w w:val="86"/>
              </w:rPr>
              <w:t>commissions</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or Programs</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Programs</w:t>
            </w:r>
          </w:p>
        </w:tc>
      </w:tr>
      <w:tr>
        <w:trPr>
          <w:trHeight w:val="202"/>
        </w:trPr>
        <w:tc>
          <w:tcPr>
            <w:tcW w:w="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August 24- August 31</w:t>
            </w:r>
          </w:p>
        </w:tc>
        <w:tc>
          <w:tcPr>
            <w:tcW w:w="222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79,861</w:t>
            </w:r>
          </w:p>
        </w:tc>
        <w:tc>
          <w:tcPr>
            <w:tcW w:w="2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9"/>
              </w:rPr>
              <w:t>$10.04</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79,861</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$3,918,974</w:t>
            </w:r>
          </w:p>
        </w:tc>
      </w:tr>
      <w:tr>
        <w:trPr>
          <w:trHeight w:val="202"/>
        </w:trPr>
        <w:tc>
          <w:tcPr>
            <w:tcW w:w="250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September 1-September 30</w:t>
            </w:r>
          </w:p>
        </w:tc>
        <w:tc>
          <w:tcPr>
            <w:tcW w:w="2220" w:type="dxa"/>
            <w:vAlign w:val="bottom"/>
            <w:tcBorders>
              <w:bottom w:val="single" w:sz="8" w:color="auto"/>
            </w:tcBorders>
          </w:tcPr>
          <w:p>
            <w:pPr>
              <w:jc w:val="right"/>
              <w:ind w:right="578"/>
              <w:spacing w:after="0"/>
              <w:rPr>
                <w:sz w:val="20"/>
                <w:szCs w:val="20"/>
                <w:color w:val="auto"/>
              </w:rPr>
            </w:pPr>
            <w:r>
              <w:rPr>
                <w:rFonts w:ascii="Arial" w:cs="Arial" w:eastAsia="Arial" w:hAnsi="Arial"/>
                <w:sz w:val="16"/>
                <w:szCs w:val="16"/>
                <w:color w:val="auto"/>
              </w:rPr>
              <w:t>228,740</w:t>
            </w:r>
          </w:p>
        </w:tc>
        <w:tc>
          <w:tcPr>
            <w:tcW w:w="2120" w:type="dxa"/>
            <w:vAlign w:val="bottom"/>
            <w:tcBorders>
              <w:bottom w:val="single" w:sz="8" w:color="auto"/>
            </w:tcBorders>
          </w:tcPr>
          <w:p>
            <w:pPr>
              <w:jc w:val="center"/>
              <w:ind w:right="78"/>
              <w:spacing w:after="0"/>
              <w:rPr>
                <w:sz w:val="20"/>
                <w:szCs w:val="20"/>
                <w:color w:val="auto"/>
              </w:rPr>
            </w:pPr>
            <w:r>
              <w:rPr>
                <w:rFonts w:ascii="Arial" w:cs="Arial" w:eastAsia="Arial" w:hAnsi="Arial"/>
                <w:sz w:val="16"/>
                <w:szCs w:val="16"/>
                <w:color w:val="auto"/>
                <w:w w:val="89"/>
              </w:rPr>
              <w:t>$10.29</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3"/>
              </w:rPr>
              <w:t>228,740</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2"/>
              </w:rPr>
              <w:t>$23,996,791</w:t>
            </w:r>
          </w:p>
        </w:tc>
      </w:tr>
    </w:tbl>
    <w:p>
      <w:pPr>
        <w:spacing w:after="0" w:line="200" w:lineRule="exact"/>
        <w:rPr>
          <w:sz w:val="20"/>
          <w:szCs w:val="20"/>
          <w:color w:val="auto"/>
        </w:rPr>
      </w:pP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tabs>
          <w:tab w:leader="none" w:pos="92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tabs>
          <w:tab w:leader="none" w:pos="96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3" w:lineRule="exact"/>
        <w:rPr>
          <w:sz w:val="20"/>
          <w:szCs w:val="20"/>
          <w:color w:val="auto"/>
        </w:rPr>
      </w:pPr>
    </w:p>
    <w:p>
      <w:pPr>
        <w:spacing w:after="0"/>
        <w:tabs>
          <w:tab w:leader="none" w:pos="102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31.1 </w:t>
      </w:r>
      <w:r>
        <w:rPr>
          <w:rFonts w:ascii="Arial" w:cs="Arial" w:eastAsia="Arial" w:hAnsi="Arial"/>
          <w:sz w:val="16"/>
          <w:szCs w:val="16"/>
          <w:color w:val="auto"/>
        </w:rPr>
        <w:t>Certification of Chief Executive Officer pursuant to Section 302 of Sarbanes-Oxley Act.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31.2 </w:t>
      </w:r>
      <w:r>
        <w:rPr>
          <w:rFonts w:ascii="Arial" w:cs="Arial" w:eastAsia="Arial" w:hAnsi="Arial"/>
          <w:sz w:val="16"/>
          <w:szCs w:val="16"/>
          <w:color w:val="auto"/>
        </w:rPr>
        <w:t>Certification of Chief Financial Officer pursuant to Section 302 of Sarbanes-Oxley Act.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32.1 </w:t>
      </w:r>
      <w:r>
        <w:rPr>
          <w:rFonts w:ascii="Arial" w:cs="Arial" w:eastAsia="Arial" w:hAnsi="Arial"/>
          <w:sz w:val="16"/>
          <w:szCs w:val="16"/>
          <w:color w:val="auto"/>
        </w:rPr>
        <w:t>Certification of Chief Executive Officer pursuant to Section 906 of Sarbanes-Oxley Act.</w:t>
      </w:r>
    </w:p>
    <w:p>
      <w:pPr>
        <w:spacing w:after="0" w:line="214" w:lineRule="exact"/>
        <w:rPr>
          <w:sz w:val="20"/>
          <w:szCs w:val="20"/>
          <w:color w:val="auto"/>
        </w:rPr>
      </w:pPr>
    </w:p>
    <w:p>
      <w:pPr>
        <w:ind w:left="640"/>
        <w:spacing w:after="0"/>
        <w:rPr>
          <w:sz w:val="20"/>
          <w:szCs w:val="20"/>
          <w:color w:val="auto"/>
        </w:rPr>
      </w:pPr>
      <w:r>
        <w:rPr>
          <w:rFonts w:ascii="Arial" w:cs="Arial" w:eastAsia="Arial" w:hAnsi="Arial"/>
          <w:sz w:val="20"/>
          <w:szCs w:val="20"/>
          <w:color w:val="auto"/>
        </w:rPr>
        <w:t xml:space="preserve">32.2 </w:t>
      </w:r>
      <w:r>
        <w:rPr>
          <w:rFonts w:ascii="Arial" w:cs="Arial" w:eastAsia="Arial" w:hAnsi="Arial"/>
          <w:sz w:val="16"/>
          <w:szCs w:val="16"/>
          <w:color w:val="auto"/>
        </w:rPr>
        <w:t>Certification of Chief Financial Officer pursuant to Section 906 of Sarbanes-Oxley Act.</w:t>
      </w:r>
    </w:p>
    <w:p>
      <w:pPr>
        <w:sectPr>
          <w:pgSz w:w="11900" w:h="16838" w:orient="portrait"/>
          <w:cols w:equalWidth="0" w:num="1">
            <w:col w:w="11420"/>
          </w:cols>
          <w:pgMar w:left="240" w:top="5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91440</wp:posOffset>
            </wp:positionV>
            <wp:extent cx="7263130" cy="203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3130" cy="2032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type w:val="continuous"/>
        </w:sectPr>
      </w:pPr>
    </w:p>
    <w:bookmarkStart w:id="30" w:name="page31"/>
    <w:bookmarkEnd w:id="30"/>
    <w:p>
      <w:pPr>
        <w:jc w:val="center"/>
        <w:ind w:right="-199"/>
        <w:spacing w:after="0"/>
        <w:rPr>
          <w:sz w:val="20"/>
          <w:szCs w:val="20"/>
          <w:color w:val="auto"/>
        </w:rPr>
      </w:pPr>
      <w:r>
        <w:rPr>
          <w:rFonts w:ascii="Arial" w:cs="Arial" w:eastAsia="Arial" w:hAnsi="Arial"/>
          <w:sz w:val="16"/>
          <w:szCs w:val="16"/>
          <w:b w:val="1"/>
          <w:bCs w:val="1"/>
          <w:color w:val="auto"/>
        </w:rPr>
        <w:t>SIGNATURES</w:t>
      </w:r>
    </w:p>
    <w:p>
      <w:pPr>
        <w:spacing w:after="0" w:line="200" w:lineRule="exact"/>
        <w:rPr>
          <w:sz w:val="20"/>
          <w:szCs w:val="20"/>
          <w:color w:val="auto"/>
        </w:rPr>
      </w:pPr>
    </w:p>
    <w:p>
      <w:pPr>
        <w:spacing w:after="0" w:line="26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NN, Inc.</w:t>
      </w:r>
    </w:p>
    <w:p>
      <w:pPr>
        <w:spacing w:after="0" w:line="28" w:lineRule="exact"/>
        <w:rPr>
          <w:sz w:val="20"/>
          <w:szCs w:val="20"/>
          <w:color w:val="auto"/>
        </w:rPr>
      </w:pPr>
    </w:p>
    <w:p>
      <w:pPr>
        <w:ind w:left="5760"/>
        <w:spacing w:after="0"/>
        <w:rPr>
          <w:sz w:val="20"/>
          <w:szCs w:val="20"/>
          <w:color w:val="auto"/>
        </w:rPr>
      </w:pPr>
      <w:r>
        <w:rPr>
          <w:rFonts w:ascii="Arial" w:cs="Arial" w:eastAsia="Arial" w:hAnsi="Arial"/>
          <w:sz w:val="16"/>
          <w:szCs w:val="16"/>
          <w:color w:val="auto"/>
        </w:rPr>
        <w:t>(Registrant)</w:t>
      </w:r>
    </w:p>
    <w:p>
      <w:pPr>
        <w:spacing w:after="0" w:line="19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February 27, 2008</w:t>
      </w:r>
      <w:r>
        <w:rPr>
          <w:sz w:val="20"/>
          <w:szCs w:val="20"/>
          <w:color w:val="auto"/>
        </w:rPr>
        <w:tab/>
      </w:r>
      <w:r>
        <w:rPr>
          <w:rFonts w:ascii="Arial" w:cs="Arial" w:eastAsia="Arial" w:hAnsi="Arial"/>
          <w:sz w:val="15"/>
          <w:szCs w:val="15"/>
          <w:color w:val="auto"/>
        </w:rPr>
        <w:t>By:  /s/ 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24130</wp:posOffset>
            </wp:positionV>
            <wp:extent cx="2536825" cy="158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36825" cy="1587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Roderick R. Baty</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Chairman, President and</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February 27, 2008</w:t>
      </w:r>
      <w:r>
        <w:rPr>
          <w:sz w:val="20"/>
          <w:szCs w:val="20"/>
          <w:color w:val="auto"/>
        </w:rPr>
        <w:tab/>
      </w:r>
      <w:r>
        <w:rPr>
          <w:rFonts w:ascii="Arial" w:cs="Arial" w:eastAsia="Arial" w:hAnsi="Arial"/>
          <w:sz w:val="15"/>
          <w:szCs w:val="15"/>
          <w:color w:val="auto"/>
        </w:rPr>
        <w:t>By:  /s/ 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24130</wp:posOffset>
            </wp:positionV>
            <wp:extent cx="2536825" cy="15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36825" cy="1587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James H. Dorton</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(Principal Financial Officer)</w:t>
      </w:r>
    </w:p>
    <w:p>
      <w:pPr>
        <w:spacing w:after="0" w:line="27"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5700" w:val="left"/>
        </w:tabs>
        <w:rPr>
          <w:sz w:val="20"/>
          <w:szCs w:val="20"/>
          <w:color w:val="auto"/>
        </w:rPr>
      </w:pPr>
      <w:r>
        <w:rPr>
          <w:rFonts w:ascii="Arial" w:cs="Arial" w:eastAsia="Arial" w:hAnsi="Arial"/>
          <w:sz w:val="16"/>
          <w:szCs w:val="16"/>
          <w:color w:val="auto"/>
        </w:rPr>
        <w:t>Date: February 27, 2008</w:t>
      </w:r>
      <w:r>
        <w:rPr>
          <w:sz w:val="20"/>
          <w:szCs w:val="20"/>
          <w:color w:val="auto"/>
        </w:rPr>
        <w:tab/>
      </w:r>
      <w:r>
        <w:rPr>
          <w:rFonts w:ascii="Arial" w:cs="Arial" w:eastAsia="Arial" w:hAnsi="Arial"/>
          <w:sz w:val="15"/>
          <w:szCs w:val="15"/>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24130</wp:posOffset>
            </wp:positionV>
            <wp:extent cx="2536825" cy="158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36825" cy="1587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William C. Kelly, Jr.</w:t>
      </w:r>
    </w:p>
    <w:p>
      <w:pPr>
        <w:spacing w:after="0" w:line="2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Vice President and</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Administrative Officer</w:t>
      </w:r>
    </w:p>
    <w:p>
      <w:pPr>
        <w:spacing w:after="0" w:line="1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220"/>
          </w:cols>
          <w:pgMar w:left="240" w:top="481" w:right="439" w:bottom="1440"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149225</wp:posOffset>
            </wp:positionH>
            <wp:positionV relativeFrom="page">
              <wp:posOffset>88900</wp:posOffset>
            </wp:positionV>
            <wp:extent cx="7263130" cy="177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3130" cy="17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ind w:left="10581"/>
        <w:spacing w:after="0"/>
        <w:rPr>
          <w:sz w:val="20"/>
          <w:szCs w:val="20"/>
          <w:color w:val="auto"/>
        </w:rPr>
      </w:pPr>
      <w:r>
        <w:rPr>
          <w:rFonts w:ascii="Arial" w:cs="Arial" w:eastAsia="Arial" w:hAnsi="Arial"/>
          <w:sz w:val="15"/>
          <w:szCs w:val="15"/>
          <w:b w:val="1"/>
          <w:bCs w:val="1"/>
          <w:color w:val="auto"/>
        </w:rPr>
        <w:t>Exhibit 31.1</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SARBANES-OXLEY ACT OF 2002</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6"/>
          <w:szCs w:val="16"/>
          <w:color w:val="auto"/>
        </w:rPr>
        <w:t>I, Roderick R. Baty, certify that:</w:t>
      </w:r>
    </w:p>
    <w:p>
      <w:pPr>
        <w:spacing w:after="0" w:line="260" w:lineRule="exact"/>
        <w:rPr>
          <w:sz w:val="20"/>
          <w:szCs w:val="20"/>
          <w:color w:val="auto"/>
        </w:rPr>
      </w:pPr>
    </w:p>
    <w:p>
      <w:pPr>
        <w:ind w:left="621" w:hanging="621"/>
        <w:spacing w:after="0"/>
        <w:tabs>
          <w:tab w:leader="none" w:pos="621" w:val="left"/>
        </w:tabs>
        <w:numPr>
          <w:ilvl w:val="0"/>
          <w:numId w:val="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NN, Inc.;</w:t>
      </w:r>
    </w:p>
    <w:p>
      <w:pPr>
        <w:spacing w:after="0" w:line="259" w:lineRule="exact"/>
        <w:rPr>
          <w:rFonts w:ascii="Arial" w:cs="Arial" w:eastAsia="Arial" w:hAnsi="Arial"/>
          <w:sz w:val="16"/>
          <w:szCs w:val="16"/>
          <w:color w:val="auto"/>
        </w:rPr>
      </w:pPr>
    </w:p>
    <w:p>
      <w:pPr>
        <w:ind w:left="1" w:right="80" w:hanging="1"/>
        <w:spacing w:after="0" w:line="289" w:lineRule="auto"/>
        <w:tabs>
          <w:tab w:leader="none" w:pos="61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6"/>
          <w:szCs w:val="16"/>
          <w:color w:val="auto"/>
        </w:rPr>
      </w:pPr>
    </w:p>
    <w:p>
      <w:pPr>
        <w:ind w:left="1" w:right="600" w:hanging="1"/>
        <w:spacing w:after="0" w:line="289" w:lineRule="auto"/>
        <w:tabs>
          <w:tab w:leader="none" w:pos="618"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6"/>
          <w:szCs w:val="16"/>
          <w:color w:val="auto"/>
        </w:rPr>
      </w:pPr>
    </w:p>
    <w:p>
      <w:pPr>
        <w:ind w:left="621" w:hanging="621"/>
        <w:spacing w:after="0"/>
        <w:tabs>
          <w:tab w:leader="none" w:pos="621"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47" w:lineRule="exact"/>
        <w:rPr>
          <w:rFonts w:ascii="Arial" w:cs="Arial" w:eastAsia="Arial" w:hAnsi="Arial"/>
          <w:sz w:val="14"/>
          <w:szCs w:val="14"/>
          <w:color w:val="auto"/>
        </w:rPr>
      </w:pPr>
    </w:p>
    <w:p>
      <w:pPr>
        <w:ind w:left="1"/>
        <w:spacing w:after="0"/>
        <w:rPr>
          <w:rFonts w:ascii="Arial" w:cs="Arial" w:eastAsia="Arial" w:hAnsi="Arial"/>
          <w:sz w:val="14"/>
          <w:szCs w:val="14"/>
          <w:color w:val="auto"/>
        </w:rPr>
      </w:pPr>
      <w:r>
        <w:rPr>
          <w:rFonts w:ascii="Arial" w:cs="Arial" w:eastAsia="Arial" w:hAnsi="Arial"/>
          <w:sz w:val="16"/>
          <w:szCs w:val="16"/>
          <w:color w:val="auto"/>
        </w:rPr>
        <w:t>13a-15(e) and 15d-15(e)) and internal control over financial reporting (as defined in Exchange Act Rules 13a-15(f) and 15d-15(f)) for the registrant and have:</w:t>
      </w:r>
    </w:p>
    <w:p>
      <w:pPr>
        <w:spacing w:after="0" w:line="224" w:lineRule="exact"/>
        <w:rPr>
          <w:rFonts w:ascii="Arial" w:cs="Arial" w:eastAsia="Arial" w:hAnsi="Arial"/>
          <w:sz w:val="14"/>
          <w:szCs w:val="14"/>
          <w:color w:val="auto"/>
        </w:rPr>
      </w:pPr>
    </w:p>
    <w:p>
      <w:pPr>
        <w:jc w:val="both"/>
        <w:ind w:left="1781" w:hanging="270"/>
        <w:spacing w:after="0" w:line="273" w:lineRule="auto"/>
        <w:tabs>
          <w:tab w:leader="none" w:pos="17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jc w:val="both"/>
        <w:ind w:left="1781" w:hanging="279"/>
        <w:spacing w:after="0" w:line="273" w:lineRule="auto"/>
        <w:tabs>
          <w:tab w:leader="none" w:pos="17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1781" w:hanging="270"/>
        <w:spacing w:after="0" w:line="324" w:lineRule="auto"/>
        <w:tabs>
          <w:tab w:leader="none" w:pos="1781" w:val="left"/>
        </w:tabs>
        <w:numPr>
          <w:ilvl w:val="1"/>
          <w:numId w:val="6"/>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jc w:val="both"/>
        <w:ind w:left="1781" w:hanging="279"/>
        <w:spacing w:after="0" w:line="273" w:lineRule="auto"/>
        <w:tabs>
          <w:tab w:leader="none" w:pos="1781" w:val="left"/>
        </w:tabs>
        <w:numPr>
          <w:ilvl w:val="1"/>
          <w:numId w:val="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6"/>
          <w:szCs w:val="16"/>
          <w:color w:val="auto"/>
        </w:rPr>
      </w:pPr>
    </w:p>
    <w:p>
      <w:pPr>
        <w:ind w:left="1" w:right="380" w:hanging="1"/>
        <w:spacing w:after="0" w:line="289" w:lineRule="auto"/>
        <w:tabs>
          <w:tab w:leader="none" w:pos="618"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ind w:left="1781" w:hanging="270"/>
        <w:spacing w:after="0" w:line="289" w:lineRule="auto"/>
        <w:tabs>
          <w:tab w:leader="none" w:pos="1781" w:val="left"/>
        </w:tabs>
        <w:numPr>
          <w:ilvl w:val="1"/>
          <w:numId w:val="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6"/>
          <w:szCs w:val="16"/>
          <w:color w:val="auto"/>
        </w:rPr>
      </w:pPr>
    </w:p>
    <w:p>
      <w:pPr>
        <w:ind w:left="1781" w:hanging="279"/>
        <w:spacing w:after="0" w:line="289" w:lineRule="auto"/>
        <w:tabs>
          <w:tab w:leader="none" w:pos="1781" w:val="left"/>
        </w:tabs>
        <w:numPr>
          <w:ilvl w:val="1"/>
          <w:numId w:val="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760" w:type="dxa"/>
            <w:vAlign w:val="bottom"/>
          </w:tcPr>
          <w:p>
            <w:pPr>
              <w:spacing w:after="0"/>
              <w:rPr>
                <w:sz w:val="20"/>
                <w:szCs w:val="20"/>
                <w:color w:val="auto"/>
              </w:rPr>
            </w:pPr>
            <w:r>
              <w:rPr>
                <w:rFonts w:ascii="Arial" w:cs="Arial" w:eastAsia="Arial" w:hAnsi="Arial"/>
                <w:sz w:val="16"/>
                <w:szCs w:val="16"/>
                <w:color w:val="auto"/>
              </w:rPr>
              <w:t>Date:</w:t>
            </w:r>
          </w:p>
        </w:tc>
        <w:tc>
          <w:tcPr>
            <w:tcW w:w="2300" w:type="dxa"/>
            <w:vAlign w:val="bottom"/>
          </w:tcPr>
          <w:p>
            <w:pPr>
              <w:ind w:left="400"/>
              <w:spacing w:after="0"/>
              <w:rPr>
                <w:sz w:val="20"/>
                <w:szCs w:val="20"/>
                <w:color w:val="auto"/>
              </w:rPr>
            </w:pPr>
            <w:r>
              <w:rPr>
                <w:rFonts w:ascii="Arial" w:cs="Arial" w:eastAsia="Arial" w:hAnsi="Arial"/>
                <w:sz w:val="16"/>
                <w:szCs w:val="16"/>
                <w:color w:val="auto"/>
              </w:rPr>
              <w:t>February 27, 2008</w:t>
            </w:r>
          </w:p>
        </w:tc>
        <w:tc>
          <w:tcPr>
            <w:tcW w:w="7240" w:type="dxa"/>
            <w:vAlign w:val="bottom"/>
          </w:tcPr>
          <w:p>
            <w:pPr>
              <w:spacing w:after="0"/>
              <w:rPr>
                <w:sz w:val="16"/>
                <w:szCs w:val="16"/>
                <w:color w:val="auto"/>
              </w:rPr>
            </w:pPr>
          </w:p>
        </w:tc>
        <w:tc>
          <w:tcPr>
            <w:tcW w:w="11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5"/>
              </w:rPr>
              <w:t>/s/Roderick R.</w:t>
            </w:r>
          </w:p>
        </w:tc>
        <w:tc>
          <w:tcPr>
            <w:tcW w:w="0" w:type="dxa"/>
            <w:vAlign w:val="bottom"/>
          </w:tcPr>
          <w:p>
            <w:pPr>
              <w:spacing w:after="0"/>
              <w:rPr>
                <w:sz w:val="1"/>
                <w:szCs w:val="1"/>
                <w:color w:val="auto"/>
              </w:rPr>
            </w:pPr>
          </w:p>
        </w:tc>
      </w:tr>
      <w:tr>
        <w:trPr>
          <w:trHeight w:val="177"/>
        </w:trPr>
        <w:tc>
          <w:tcPr>
            <w:tcW w:w="760" w:type="dxa"/>
            <w:vAlign w:val="bottom"/>
            <w:tcBorders>
              <w:bottom w:val="single" w:sz="8" w:color="auto"/>
            </w:tcBorders>
          </w:tcPr>
          <w:p>
            <w:pPr>
              <w:spacing w:after="0" w:line="178" w:lineRule="exact"/>
              <w:rPr>
                <w:sz w:val="20"/>
                <w:szCs w:val="20"/>
                <w:color w:val="auto"/>
              </w:rPr>
            </w:pPr>
            <w:r>
              <w:rPr>
                <w:rFonts w:ascii="Arial" w:cs="Arial" w:eastAsia="Arial" w:hAnsi="Arial"/>
                <w:sz w:val="16"/>
                <w:szCs w:val="16"/>
                <w:color w:val="auto"/>
              </w:rPr>
              <w:t>Baty</w:t>
            </w:r>
          </w:p>
        </w:tc>
        <w:tc>
          <w:tcPr>
            <w:tcW w:w="2300" w:type="dxa"/>
            <w:vAlign w:val="bottom"/>
            <w:tcBorders>
              <w:bottom w:val="single" w:sz="8" w:color="auto"/>
            </w:tcBorders>
          </w:tcPr>
          <w:p>
            <w:pPr>
              <w:spacing w:after="0"/>
              <w:rPr>
                <w:sz w:val="15"/>
                <w:szCs w:val="15"/>
                <w:color w:val="auto"/>
              </w:rPr>
            </w:pPr>
          </w:p>
        </w:tc>
        <w:tc>
          <w:tcPr>
            <w:tcW w:w="8360" w:type="dxa"/>
            <w:vAlign w:val="bottom"/>
            <w:gridSpan w:val="2"/>
            <w:vMerge w:val="restart"/>
          </w:tcPr>
          <w:p>
            <w:pPr>
              <w:ind w:left="4340"/>
              <w:spacing w:after="0"/>
              <w:rPr>
                <w:sz w:val="20"/>
                <w:szCs w:val="20"/>
                <w:color w:val="auto"/>
              </w:rPr>
            </w:pPr>
            <w:r>
              <w:rPr>
                <w:rFonts w:ascii="Arial" w:cs="Arial" w:eastAsia="Arial" w:hAnsi="Arial"/>
                <w:sz w:val="16"/>
                <w:szCs w:val="16"/>
                <w:color w:val="auto"/>
              </w:rPr>
              <w:t>Roderick R. Baty</w:t>
            </w:r>
          </w:p>
        </w:tc>
        <w:tc>
          <w:tcPr>
            <w:tcW w:w="0" w:type="dxa"/>
            <w:vAlign w:val="bottom"/>
          </w:tcPr>
          <w:p>
            <w:pPr>
              <w:spacing w:after="0"/>
              <w:rPr>
                <w:sz w:val="1"/>
                <w:szCs w:val="1"/>
                <w:color w:val="auto"/>
              </w:rPr>
            </w:pPr>
          </w:p>
        </w:tc>
      </w:tr>
      <w:tr>
        <w:trPr>
          <w:trHeight w:val="202"/>
        </w:trPr>
        <w:tc>
          <w:tcPr>
            <w:tcW w:w="7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3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8360" w:type="dxa"/>
            <w:vAlign w:val="bottom"/>
            <w:gridSpan w:val="2"/>
          </w:tcPr>
          <w:p>
            <w:pPr>
              <w:ind w:left="4340"/>
              <w:spacing w:after="0"/>
              <w:rPr>
                <w:sz w:val="20"/>
                <w:szCs w:val="20"/>
                <w:color w:val="auto"/>
              </w:rPr>
            </w:pPr>
            <w:r>
              <w:rPr>
                <w:rFonts w:ascii="Arial" w:cs="Arial" w:eastAsia="Arial" w:hAnsi="Arial"/>
                <w:sz w:val="16"/>
                <w:szCs w:val="16"/>
                <w:color w:val="auto"/>
              </w:rPr>
              <w:t>Chairman, President and Chief Executive Officer</w:t>
            </w:r>
          </w:p>
        </w:tc>
        <w:tc>
          <w:tcPr>
            <w:tcW w:w="0" w:type="dxa"/>
            <w:vAlign w:val="bottom"/>
          </w:tcPr>
          <w:p>
            <w:pPr>
              <w:spacing w:after="0"/>
              <w:rPr>
                <w:sz w:val="1"/>
                <w:szCs w:val="1"/>
                <w:color w:val="auto"/>
              </w:rPr>
            </w:pPr>
          </w:p>
        </w:tc>
      </w:tr>
    </w:tbl>
    <w:p>
      <w:pPr>
        <w:sectPr>
          <w:pgSz w:w="11900" w:h="16838" w:orient="portrait"/>
          <w:cols w:equalWidth="0" w:num="1">
            <w:col w:w="11421"/>
          </w:cols>
          <w:pgMar w:left="239" w:top="123" w:right="239" w:bottom="1440" w:gutter="0" w:footer="0" w:header="0"/>
        </w:sectPr>
      </w:pPr>
    </w:p>
    <w:bookmarkStart w:id="33" w:name="page34"/>
    <w:bookmarkEnd w:id="33"/>
    <w:p>
      <w:pPr>
        <w:ind w:left="10581"/>
        <w:spacing w:after="0"/>
        <w:rPr>
          <w:sz w:val="20"/>
          <w:szCs w:val="20"/>
          <w:color w:val="auto"/>
        </w:rPr>
      </w:pPr>
      <w:r>
        <w:rPr>
          <w:rFonts w:ascii="Arial" w:cs="Arial" w:eastAsia="Arial" w:hAnsi="Arial"/>
          <w:sz w:val="15"/>
          <w:szCs w:val="15"/>
          <w:b w:val="1"/>
          <w:bCs w:val="1"/>
          <w:color w:val="auto"/>
        </w:rPr>
        <w:t>Exhibit 31.2</w:t>
      </w:r>
    </w:p>
    <w:p>
      <w:pPr>
        <w:spacing w:after="0" w:line="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SECTION 302 OF SARBANES-OXLEY ACT OF 2002</w:t>
      </w:r>
    </w:p>
    <w:p>
      <w:pPr>
        <w:spacing w:after="0" w:line="224" w:lineRule="exact"/>
        <w:rPr>
          <w:sz w:val="20"/>
          <w:szCs w:val="20"/>
          <w:color w:val="auto"/>
        </w:rPr>
      </w:pPr>
    </w:p>
    <w:p>
      <w:pPr>
        <w:ind w:left="1"/>
        <w:spacing w:after="0"/>
        <w:rPr>
          <w:sz w:val="20"/>
          <w:szCs w:val="20"/>
          <w:color w:val="auto"/>
        </w:rPr>
      </w:pPr>
      <w:r>
        <w:rPr>
          <w:rFonts w:ascii="Arial" w:cs="Arial" w:eastAsia="Arial" w:hAnsi="Arial"/>
          <w:sz w:val="16"/>
          <w:szCs w:val="16"/>
          <w:color w:val="auto"/>
        </w:rPr>
        <w:t>I, James H. Dorton, certify that:</w:t>
      </w:r>
    </w:p>
    <w:p>
      <w:pPr>
        <w:spacing w:after="0" w:line="260" w:lineRule="exact"/>
        <w:rPr>
          <w:sz w:val="20"/>
          <w:szCs w:val="20"/>
          <w:color w:val="auto"/>
        </w:rPr>
      </w:pPr>
    </w:p>
    <w:p>
      <w:pPr>
        <w:ind w:left="621" w:hanging="621"/>
        <w:spacing w:after="0"/>
        <w:tabs>
          <w:tab w:leader="none" w:pos="621" w:val="left"/>
        </w:tabs>
        <w:numPr>
          <w:ilvl w:val="0"/>
          <w:numId w:val="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NN, Inc.;</w:t>
      </w:r>
    </w:p>
    <w:p>
      <w:pPr>
        <w:spacing w:after="0" w:line="259" w:lineRule="exact"/>
        <w:rPr>
          <w:rFonts w:ascii="Arial" w:cs="Arial" w:eastAsia="Arial" w:hAnsi="Arial"/>
          <w:sz w:val="16"/>
          <w:szCs w:val="16"/>
          <w:color w:val="auto"/>
        </w:rPr>
      </w:pPr>
    </w:p>
    <w:p>
      <w:pPr>
        <w:ind w:left="1" w:right="80" w:hanging="1"/>
        <w:spacing w:after="0" w:line="289" w:lineRule="auto"/>
        <w:tabs>
          <w:tab w:leader="none" w:pos="61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8" w:lineRule="exact"/>
        <w:rPr>
          <w:rFonts w:ascii="Arial" w:cs="Arial" w:eastAsia="Arial" w:hAnsi="Arial"/>
          <w:sz w:val="16"/>
          <w:szCs w:val="16"/>
          <w:color w:val="auto"/>
        </w:rPr>
      </w:pPr>
    </w:p>
    <w:p>
      <w:pPr>
        <w:ind w:left="1" w:right="600" w:hanging="1"/>
        <w:spacing w:after="0" w:line="289" w:lineRule="auto"/>
        <w:tabs>
          <w:tab w:leader="none" w:pos="618"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6"/>
          <w:szCs w:val="16"/>
          <w:color w:val="auto"/>
        </w:rPr>
      </w:pPr>
    </w:p>
    <w:p>
      <w:pPr>
        <w:ind w:left="1" w:hanging="1"/>
        <w:spacing w:after="0" w:line="324" w:lineRule="auto"/>
        <w:tabs>
          <w:tab w:leader="none" w:pos="17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5"/>
          <w:szCs w:val="15"/>
          <w:color w:val="auto"/>
        </w:rPr>
      </w:pPr>
    </w:p>
    <w:p>
      <w:pPr>
        <w:jc w:val="both"/>
        <w:ind w:left="1781" w:hanging="270"/>
        <w:spacing w:after="0" w:line="273" w:lineRule="auto"/>
        <w:tabs>
          <w:tab w:leader="none" w:pos="17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Arial" w:cs="Arial" w:eastAsia="Arial" w:hAnsi="Arial"/>
          <w:sz w:val="16"/>
          <w:szCs w:val="16"/>
          <w:color w:val="auto"/>
        </w:rPr>
      </w:pPr>
    </w:p>
    <w:p>
      <w:pPr>
        <w:jc w:val="both"/>
        <w:ind w:left="1781" w:hanging="279"/>
        <w:spacing w:after="0" w:line="273" w:lineRule="auto"/>
        <w:tabs>
          <w:tab w:leader="none" w:pos="17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5" w:lineRule="exact"/>
        <w:rPr>
          <w:rFonts w:ascii="Arial" w:cs="Arial" w:eastAsia="Arial" w:hAnsi="Arial"/>
          <w:sz w:val="16"/>
          <w:szCs w:val="16"/>
          <w:color w:val="auto"/>
        </w:rPr>
      </w:pPr>
    </w:p>
    <w:p>
      <w:pPr>
        <w:ind w:left="1781" w:hanging="270"/>
        <w:spacing w:after="0" w:line="324" w:lineRule="auto"/>
        <w:tabs>
          <w:tab w:leader="none" w:pos="1781" w:val="left"/>
        </w:tabs>
        <w:numPr>
          <w:ilvl w:val="1"/>
          <w:numId w:val="7"/>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5"/>
          <w:szCs w:val="15"/>
          <w:color w:val="auto"/>
        </w:rPr>
      </w:pPr>
    </w:p>
    <w:p>
      <w:pPr>
        <w:jc w:val="both"/>
        <w:ind w:left="1781" w:hanging="279"/>
        <w:spacing w:after="0" w:line="273" w:lineRule="auto"/>
        <w:tabs>
          <w:tab w:leader="none" w:pos="1781" w:val="left"/>
        </w:tabs>
        <w:numPr>
          <w:ilvl w:val="1"/>
          <w:numId w:val="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5" w:lineRule="exact"/>
        <w:rPr>
          <w:rFonts w:ascii="Arial" w:cs="Arial" w:eastAsia="Arial" w:hAnsi="Arial"/>
          <w:sz w:val="16"/>
          <w:szCs w:val="16"/>
          <w:color w:val="auto"/>
        </w:rPr>
      </w:pPr>
    </w:p>
    <w:p>
      <w:pPr>
        <w:ind w:left="1" w:hanging="1"/>
        <w:spacing w:after="0" w:line="289" w:lineRule="auto"/>
        <w:tabs>
          <w:tab w:leader="none" w:pos="378"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6"/>
          <w:szCs w:val="16"/>
          <w:color w:val="auto"/>
        </w:rPr>
      </w:pPr>
    </w:p>
    <w:p>
      <w:pPr>
        <w:ind w:left="1781" w:hanging="270"/>
        <w:spacing w:after="0" w:line="289" w:lineRule="auto"/>
        <w:tabs>
          <w:tab w:leader="none" w:pos="1781" w:val="left"/>
        </w:tabs>
        <w:numPr>
          <w:ilvl w:val="1"/>
          <w:numId w:val="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sz w:val="20"/>
          <w:szCs w:val="20"/>
          <w:color w:val="auto"/>
        </w:rPr>
      </w:pPr>
    </w:p>
    <w:p>
      <w:pPr>
        <w:ind w:left="1681" w:hanging="266"/>
        <w:spacing w:after="0" w:line="289" w:lineRule="auto"/>
        <w:tabs>
          <w:tab w:leader="none" w:pos="1681"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1" w:type="dxa"/>
        <w:tblCellMar>
          <w:top w:w="0" w:type="dxa"/>
          <w:left w:w="0" w:type="dxa"/>
          <w:bottom w:w="0" w:type="dxa"/>
          <w:right w:w="0" w:type="dxa"/>
        </w:tblCellMar>
      </w:tblPr>
      <w:tr>
        <w:trPr>
          <w:trHeight w:val="184"/>
        </w:trPr>
        <w:tc>
          <w:tcPr>
            <w:tcW w:w="10500" w:type="dxa"/>
            <w:vAlign w:val="bottom"/>
            <w:gridSpan w:val="2"/>
          </w:tcPr>
          <w:p>
            <w:pPr>
              <w:spacing w:after="0"/>
              <w:rPr>
                <w:sz w:val="20"/>
                <w:szCs w:val="20"/>
                <w:color w:val="auto"/>
              </w:rPr>
            </w:pPr>
            <w:r>
              <w:rPr>
                <w:rFonts w:ascii="Arial" w:cs="Arial" w:eastAsia="Arial" w:hAnsi="Arial"/>
                <w:sz w:val="16"/>
                <w:szCs w:val="16"/>
                <w:color w:val="auto"/>
              </w:rPr>
              <w:t>Date:   February  27,  2008</w:t>
            </w: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w w:val="94"/>
              </w:rPr>
              <w:t>/s/James H.</w:t>
            </w:r>
          </w:p>
        </w:tc>
      </w:tr>
      <w:tr>
        <w:trPr>
          <w:trHeight w:val="177"/>
        </w:trPr>
        <w:tc>
          <w:tcPr>
            <w:tcW w:w="2060" w:type="dxa"/>
            <w:vAlign w:val="bottom"/>
            <w:tcBorders>
              <w:bottom w:val="single" w:sz="8" w:color="auto"/>
            </w:tcBorders>
          </w:tcPr>
          <w:p>
            <w:pPr>
              <w:spacing w:after="0" w:line="178" w:lineRule="exact"/>
              <w:rPr>
                <w:sz w:val="20"/>
                <w:szCs w:val="20"/>
                <w:color w:val="auto"/>
              </w:rPr>
            </w:pPr>
            <w:r>
              <w:rPr>
                <w:rFonts w:ascii="Arial" w:cs="Arial" w:eastAsia="Arial" w:hAnsi="Arial"/>
                <w:sz w:val="16"/>
                <w:szCs w:val="16"/>
                <w:color w:val="auto"/>
              </w:rPr>
              <w:t>Dorton</w:t>
            </w:r>
          </w:p>
        </w:tc>
        <w:tc>
          <w:tcPr>
            <w:tcW w:w="8440" w:type="dxa"/>
            <w:vAlign w:val="bottom"/>
          </w:tcPr>
          <w:p>
            <w:pPr>
              <w:spacing w:after="0"/>
              <w:rPr>
                <w:sz w:val="15"/>
                <w:szCs w:val="15"/>
                <w:color w:val="auto"/>
              </w:rPr>
            </w:pPr>
          </w:p>
        </w:tc>
        <w:tc>
          <w:tcPr>
            <w:tcW w:w="920" w:type="dxa"/>
            <w:vAlign w:val="bottom"/>
          </w:tcPr>
          <w:p>
            <w:pPr>
              <w:spacing w:after="0"/>
              <w:rPr>
                <w:sz w:val="15"/>
                <w:szCs w:val="15"/>
                <w:color w:val="auto"/>
              </w:rPr>
            </w:pPr>
          </w:p>
        </w:tc>
      </w:tr>
    </w:tbl>
    <w:p>
      <w:pPr>
        <w:spacing w:after="0" w:line="12" w:lineRule="exact"/>
        <w:rPr>
          <w:sz w:val="20"/>
          <w:szCs w:val="20"/>
          <w:color w:val="auto"/>
        </w:rPr>
      </w:pPr>
    </w:p>
    <w:p>
      <w:pPr>
        <w:ind w:left="5581"/>
        <w:spacing w:after="0"/>
        <w:rPr>
          <w:sz w:val="20"/>
          <w:szCs w:val="20"/>
          <w:color w:val="auto"/>
        </w:rPr>
      </w:pPr>
      <w:r>
        <w:rPr>
          <w:rFonts w:ascii="Arial" w:cs="Arial" w:eastAsia="Arial" w:hAnsi="Arial"/>
          <w:sz w:val="16"/>
          <w:szCs w:val="16"/>
          <w:color w:val="auto"/>
        </w:rPr>
        <w:t>James H. Dorton</w:t>
      </w:r>
    </w:p>
    <w:p>
      <w:pPr>
        <w:spacing w:after="0" w:line="24" w:lineRule="exact"/>
        <w:rPr>
          <w:sz w:val="20"/>
          <w:szCs w:val="20"/>
          <w:color w:val="auto"/>
        </w:rPr>
      </w:pPr>
    </w:p>
    <w:p>
      <w:pPr>
        <w:ind w:left="5561"/>
        <w:spacing w:after="0"/>
        <w:rPr>
          <w:sz w:val="20"/>
          <w:szCs w:val="20"/>
          <w:color w:val="auto"/>
        </w:rPr>
      </w:pPr>
      <w:r>
        <w:rPr>
          <w:rFonts w:ascii="Arial" w:cs="Arial" w:eastAsia="Arial" w:hAnsi="Arial"/>
          <w:sz w:val="16"/>
          <w:szCs w:val="16"/>
          <w:color w:val="auto"/>
        </w:rPr>
        <w:t>Vice President – Corporate Development and Chief Financial Officer</w:t>
      </w:r>
    </w:p>
    <w:p>
      <w:pPr>
        <w:sectPr>
          <w:pgSz w:w="11900" w:h="16838" w:orient="portrait"/>
          <w:cols w:equalWidth="0" w:num="1">
            <w:col w:w="11421"/>
          </w:cols>
          <w:pgMar w:left="239" w:top="123"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6"/>
          <w:szCs w:val="16"/>
          <w:b w:val="1"/>
          <w:bCs w:val="1"/>
          <w:color w:val="auto"/>
        </w:rPr>
        <w:t>Exhibit 32.1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SECTION 906 OF THE SARBANES-OXLEY ACT OF 2002</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spacing w:after="0"/>
        <w:tabs>
          <w:tab w:leader="none" w:pos="5120" w:val="left"/>
        </w:tabs>
        <w:rPr>
          <w:sz w:val="20"/>
          <w:szCs w:val="20"/>
          <w:color w:val="auto"/>
        </w:rPr>
      </w:pPr>
      <w:r>
        <w:rPr>
          <w:rFonts w:ascii="Arial" w:cs="Arial" w:eastAsia="Arial" w:hAnsi="Arial"/>
          <w:sz w:val="16"/>
          <w:szCs w:val="16"/>
          <w:color w:val="auto"/>
        </w:rPr>
        <w:t>Date: February 27, 2008</w:t>
      </w:r>
      <w:r>
        <w:rPr>
          <w:sz w:val="20"/>
          <w:szCs w:val="20"/>
          <w:color w:val="auto"/>
        </w:rPr>
        <w:tab/>
      </w:r>
      <w:r>
        <w:rPr>
          <w:rFonts w:ascii="Arial" w:cs="Arial" w:eastAsia="Arial" w:hAnsi="Arial"/>
          <w:sz w:val="15"/>
          <w:szCs w:val="15"/>
          <w:color w:val="auto"/>
        </w:rPr>
        <w:t>/s/Roderick R. Baty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-6350</wp:posOffset>
            </wp:positionV>
            <wp:extent cx="145224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52245" cy="7620"/>
                    </a:xfrm>
                    <a:prstGeom prst="rect">
                      <a:avLst/>
                    </a:prstGeom>
                    <a:noFill/>
                  </pic:spPr>
                </pic:pic>
              </a:graphicData>
            </a:graphic>
          </wp:anchor>
        </w:drawing>
      </w:r>
    </w:p>
    <w:p>
      <w:pPr>
        <w:ind w:left="6260"/>
        <w:spacing w:after="0"/>
        <w:rPr>
          <w:sz w:val="20"/>
          <w:szCs w:val="20"/>
          <w:color w:val="auto"/>
        </w:rPr>
      </w:pPr>
      <w:r>
        <w:rPr>
          <w:rFonts w:ascii="Arial" w:cs="Arial" w:eastAsia="Arial" w:hAnsi="Arial"/>
          <w:sz w:val="20"/>
          <w:szCs w:val="20"/>
          <w:color w:val="auto"/>
        </w:rPr>
        <w:t>Roderick R. Baty</w:t>
      </w:r>
    </w:p>
    <w:p>
      <w:pPr>
        <w:ind w:left="6660"/>
        <w:spacing w:after="0" w:line="231" w:lineRule="auto"/>
        <w:rPr>
          <w:sz w:val="20"/>
          <w:szCs w:val="20"/>
          <w:color w:val="auto"/>
        </w:rPr>
      </w:pPr>
      <w:r>
        <w:rPr>
          <w:rFonts w:ascii="Arial" w:cs="Arial" w:eastAsia="Arial" w:hAnsi="Arial"/>
          <w:sz w:val="20"/>
          <w:szCs w:val="20"/>
          <w:color w:val="auto"/>
        </w:rPr>
        <w:t>Chairman, President and Chief</w:t>
      </w:r>
    </w:p>
    <w:p>
      <w:pPr>
        <w:spacing w:after="0" w:line="1" w:lineRule="exact"/>
        <w:rPr>
          <w:sz w:val="20"/>
          <w:szCs w:val="20"/>
          <w:color w:val="auto"/>
        </w:rPr>
      </w:pPr>
    </w:p>
    <w:p>
      <w:pPr>
        <w:ind w:left="6260"/>
        <w:spacing w:after="0"/>
        <w:rPr>
          <w:sz w:val="20"/>
          <w:szCs w:val="20"/>
          <w:color w:val="auto"/>
        </w:rPr>
      </w:pPr>
      <w:r>
        <w:rPr>
          <w:rFonts w:ascii="Arial" w:cs="Arial" w:eastAsia="Arial" w:hAnsi="Arial"/>
          <w:sz w:val="20"/>
          <w:szCs w:val="20"/>
          <w:color w:val="auto"/>
        </w:rPr>
        <w:t>Executive Officer</w:t>
      </w:r>
    </w:p>
    <w:p>
      <w:pPr>
        <w:spacing w:after="0" w:line="205" w:lineRule="exact"/>
        <w:rPr>
          <w:sz w:val="20"/>
          <w:szCs w:val="20"/>
          <w:color w:val="auto"/>
        </w:rPr>
      </w:pPr>
    </w:p>
    <w:p>
      <w:pPr>
        <w:ind w:right="480"/>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NN, Inc. and will be retained by NN, Inc. and furnished to the Securities and Exchange Commission or its staff upon request.]</w:t>
      </w:r>
    </w:p>
    <w:p>
      <w:pPr>
        <w:sectPr>
          <w:pgSz w:w="11900" w:h="16838" w:orient="portrait"/>
          <w:cols w:equalWidth="0" w:num="1">
            <w:col w:w="11420"/>
          </w:cols>
          <w:pgMar w:left="240" w:top="34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6"/>
          <w:szCs w:val="16"/>
          <w:b w:val="1"/>
          <w:bCs w:val="1"/>
          <w:color w:val="auto"/>
        </w:rPr>
        <w:t>Exhibit 32.2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SECTION 906 OF THE SARBANES-OXLEY ACT OF 2002</w:t>
      </w:r>
    </w:p>
    <w:p>
      <w:pPr>
        <w:spacing w:after="0" w:line="22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connection with the Quarterly Report of NN, Inc. (the “Company”) on Form 10-Q for the interim period ended September 30, 2007,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5" w:lineRule="exact"/>
        <w:rPr>
          <w:sz w:val="20"/>
          <w:szCs w:val="20"/>
          <w:color w:val="auto"/>
        </w:rPr>
      </w:pPr>
    </w:p>
    <w:p>
      <w:pPr>
        <w:spacing w:after="0"/>
        <w:tabs>
          <w:tab w:leader="none" w:pos="4620" w:val="left"/>
        </w:tabs>
        <w:rPr>
          <w:sz w:val="20"/>
          <w:szCs w:val="20"/>
          <w:color w:val="auto"/>
        </w:rPr>
      </w:pPr>
      <w:r>
        <w:rPr>
          <w:rFonts w:ascii="Arial" w:cs="Arial" w:eastAsia="Arial" w:hAnsi="Arial"/>
          <w:sz w:val="16"/>
          <w:szCs w:val="16"/>
          <w:color w:val="auto"/>
        </w:rPr>
        <w:t>Date: February 27, 2008</w:t>
      </w:r>
      <w:r>
        <w:rPr>
          <w:sz w:val="20"/>
          <w:szCs w:val="20"/>
          <w:color w:val="auto"/>
        </w:rPr>
        <w:tab/>
      </w:r>
      <w:r>
        <w:rPr>
          <w:rFonts w:ascii="Arial" w:cs="Arial" w:eastAsia="Arial" w:hAnsi="Arial"/>
          <w:sz w:val="14"/>
          <w:szCs w:val="14"/>
          <w:color w:val="auto"/>
        </w:rPr>
        <w:t>/s/James H. Dorton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2871470</wp:posOffset>
            </wp:positionH>
            <wp:positionV relativeFrom="paragraph">
              <wp:posOffset>-6350</wp:posOffset>
            </wp:positionV>
            <wp:extent cx="200279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002790" cy="7620"/>
                    </a:xfrm>
                    <a:prstGeom prst="rect">
                      <a:avLst/>
                    </a:prstGeom>
                    <a:noFill/>
                  </pic:spPr>
                </pic:pic>
              </a:graphicData>
            </a:graphic>
          </wp:anchor>
        </w:drawing>
      </w:r>
    </w:p>
    <w:p>
      <w:pPr>
        <w:ind w:left="5620"/>
        <w:spacing w:after="0"/>
        <w:rPr>
          <w:sz w:val="20"/>
          <w:szCs w:val="20"/>
          <w:color w:val="auto"/>
        </w:rPr>
      </w:pPr>
      <w:r>
        <w:rPr>
          <w:rFonts w:ascii="Arial" w:cs="Arial" w:eastAsia="Arial" w:hAnsi="Arial"/>
          <w:sz w:val="20"/>
          <w:szCs w:val="20"/>
          <w:color w:val="auto"/>
        </w:rPr>
        <w:t>James H. Dorton</w:t>
      </w:r>
    </w:p>
    <w:p>
      <w:pPr>
        <w:ind w:left="5620"/>
        <w:spacing w:after="0" w:line="231" w:lineRule="auto"/>
        <w:rPr>
          <w:sz w:val="20"/>
          <w:szCs w:val="20"/>
          <w:color w:val="auto"/>
        </w:rPr>
      </w:pPr>
      <w:r>
        <w:rPr>
          <w:rFonts w:ascii="Arial" w:cs="Arial" w:eastAsia="Arial" w:hAnsi="Arial"/>
          <w:sz w:val="20"/>
          <w:szCs w:val="20"/>
          <w:color w:val="auto"/>
        </w:rPr>
        <w:t>Vice President - Corporate Development</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20"/>
          <w:szCs w:val="20"/>
          <w:color w:val="auto"/>
        </w:rPr>
        <w:t>and Chief Financial Officer</w:t>
      </w:r>
    </w:p>
    <w:p>
      <w:pPr>
        <w:spacing w:after="0" w:line="20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NN, Inc. and will be retained by NN, Inc. and furnished to the Securities and Exchange Commission or its staff upon request.]</w:t>
      </w:r>
    </w:p>
    <w:sectPr>
      <w:pgSz w:w="11900" w:h="16838" w:orient="portrait"/>
      <w:cols w:equalWidth="0" w:num="1">
        <w:col w:w="11420"/>
      </w:cols>
      <w:pgMar w:left="240" w:top="3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o"/>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2019-12-14T02:35:20Z</dcterms:created>
  <dcterms:modified xsi:type="dcterms:W3CDTF">2019-12-14T02:35:20Z</dcterms:modified>
</cp:coreProperties>
</file>