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7"/>
          <w:szCs w:val="17"/>
          <w:color w:val="auto"/>
        </w:rPr>
        <w:t>UNITED STATES</w:t>
      </w: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78"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spacing w:after="0" w:line="378"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CURRENT REPORT</w:t>
      </w:r>
    </w:p>
    <w:p>
      <w:pPr>
        <w:spacing w:after="0" w:line="200" w:lineRule="exact"/>
        <w:rPr>
          <w:sz w:val="24"/>
          <w:szCs w:val="24"/>
          <w:color w:val="auto"/>
        </w:rPr>
      </w:pPr>
    </w:p>
    <w:p>
      <w:pPr>
        <w:spacing w:after="0" w:line="384" w:lineRule="exact"/>
        <w:rPr>
          <w:sz w:val="24"/>
          <w:szCs w:val="24"/>
          <w:color w:val="auto"/>
        </w:rPr>
      </w:pPr>
    </w:p>
    <w:p>
      <w:pPr>
        <w:ind w:left="210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6"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Securities Exchange Act of 1934</w:t>
      </w:r>
    </w:p>
    <w:p>
      <w:pPr>
        <w:sectPr>
          <w:pgSz w:w="11900" w:h="16838" w:orient="portrait"/>
          <w:cols w:equalWidth="0" w:num="1">
            <w:col w:w="10219"/>
          </w:cols>
          <w:pgMar w:left="240" w:top="625" w:right="1440" w:bottom="0" w:gutter="0" w:footer="0" w:header="0"/>
        </w:sect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April 29, 2004</w:t>
      </w:r>
    </w:p>
    <w:p>
      <w:pPr>
        <w:spacing w:after="0" w:line="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4"/>
          <w:szCs w:val="24"/>
          <w:color w:val="auto"/>
        </w:rPr>
      </w:pPr>
    </w:p>
    <w:p>
      <w:pPr>
        <w:sectPr>
          <w:pgSz w:w="11900" w:h="16838" w:orient="portrait"/>
          <w:cols w:equalWidth="0" w:num="2">
            <w:col w:w="4820" w:space="0"/>
            <w:col w:w="5399"/>
          </w:cols>
          <w:pgMar w:left="240" w:top="625" w:right="1440" w:bottom="0" w:gutter="0" w:footer="0" w:header="0"/>
          <w:type w:val="continuous"/>
        </w:sectPr>
      </w:pPr>
    </w:p>
    <w:p>
      <w:pPr>
        <w:ind w:left="3620"/>
        <w:spacing w:after="0"/>
        <w:rPr>
          <w:sz w:val="20"/>
          <w:szCs w:val="20"/>
          <w:color w:val="auto"/>
        </w:rPr>
      </w:pPr>
      <w:r>
        <w:rPr>
          <w:rFonts w:ascii="Courier New" w:cs="Courier New" w:eastAsia="Courier New" w:hAnsi="Courier New"/>
          <w:sz w:val="17"/>
          <w:szCs w:val="17"/>
          <w:color w:val="auto"/>
        </w:rPr>
        <w:t>NN, INC.</w:t>
      </w:r>
    </w:p>
    <w:p>
      <w:pPr>
        <w:spacing w:after="0" w:line="6" w:lineRule="exact"/>
        <w:rPr>
          <w:sz w:val="24"/>
          <w:szCs w:val="24"/>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(Exact name of registrant as specified in its charter)</w:t>
      </w:r>
    </w:p>
    <w:p>
      <w:pPr>
        <w:spacing w:after="0" w:line="386" w:lineRule="exact"/>
        <w:rPr>
          <w:sz w:val="24"/>
          <w:szCs w:val="24"/>
          <w:color w:val="auto"/>
        </w:rPr>
      </w:pPr>
    </w:p>
    <w:tbl>
      <w:tblPr>
        <w:tblLayout w:type="fixed"/>
        <w:tblInd w:w="1100" w:type="dxa"/>
        <w:tblCellMar>
          <w:top w:w="0" w:type="dxa"/>
          <w:left w:w="0" w:type="dxa"/>
          <w:bottom w:w="0" w:type="dxa"/>
          <w:right w:w="0" w:type="dxa"/>
        </w:tblCellMar>
      </w:tblPr>
      <w:tr>
        <w:trPr>
          <w:trHeight w:val="193"/>
        </w:trPr>
        <w:tc>
          <w:tcPr>
            <w:tcW w:w="190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25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0-23486</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62-1096725</w:t>
            </w:r>
          </w:p>
        </w:tc>
      </w:tr>
    </w:tbl>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4" w:lineRule="exact"/>
        <w:rPr>
          <w:sz w:val="24"/>
          <w:szCs w:val="24"/>
          <w:color w:val="auto"/>
        </w:rPr>
      </w:pPr>
    </w:p>
    <w:p>
      <w:pPr>
        <w:ind w:left="700" w:right="2499" w:hanging="600"/>
        <w:spacing w:after="0" w:line="236" w:lineRule="auto"/>
        <w:rPr>
          <w:sz w:val="20"/>
          <w:szCs w:val="20"/>
          <w:color w:val="auto"/>
        </w:rPr>
      </w:pPr>
      <w:r>
        <w:rPr>
          <w:rFonts w:ascii="Courier New" w:cs="Courier New" w:eastAsia="Courier New" w:hAnsi="Courier New"/>
          <w:sz w:val="17"/>
          <w:szCs w:val="17"/>
          <w:color w:val="auto"/>
        </w:rPr>
        <w:t>(State or other jurisdiction</w:t>
      </w:r>
      <w:r>
        <w:rPr>
          <w:sz w:val="20"/>
          <w:szCs w:val="20"/>
          <w:color w:val="auto"/>
        </w:rPr>
        <w:t xml:space="preserve"> </w:t>
      </w:r>
      <w:r>
        <w:rPr>
          <w:rFonts w:ascii="Courier New" w:cs="Courier New" w:eastAsia="Courier New" w:hAnsi="Courier New"/>
          <w:sz w:val="17"/>
          <w:szCs w:val="17"/>
          <w:color w:val="auto"/>
        </w:rPr>
        <w:t>(Commission (IRS Employer of incorporation) File Number) Identification No.)</w:t>
      </w:r>
    </w:p>
    <w:p>
      <w:pPr>
        <w:spacing w:after="0" w:line="387" w:lineRule="exact"/>
        <w:rPr>
          <w:sz w:val="24"/>
          <w:szCs w:val="24"/>
          <w:color w:val="auto"/>
        </w:rPr>
      </w:pPr>
    </w:p>
    <w:p>
      <w:pPr>
        <w:spacing w:after="0"/>
        <w:tabs>
          <w:tab w:leader="none" w:pos="6400" w:val="left"/>
        </w:tabs>
        <w:rPr>
          <w:sz w:val="20"/>
          <w:szCs w:val="20"/>
          <w:color w:val="auto"/>
        </w:rPr>
      </w:pPr>
      <w:r>
        <w:rPr>
          <w:rFonts w:ascii="Courier New" w:cs="Courier New" w:eastAsia="Courier New" w:hAnsi="Courier New"/>
          <w:sz w:val="17"/>
          <w:szCs w:val="17"/>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69" w:lineRule="exact"/>
        <w:rPr>
          <w:sz w:val="24"/>
          <w:szCs w:val="24"/>
          <w:color w:val="auto"/>
        </w:rPr>
      </w:pPr>
    </w:p>
    <w:p>
      <w:pPr>
        <w:ind w:left="300"/>
        <w:spacing w:after="0"/>
        <w:tabs>
          <w:tab w:leader="none" w:pos="62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25" w:right="1440" w:bottom="0" w:gutter="0" w:footer="0" w:header="0"/>
          <w:type w:val="continuous"/>
        </w:sect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8"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(423) 743-9151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20" w:space="0"/>
            <w:col w:w="5199"/>
          </w:cols>
          <w:pgMar w:left="240" w:top="625" w:right="1440" w:bottom="0" w:gutter="0" w:footer="0" w:header="0"/>
          <w:type w:val="continuous"/>
        </w:sectPr>
      </w:pPr>
    </w:p>
    <w:p>
      <w:pPr>
        <w:spacing w:after="0" w:line="384"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Not applicable</w:t>
      </w:r>
    </w:p>
    <w:p>
      <w:pPr>
        <w:spacing w:after="0" w:line="6" w:lineRule="exact"/>
        <w:rPr>
          <w:sz w:val="24"/>
          <w:szCs w:val="24"/>
          <w:color w:val="auto"/>
        </w:rPr>
      </w:pPr>
    </w:p>
    <w:p>
      <w:pPr>
        <w:ind w:left="200" w:hanging="197"/>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340360</wp:posOffset>
            </wp:positionV>
            <wp:extent cx="72783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7"/>
          <w:szCs w:val="17"/>
          <w:b w:val="1"/>
          <w:bCs w:val="1"/>
          <w:color w:val="auto"/>
        </w:rPr>
        <w:t>Item 7. Financial Statements and Exhibits.</w:t>
      </w:r>
    </w:p>
    <w:p>
      <w:pPr>
        <w:spacing w:after="0" w:line="198" w:lineRule="exact"/>
        <w:rPr>
          <w:sz w:val="24"/>
          <w:szCs w:val="24"/>
          <w:color w:val="auto"/>
        </w:rPr>
      </w:pPr>
    </w:p>
    <w:p>
      <w:pPr>
        <w:ind w:left="500" w:right="3999" w:firstLine="4"/>
        <w:spacing w:after="0" w:line="473" w:lineRule="auto"/>
        <w:tabs>
          <w:tab w:leader="none" w:pos="10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The following exhibits are filed herewith: 99.1 Press Release dated April 29, 2004.</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7"/>
          <w:szCs w:val="17"/>
          <w:b w:val="1"/>
          <w:bCs w:val="1"/>
          <w:color w:val="auto"/>
        </w:rPr>
        <w:t>Item 12. Results of Operations and Financial Condition.</w:t>
      </w:r>
    </w:p>
    <w:p>
      <w:pPr>
        <w:spacing w:after="0" w:line="198" w:lineRule="exact"/>
        <w:rPr>
          <w:sz w:val="24"/>
          <w:szCs w:val="24"/>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On April 29, 2004 the Company issued a press release announcing its earnings for the first quarter of 2004. A copy of the press release is furnished under Item 12 of this Form 8-K as 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341630</wp:posOffset>
            </wp:positionV>
            <wp:extent cx="72783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SIGNATURE</w:t>
      </w:r>
    </w:p>
    <w:p>
      <w:pPr>
        <w:spacing w:after="0" w:line="391" w:lineRule="exact"/>
        <w:rPr>
          <w:sz w:val="24"/>
          <w:szCs w:val="24"/>
          <w:color w:val="auto"/>
        </w:rPr>
      </w:pPr>
    </w:p>
    <w:p>
      <w:pPr>
        <w:ind w:right="2499" w:firstLine="501"/>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5" w:lineRule="exact"/>
        <w:rPr>
          <w:sz w:val="24"/>
          <w:szCs w:val="24"/>
          <w:color w:val="auto"/>
        </w:rPr>
      </w:pPr>
    </w:p>
    <w:p>
      <w:pPr>
        <w:ind w:left="500"/>
        <w:spacing w:after="0"/>
        <w:tabs>
          <w:tab w:leader="none" w:pos="118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6"/>
          <w:szCs w:val="16"/>
          <w:color w:val="auto"/>
        </w:rPr>
        <w:t>April 29, 2004</w:t>
      </w:r>
    </w:p>
    <w:p>
      <w:pPr>
        <w:ind w:left="3920"/>
        <w:spacing w:after="0"/>
        <w:rPr>
          <w:sz w:val="20"/>
          <w:szCs w:val="20"/>
          <w:color w:val="auto"/>
        </w:rPr>
      </w:pPr>
      <w:r>
        <w:rPr>
          <w:rFonts w:ascii="Courier New" w:cs="Courier New" w:eastAsia="Courier New" w:hAnsi="Courier New"/>
          <w:sz w:val="17"/>
          <w:szCs w:val="17"/>
          <w:color w:val="auto"/>
        </w:rPr>
        <w:t>NN, INC.</w:t>
      </w:r>
    </w:p>
    <w:p>
      <w:pPr>
        <w:spacing w:after="0" w:line="386" w:lineRule="exact"/>
        <w:rPr>
          <w:sz w:val="24"/>
          <w:szCs w:val="24"/>
          <w:color w:val="auto"/>
        </w:rPr>
      </w:pPr>
    </w:p>
    <w:p>
      <w:pPr>
        <w:ind w:left="3920"/>
        <w:spacing w:after="0"/>
        <w:tabs>
          <w:tab w:leader="none" w:pos="46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William C. Kelly, Jr.</w:t>
      </w:r>
    </w:p>
    <w:p>
      <w:pPr>
        <w:ind w:left="44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25" w:right="1440" w:bottom="0" w:gutter="0" w:footer="0" w:header="0"/>
          <w:type w:val="continuous"/>
        </w:sectPr>
      </w:pPr>
    </w:p>
    <w:bookmarkStart w:id="1" w:name="page2"/>
    <w:bookmarkEnd w:id="1"/>
    <w:p>
      <w:pPr>
        <w:ind w:left="3220"/>
        <w:spacing w:after="0"/>
        <w:rPr>
          <w:sz w:val="20"/>
          <w:szCs w:val="20"/>
          <w:color w:val="auto"/>
        </w:rPr>
      </w:pPr>
      <w:r>
        <w:rPr>
          <w:rFonts w:ascii="Courier New" w:cs="Courier New" w:eastAsia="Courier New" w:hAnsi="Courier New"/>
          <w:sz w:val="17"/>
          <w:szCs w:val="17"/>
          <w:color w:val="auto"/>
        </w:rPr>
        <w:t>William C. Kelly, Jr.,</w:t>
      </w:r>
    </w:p>
    <w:p>
      <w:pPr>
        <w:ind w:left="3220"/>
        <w:spacing w:after="0"/>
        <w:rPr>
          <w:sz w:val="20"/>
          <w:szCs w:val="20"/>
          <w:color w:val="auto"/>
        </w:rPr>
      </w:pPr>
      <w:r>
        <w:rPr>
          <w:rFonts w:ascii="Courier New" w:cs="Courier New" w:eastAsia="Courier New" w:hAnsi="Courier New"/>
          <w:sz w:val="17"/>
          <w:szCs w:val="17"/>
          <w:color w:val="auto"/>
        </w:rPr>
        <w:t>Secretary, Treasurer and Chief</w:t>
      </w:r>
    </w:p>
    <w:p>
      <w:pPr>
        <w:ind w:left="3220"/>
        <w:spacing w:after="0"/>
        <w:rPr>
          <w:sz w:val="20"/>
          <w:szCs w:val="20"/>
          <w:color w:val="auto"/>
        </w:rPr>
      </w:pPr>
      <w:r>
        <w:rPr>
          <w:rFonts w:ascii="Courier New" w:cs="Courier New" w:eastAsia="Courier New" w:hAnsi="Courier New"/>
          <w:sz w:val="17"/>
          <w:szCs w:val="17"/>
          <w:color w:val="auto"/>
        </w:rPr>
        <w:t>Administrative Officer</w:t>
      </w:r>
    </w:p>
    <w:p>
      <w:pPr>
        <w:jc w:val="right"/>
        <w:spacing w:after="0"/>
        <w:rPr>
          <w:sz w:val="20"/>
          <w:szCs w:val="20"/>
          <w:color w:val="auto"/>
        </w:rPr>
      </w:pPr>
      <w:r>
        <w:rPr>
          <w:rFonts w:ascii="Courier New" w:cs="Courier New" w:eastAsia="Courier New" w:hAnsi="Courier New"/>
          <w:sz w:val="17"/>
          <w:szCs w:val="17"/>
          <w:color w:val="auto"/>
        </w:rPr>
        <w:t>Exhibit 99.1</w:t>
      </w:r>
    </w:p>
    <w:p>
      <w:pPr>
        <w:sectPr>
          <w:pgSz w:w="11900" w:h="16838" w:orient="portrait"/>
          <w:cols w:equalWidth="0" w:num="1">
            <w:col w:w="10320"/>
          </w:cols>
          <w:pgMar w:left="1440" w:top="136" w:right="139" w:bottom="1440" w:gutter="0" w:footer="0" w:header="0"/>
        </w:sectPr>
      </w:pPr>
    </w:p>
    <w:bookmarkStart w:id="2" w:name="page3"/>
    <w:bookmarkEnd w:id="2"/>
    <w:p>
      <w:pPr>
        <w:ind w:left="6820"/>
        <w:spacing w:after="0"/>
        <w:rPr>
          <w:sz w:val="20"/>
          <w:szCs w:val="20"/>
          <w:color w:val="auto"/>
        </w:rPr>
      </w:pPr>
      <w:r>
        <w:rPr>
          <w:rFonts w:ascii="Courier New" w:cs="Courier New" w:eastAsia="Courier New" w:hAnsi="Courier New"/>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356870</wp:posOffset>
            </wp:positionV>
            <wp:extent cx="7252970" cy="1452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145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20"/>
        <w:spacing w:after="0"/>
        <w:rPr>
          <w:sz w:val="20"/>
          <w:szCs w:val="20"/>
          <w:color w:val="auto"/>
        </w:rPr>
      </w:pPr>
      <w:r>
        <w:rPr>
          <w:rFonts w:ascii="Courier New" w:cs="Courier New" w:eastAsia="Courier New" w:hAnsi="Courier New"/>
          <w:sz w:val="17"/>
          <w:szCs w:val="17"/>
          <w:color w:val="auto"/>
        </w:rPr>
        <w:t>RE: NN, Inc.</w:t>
      </w:r>
    </w:p>
    <w:p>
      <w:pPr>
        <w:ind w:left="5120"/>
        <w:spacing w:after="0"/>
        <w:rPr>
          <w:sz w:val="20"/>
          <w:szCs w:val="20"/>
          <w:color w:val="auto"/>
        </w:rPr>
      </w:pPr>
      <w:r>
        <w:rPr>
          <w:rFonts w:ascii="Courier New" w:cs="Courier New" w:eastAsia="Courier New" w:hAnsi="Courier New"/>
          <w:sz w:val="17"/>
          <w:szCs w:val="17"/>
          <w:color w:val="auto"/>
        </w:rPr>
        <w:t>2000 Waters Edge Drive</w:t>
      </w:r>
    </w:p>
    <w:p>
      <w:pPr>
        <w:ind w:left="5120"/>
        <w:spacing w:after="0"/>
        <w:tabs>
          <w:tab w:leader="none" w:pos="6900" w:val="left"/>
        </w:tabs>
        <w:rPr>
          <w:sz w:val="20"/>
          <w:szCs w:val="20"/>
          <w:color w:val="auto"/>
        </w:rPr>
      </w:pPr>
      <w:r>
        <w:rPr>
          <w:rFonts w:ascii="Courier New" w:cs="Courier New" w:eastAsia="Courier New" w:hAnsi="Courier New"/>
          <w:sz w:val="17"/>
          <w:szCs w:val="17"/>
          <w:color w:val="auto"/>
        </w:rPr>
        <w:t>Johnson City, TN</w:t>
      </w:r>
      <w:r>
        <w:rPr>
          <w:sz w:val="20"/>
          <w:szCs w:val="20"/>
          <w:color w:val="auto"/>
        </w:rPr>
        <w:tab/>
      </w:r>
      <w:r>
        <w:rPr>
          <w:rFonts w:ascii="Courier New" w:cs="Courier New" w:eastAsia="Courier New" w:hAnsi="Courier New"/>
          <w:sz w:val="16"/>
          <w:szCs w:val="16"/>
          <w:color w:val="auto"/>
        </w:rPr>
        <w:t>37604</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gridSpan w:val="2"/>
          </w:tcPr>
          <w:p>
            <w:pPr>
              <w:spacing w:after="0"/>
              <w:rPr>
                <w:sz w:val="20"/>
                <w:szCs w:val="20"/>
                <w:color w:val="auto"/>
              </w:rPr>
            </w:pPr>
            <w:r>
              <w:rPr>
                <w:rFonts w:ascii="Courier New" w:cs="Courier New" w:eastAsia="Courier New" w:hAnsi="Courier New"/>
                <w:sz w:val="17"/>
                <w:szCs w:val="17"/>
                <w:color w:val="auto"/>
              </w:rPr>
              <w:t>FOR FURTHER INFORMATION:</w:t>
            </w:r>
          </w:p>
        </w:tc>
        <w:tc>
          <w:tcPr>
            <w:tcW w:w="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543"/>
        </w:trPr>
        <w:tc>
          <w:tcPr>
            <w:tcW w:w="4520" w:type="dxa"/>
            <w:vAlign w:val="bottom"/>
            <w:gridSpan w:val="2"/>
          </w:tcPr>
          <w:p>
            <w:pPr>
              <w:spacing w:after="0"/>
              <w:rPr>
                <w:sz w:val="20"/>
                <w:szCs w:val="20"/>
                <w:color w:val="auto"/>
              </w:rPr>
            </w:pPr>
            <w:r>
              <w:rPr>
                <w:rFonts w:ascii="Courier New" w:cs="Courier New" w:eastAsia="Courier New" w:hAnsi="Courier New"/>
                <w:sz w:val="17"/>
                <w:szCs w:val="17"/>
                <w:b w:val="1"/>
                <w:bCs w:val="1"/>
                <w:color w:val="auto"/>
              </w:rPr>
              <w:t>AT THE COMPANY</w:t>
            </w:r>
          </w:p>
        </w:tc>
        <w:tc>
          <w:tcPr>
            <w:tcW w:w="400" w:type="dxa"/>
            <w:vAlign w:val="bottom"/>
          </w:tcPr>
          <w:p>
            <w:pPr>
              <w:spacing w:after="0"/>
              <w:rPr>
                <w:sz w:val="24"/>
                <w:szCs w:val="24"/>
                <w:color w:val="auto"/>
              </w:rPr>
            </w:pPr>
          </w:p>
        </w:tc>
        <w:tc>
          <w:tcPr>
            <w:tcW w:w="3100" w:type="dxa"/>
            <w:vAlign w:val="bottom"/>
            <w:gridSpan w:val="3"/>
          </w:tcPr>
          <w:p>
            <w:pPr>
              <w:spacing w:after="0"/>
              <w:rPr>
                <w:sz w:val="20"/>
                <w:szCs w:val="20"/>
                <w:color w:val="auto"/>
              </w:rPr>
            </w:pPr>
            <w:r>
              <w:rPr>
                <w:rFonts w:ascii="Courier New" w:cs="Courier New" w:eastAsia="Courier New" w:hAnsi="Courier New"/>
                <w:sz w:val="17"/>
                <w:szCs w:val="17"/>
                <w:b w:val="1"/>
                <w:bCs w:val="1"/>
                <w:color w:val="auto"/>
              </w:rPr>
              <w:t>AT FINANCIAL RELATIONS BOARD</w:t>
            </w:r>
          </w:p>
        </w:tc>
      </w:tr>
      <w:tr>
        <w:trPr>
          <w:trHeight w:val="20"/>
        </w:trPr>
        <w:tc>
          <w:tcPr>
            <w:tcW w:w="14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8"/>
        </w:trPr>
        <w:tc>
          <w:tcPr>
            <w:tcW w:w="1400" w:type="dxa"/>
            <w:vAlign w:val="bottom"/>
          </w:tcPr>
          <w:p>
            <w:pPr>
              <w:spacing w:after="0"/>
              <w:rPr>
                <w:sz w:val="20"/>
                <w:szCs w:val="20"/>
                <w:color w:val="auto"/>
              </w:rPr>
            </w:pPr>
            <w:r>
              <w:rPr>
                <w:rFonts w:ascii="Courier New" w:cs="Courier New" w:eastAsia="Courier New" w:hAnsi="Courier New"/>
                <w:sz w:val="17"/>
                <w:szCs w:val="17"/>
                <w:color w:val="auto"/>
              </w:rPr>
              <w:t>Will Kelly</w:t>
            </w:r>
          </w:p>
        </w:tc>
        <w:tc>
          <w:tcPr>
            <w:tcW w:w="3120" w:type="dxa"/>
            <w:vAlign w:val="bottom"/>
          </w:tcPr>
          <w:p>
            <w:pPr>
              <w:spacing w:after="0"/>
              <w:rPr>
                <w:sz w:val="18"/>
                <w:szCs w:val="18"/>
                <w:color w:val="auto"/>
              </w:rPr>
            </w:pPr>
          </w:p>
        </w:tc>
        <w:tc>
          <w:tcPr>
            <w:tcW w:w="19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Alison Ziegler</w:t>
            </w:r>
          </w:p>
        </w:tc>
        <w:tc>
          <w:tcPr>
            <w:tcW w:w="15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Susan Garland</w:t>
            </w:r>
          </w:p>
        </w:tc>
      </w:tr>
      <w:tr>
        <w:trPr>
          <w:trHeight w:val="193"/>
        </w:trPr>
        <w:tc>
          <w:tcPr>
            <w:tcW w:w="4520" w:type="dxa"/>
            <w:vAlign w:val="bottom"/>
            <w:gridSpan w:val="2"/>
          </w:tcPr>
          <w:p>
            <w:pPr>
              <w:spacing w:after="0"/>
              <w:rPr>
                <w:sz w:val="20"/>
                <w:szCs w:val="20"/>
                <w:color w:val="auto"/>
              </w:rPr>
            </w:pPr>
            <w:r>
              <w:rPr>
                <w:rFonts w:ascii="Courier New" w:cs="Courier New" w:eastAsia="Courier New" w:hAnsi="Courier New"/>
                <w:sz w:val="17"/>
                <w:szCs w:val="17"/>
                <w:color w:val="auto"/>
              </w:rPr>
              <w:t>Treasurer &amp; Manager of Investor Relations</w:t>
            </w:r>
          </w:p>
        </w:tc>
        <w:tc>
          <w:tcPr>
            <w:tcW w:w="19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General info)</w:t>
            </w:r>
          </w:p>
        </w:tc>
        <w:tc>
          <w:tcPr>
            <w:tcW w:w="156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6"/>
              </w:rPr>
              <w:t>(Analyst info)</w:t>
            </w:r>
          </w:p>
        </w:tc>
      </w:tr>
      <w:tr>
        <w:trPr>
          <w:trHeight w:val="193"/>
        </w:trPr>
        <w:tc>
          <w:tcPr>
            <w:tcW w:w="1400" w:type="dxa"/>
            <w:vAlign w:val="bottom"/>
          </w:tcPr>
          <w:p>
            <w:pPr>
              <w:spacing w:after="0"/>
              <w:rPr>
                <w:sz w:val="20"/>
                <w:szCs w:val="20"/>
                <w:color w:val="auto"/>
              </w:rPr>
            </w:pPr>
            <w:r>
              <w:rPr>
                <w:rFonts w:ascii="Courier New" w:cs="Courier New" w:eastAsia="Courier New" w:hAnsi="Courier New"/>
                <w:sz w:val="17"/>
                <w:szCs w:val="17"/>
                <w:color w:val="auto"/>
                <w:w w:val="96"/>
              </w:rPr>
              <w:t>(423) 743-9151</w:t>
            </w:r>
          </w:p>
        </w:tc>
        <w:tc>
          <w:tcPr>
            <w:tcW w:w="3120" w:type="dxa"/>
            <w:vAlign w:val="bottom"/>
          </w:tcPr>
          <w:p>
            <w:pPr>
              <w:spacing w:after="0"/>
              <w:rPr>
                <w:sz w:val="16"/>
                <w:szCs w:val="16"/>
                <w:color w:val="auto"/>
              </w:rPr>
            </w:pPr>
          </w:p>
        </w:tc>
        <w:tc>
          <w:tcPr>
            <w:tcW w:w="19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212-445-8432</w:t>
            </w:r>
          </w:p>
        </w:tc>
        <w:tc>
          <w:tcPr>
            <w:tcW w:w="15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212-445-8458</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FOR IMMEDIATE RELEASE</w:t>
      </w:r>
    </w:p>
    <w:p>
      <w:pPr>
        <w:spacing w:after="0"/>
        <w:rPr>
          <w:sz w:val="20"/>
          <w:szCs w:val="20"/>
          <w:color w:val="auto"/>
        </w:rPr>
      </w:pPr>
      <w:r>
        <w:rPr>
          <w:rFonts w:ascii="Courier New" w:cs="Courier New" w:eastAsia="Courier New" w:hAnsi="Courier New"/>
          <w:sz w:val="17"/>
          <w:szCs w:val="17"/>
          <w:color w:val="auto"/>
        </w:rPr>
        <w:t>April 29, 2004</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b w:val="1"/>
          <w:bCs w:val="1"/>
          <w:color w:val="auto"/>
        </w:rPr>
        <w:t>NN, INC. REPORTS REVENUE GAIN OF 34.8%</w:t>
      </w:r>
    </w:p>
    <w:p>
      <w:pPr>
        <w:ind w:left="2600"/>
        <w:spacing w:after="0"/>
        <w:rPr>
          <w:sz w:val="20"/>
          <w:szCs w:val="20"/>
          <w:color w:val="auto"/>
        </w:rPr>
      </w:pPr>
      <w:r>
        <w:rPr>
          <w:rFonts w:ascii="Courier New" w:cs="Courier New" w:eastAsia="Courier New" w:hAnsi="Courier New"/>
          <w:sz w:val="17"/>
          <w:szCs w:val="17"/>
          <w:b w:val="1"/>
          <w:bCs w:val="1"/>
          <w:color w:val="auto"/>
        </w:rPr>
        <w:t>FOR THE FIRST QUARTER OF 2004</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b w:val="1"/>
          <w:bCs w:val="1"/>
          <w:color w:val="auto"/>
        </w:rPr>
        <w:t>Completes Private Placement of $40,000,000 Senior Unsecured Notes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b w:val="1"/>
          <w:bCs w:val="1"/>
          <w:color w:val="auto"/>
        </w:rPr>
        <w:t xml:space="preserve">Johnson City, Tenn., April 29, 2004 </w:t>
      </w:r>
      <w:r>
        <w:rPr>
          <w:rFonts w:ascii="Courier New" w:cs="Courier New" w:eastAsia="Courier New" w:hAnsi="Courier New"/>
          <w:sz w:val="17"/>
          <w:szCs w:val="17"/>
          <w:color w:val="auto"/>
        </w:rPr>
        <w:t>- NN, Inc. (Nasdaq: NNBR) today reported its</w:t>
      </w:r>
      <w:r>
        <w:rPr>
          <w:rFonts w:ascii="Courier New" w:cs="Courier New" w:eastAsia="Courier New" w:hAnsi="Courier New"/>
          <w:sz w:val="17"/>
          <w:szCs w:val="17"/>
          <w:b w:val="1"/>
          <w:bCs w:val="1"/>
          <w:color w:val="auto"/>
        </w:rPr>
        <w:t xml:space="preserve"> </w:t>
      </w:r>
      <w:r>
        <w:rPr>
          <w:rFonts w:ascii="Courier New" w:cs="Courier New" w:eastAsia="Courier New" w:hAnsi="Courier New"/>
          <w:sz w:val="17"/>
          <w:szCs w:val="17"/>
          <w:color w:val="auto"/>
        </w:rPr>
        <w:t>financial results for the first quarter ended March 31, 2004. First quarter results include the operations of NN Netherlands (Veenendaal) a component manufacturing operation in Veenendaal, The Netherlands since its acquisition from the SKF Group (SKF) on May 2, 2003. Additionally, first quarter net income includes 100% ownership interest in NN Euroball (Euroball) as a result of the purchase of SKF's 23% minority interest on May 2, 2003.</w:t>
      </w:r>
    </w:p>
    <w:p>
      <w:pPr>
        <w:spacing w:after="0" w:line="199"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Net sales for the first quarter of 2004 were $77.6 million, up 34.8% from $57.6 million for the same period of 2003. Net income for the first quarter of 2004 totaled $3.2 million, or $0.19 per diluted share, compared to $3.6 million, or $0.23 per diluted share, for the first quarter of 2003.</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David L. Dyckman, Chief Financial Officer, commented, "Revenue growth of $20.0 million or 34.8% over the first quarter of 2003 was principally attributable to $15.0 million in revenue contribution from our recently acquired Veenendaal operation and approximately $4.7 million related to the impact of currency exchange rates. Our earnings were favorably impacted by the accretion of the Veenendaal acquisition and our purchase of SKF Group's remaining 23% ownership in Euroball by a combined $0.03 in diluted earnings per share for the quarter. Offsetting these contributions was a substantial inventory reduction that impacted the income statement by $0.04 per diluted share in the first quarter of 2004 versus a $0.02 favorable inventory contribution for the same period in</w:t>
      </w:r>
    </w:p>
    <w:p>
      <w:pPr>
        <w:spacing w:after="0" w:line="10" w:lineRule="exact"/>
        <w:rPr>
          <w:sz w:val="20"/>
          <w:szCs w:val="20"/>
          <w:color w:val="auto"/>
        </w:rPr>
      </w:pPr>
    </w:p>
    <w:p>
      <w:pPr>
        <w:jc w:val="both"/>
        <w:ind w:right="2599"/>
        <w:spacing w:after="0" w:line="237" w:lineRule="auto"/>
        <w:rPr>
          <w:sz w:val="20"/>
          <w:szCs w:val="20"/>
          <w:color w:val="auto"/>
        </w:rPr>
      </w:pPr>
      <w:r>
        <w:rPr>
          <w:rFonts w:ascii="Courier New" w:cs="Courier New" w:eastAsia="Courier New" w:hAnsi="Courier New"/>
          <w:sz w:val="17"/>
          <w:szCs w:val="17"/>
          <w:color w:val="auto"/>
        </w:rPr>
        <w:t>2003. Additionally, Sarbanes-Oxley Section 404 ("SOX 404") compliance costs, start-up costs in Slovakia and China, and material price inflation adversely impacted earnings by a combined $0.04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341630</wp:posOffset>
            </wp:positionV>
            <wp:extent cx="72783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"As a percentage of net sales, cost of goods sold was 77.8% in the first quarter of 2004 versus 74.2% in first quarter of 2003. The year-over-year change primarily resulted from the inclusion of the results of our recently acquired Veenendaal facility, which impacted margins by approximately 1.5% and the previously discussed change in inventories for the quarter impacting margins by approximately 2.5%.</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"Selling, general and administrative expenses for the first quarter of 2004 increased $2.5 million to 9.2% as a percentage of net sales compared to 8.0% for the same period in 2003. Veenendaal and currency contributed $1.1 million and $0.4 million, respectively to the increase and the remainder was comprised of start-up costs in Slovakia and China, Level 3 program initiatives, and SOX 404 compliance costs. It is important to note that while the Company is well positioned to comply with the internal control regulations of SOX 404, stricter guidelines have been recently issued that have dramatically increased the cost of compliance to approximately $1.2 million in 2004 or $0.04 per diluted share</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versus the previously estimated $0.02 per diluted share.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Dyckman concluded, "During the first quarter, we reduced debt $2.5 million</w:t>
      </w:r>
    </w:p>
    <w:p>
      <w:pPr>
        <w:spacing w:after="0"/>
        <w:rPr>
          <w:sz w:val="20"/>
          <w:szCs w:val="20"/>
          <w:color w:val="auto"/>
        </w:rPr>
      </w:pPr>
      <w:r>
        <w:rPr>
          <w:rFonts w:ascii="Courier New" w:cs="Courier New" w:eastAsia="Courier New" w:hAnsi="Courier New"/>
          <w:sz w:val="17"/>
          <w:szCs w:val="17"/>
          <w:color w:val="auto"/>
        </w:rPr>
        <w:t>from the 2003 year end levels which put us on track with our annual target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to $12 million reduction. We are also pleased to announce the completion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private placement of notes to restructure our existing debt. We recently</w:t>
      </w:r>
    </w:p>
    <w:p>
      <w:pPr>
        <w:spacing w:after="0"/>
        <w:rPr>
          <w:sz w:val="20"/>
          <w:szCs w:val="20"/>
          <w:color w:val="auto"/>
        </w:rPr>
      </w:pPr>
      <w:r>
        <w:rPr>
          <w:rFonts w:ascii="Courier New" w:cs="Courier New" w:eastAsia="Courier New" w:hAnsi="Courier New"/>
          <w:sz w:val="17"/>
          <w:szCs w:val="17"/>
          <w:color w:val="auto"/>
        </w:rPr>
        <w:t>completed a private placement of $40,000,000 aggregate principal amount of our</w:t>
      </w:r>
    </w:p>
    <w:p>
      <w:pPr>
        <w:spacing w:after="0"/>
        <w:rPr>
          <w:sz w:val="20"/>
          <w:szCs w:val="20"/>
          <w:color w:val="auto"/>
        </w:rPr>
      </w:pPr>
      <w:r>
        <w:rPr>
          <w:rFonts w:ascii="Courier New" w:cs="Courier New" w:eastAsia="Courier New" w:hAnsi="Courier New"/>
          <w:sz w:val="17"/>
          <w:szCs w:val="17"/>
          <w:color w:val="auto"/>
        </w:rPr>
        <w:t>4.89% Senior Notes which are due April 26, 2014. The net proceeds of the</w:t>
      </w:r>
    </w:p>
    <w:p>
      <w:pPr>
        <w:spacing w:after="0"/>
        <w:rPr>
          <w:sz w:val="20"/>
          <w:szCs w:val="20"/>
          <w:color w:val="auto"/>
        </w:rPr>
      </w:pPr>
      <w:r>
        <w:rPr>
          <w:rFonts w:ascii="Courier New" w:cs="Courier New" w:eastAsia="Courier New" w:hAnsi="Courier New"/>
          <w:sz w:val="17"/>
          <w:szCs w:val="17"/>
          <w:color w:val="auto"/>
        </w:rPr>
        <w:t>offering were used to repay our senior domestic term loan and a portion of our</w:t>
      </w:r>
    </w:p>
    <w:p>
      <w:pPr>
        <w:spacing w:after="0"/>
        <w:rPr>
          <w:sz w:val="20"/>
          <w:szCs w:val="20"/>
          <w:color w:val="auto"/>
        </w:rPr>
      </w:pPr>
      <w:r>
        <w:rPr>
          <w:rFonts w:ascii="Courier New" w:cs="Courier New" w:eastAsia="Courier New" w:hAnsi="Courier New"/>
          <w:sz w:val="17"/>
          <w:szCs w:val="17"/>
          <w:color w:val="auto"/>
        </w:rPr>
        <w:t>senior revolving credit facility indebtedness. The notes are senior unsecured</w:t>
      </w:r>
    </w:p>
    <w:p>
      <w:pPr>
        <w:spacing w:after="0"/>
        <w:rPr>
          <w:sz w:val="20"/>
          <w:szCs w:val="20"/>
          <w:color w:val="auto"/>
        </w:rPr>
      </w:pPr>
      <w:r>
        <w:rPr>
          <w:rFonts w:ascii="Courier New" w:cs="Courier New" w:eastAsia="Courier New" w:hAnsi="Courier New"/>
          <w:sz w:val="17"/>
          <w:szCs w:val="17"/>
          <w:color w:val="auto"/>
        </w:rPr>
        <w:t>obligations of NN, Inc. with interest payable semiannually and principal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due in seven equal installments commencing on the fourth anniversary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closing. The notes are guaranteed by most of the Company's subsidiaries."</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Roderick R. Baty, Chairman and Chief Executive Officer, stated, "We continued to make excellent progress during the quarter on the Slovakian and Chinese facility start-ups, as well as our company wide Level 3 program which integrates the principles of Lean Enterprise, Six Sigma and Total Productive Maintenance. We will begin production in Slovakia in the second quarter of this year, which is on schedule with our original planning. With respect to China, we are also on schedule to begin production in the first quarter of 2005. Our Level 3 program is up and running with training and improvement activities increasing in both our North American and European facilities. We are excited regarding the cost, cash flow, and quality improvement opportunities the program will deliver.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Baty concluded, "We experienced good levels of demand from our customers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first quarter and we anticipate these demand levels will continue through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second quarter. In addition, we are passing along higher raw material prices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customers in those situations that do not call for a contractual delay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pass through provisions. Although forecasting the effect of steel pricing and</w:t>
      </w:r>
    </w:p>
    <w:p>
      <w:pPr>
        <w:spacing w:after="0"/>
        <w:rPr>
          <w:sz w:val="20"/>
          <w:szCs w:val="20"/>
          <w:color w:val="auto"/>
        </w:rPr>
      </w:pPr>
      <w:r>
        <w:rPr>
          <w:rFonts w:ascii="Courier New" w:cs="Courier New" w:eastAsia="Courier New" w:hAnsi="Courier New"/>
          <w:sz w:val="17"/>
          <w:szCs w:val="17"/>
          <w:color w:val="auto"/>
        </w:rPr>
        <w:t>the resulting pass through remains difficult, we reconfirm our previous 2004</w:t>
      </w:r>
    </w:p>
    <w:p>
      <w:pPr>
        <w:spacing w:after="0"/>
        <w:rPr>
          <w:sz w:val="20"/>
          <w:szCs w:val="20"/>
          <w:color w:val="auto"/>
        </w:rPr>
      </w:pPr>
      <w:r>
        <w:rPr>
          <w:rFonts w:ascii="Courier New" w:cs="Courier New" w:eastAsia="Courier New" w:hAnsi="Courier New"/>
          <w:sz w:val="17"/>
          <w:szCs w:val="17"/>
          <w:color w:val="auto"/>
        </w:rPr>
        <w:t>forecast of $295 million in revenues and earnings of approximately $0.76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$0.78 per diluted share for the full year. As we discussed previously, increased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costs in 2004 resulting from dramatic price increases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340360</wp:posOffset>
            </wp:positionV>
            <wp:extent cx="72783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steel, costs associated with the SOX 404 compliance, start up costs in Slovakia and China, as well as costs in connection with the Company's financing needs are estimated to result in added expenses of approximately $0.22 per share for the year. This is expected to offset the benefit of our planned cost reductions, volume increases, the expected accretion from the full year ownership of Veenendaal and the buyout of the remaining 23% interest of SKF's ownership of Euroball."</w:t>
      </w:r>
    </w:p>
    <w:p>
      <w:pPr>
        <w:spacing w:after="0" w:line="199"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$253 million in 2003.</w:t>
      </w:r>
    </w:p>
    <w:p>
      <w:pPr>
        <w:spacing w:after="0" w:line="187"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4.89% Senior Notes due April 26, 2014 which are the subject of the private placement have not been registered under the Securities Act of 1933, as amended, and may not be offered or sold in the United States or to U.S. persons, except to qualified institutional buyers in reliance on the exemption from registration provided by Rule 144A and to certain persons in offshore transactions in reliance on Regulation S. This press release does not constitute an offer to sell or the solicitation of an offer to buy any security and shall not constitute an offer, solicitation or sale in any jurisdiction in which it would be unlawful.</w:t>
      </w:r>
    </w:p>
    <w:p>
      <w:pPr>
        <w:spacing w:after="0" w:line="201"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i w:val="1"/>
          <w:iCs w:val="1"/>
          <w:color w:val="auto"/>
        </w:rPr>
        <w:t>The comments by Mr. Baty regarding production schedules, forecasted demand and revenues, earnings, and costs and by Mr. Dyckman regarding certain estimated cost, debt reduction and earnings are forward looking statements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2003.</w:t>
      </w:r>
    </w:p>
    <w:p>
      <w:pPr>
        <w:spacing w:after="0" w:line="20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340360</wp:posOffset>
            </wp:positionV>
            <wp:extent cx="72783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ectPr>
          <w:pgSz w:w="11900" w:h="16838" w:orient="portrait"/>
          <w:cols w:equalWidth="0" w:num="1">
            <w:col w:w="10219"/>
          </w:cols>
          <w:pgMar w:left="240" w:top="136" w:right="1440" w:bottom="552" w:gutter="0" w:footer="0" w:header="0"/>
        </w:sectPr>
      </w:pPr>
    </w:p>
    <w:bookmarkStart w:id="4" w:name="page5"/>
    <w:bookmarkEnd w:id="4"/>
    <w:p>
      <w:pPr>
        <w:spacing w:after="0" w:line="4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b w:val="1"/>
          <w:bCs w:val="1"/>
          <w:color w:val="auto"/>
        </w:rPr>
        <w:t>NN, Inc.</w:t>
      </w:r>
    </w:p>
    <w:p>
      <w:pPr>
        <w:jc w:val="center"/>
        <w:ind w:right="2199"/>
        <w:spacing w:after="0"/>
        <w:rPr>
          <w:sz w:val="20"/>
          <w:szCs w:val="20"/>
          <w:color w:val="auto"/>
        </w:rPr>
      </w:pPr>
      <w:r>
        <w:rPr>
          <w:rFonts w:ascii="Courier New" w:cs="Courier New" w:eastAsia="Courier New" w:hAnsi="Courier New"/>
          <w:sz w:val="17"/>
          <w:szCs w:val="17"/>
          <w:b w:val="1"/>
          <w:bCs w:val="1"/>
          <w:color w:val="auto"/>
        </w:rPr>
        <w:t>Condensed Statements of Income</w:t>
      </w:r>
    </w:p>
    <w:p>
      <w:pPr>
        <w:jc w:val="center"/>
        <w:ind w:right="2199"/>
        <w:spacing w:after="0"/>
        <w:rPr>
          <w:sz w:val="20"/>
          <w:szCs w:val="20"/>
          <w:color w:val="auto"/>
        </w:rPr>
      </w:pPr>
      <w:r>
        <w:rPr>
          <w:rFonts w:ascii="Courier New" w:cs="Courier New" w:eastAsia="Courier New" w:hAnsi="Courier New"/>
          <w:sz w:val="17"/>
          <w:szCs w:val="17"/>
          <w:b w:val="1"/>
          <w:bCs w:val="1"/>
          <w:color w:val="auto"/>
        </w:rPr>
        <w:t>(In Thousands, except per share amounts)</w:t>
      </w:r>
    </w:p>
    <w:tbl>
      <w:tblPr>
        <w:tblLayout w:type="fixed"/>
        <w:tblInd w:w="0" w:type="dxa"/>
        <w:tblCellMar>
          <w:top w:w="0" w:type="dxa"/>
          <w:left w:w="0" w:type="dxa"/>
          <w:bottom w:w="0" w:type="dxa"/>
          <w:right w:w="0" w:type="dxa"/>
        </w:tblCellMar>
      </w:tblPr>
      <w:tr>
        <w:trPr>
          <w:trHeight w:val="193"/>
        </w:trPr>
        <w:tc>
          <w:tcPr>
            <w:tcW w:w="4960" w:type="dxa"/>
            <w:vAlign w:val="bottom"/>
          </w:tcPr>
          <w:p>
            <w:pPr>
              <w:ind w:left="3520"/>
              <w:spacing w:after="0"/>
              <w:rPr>
                <w:sz w:val="20"/>
                <w:szCs w:val="20"/>
                <w:color w:val="auto"/>
              </w:rPr>
            </w:pPr>
            <w:r>
              <w:rPr>
                <w:rFonts w:ascii="Courier New" w:cs="Courier New" w:eastAsia="Courier New" w:hAnsi="Courier New"/>
                <w:sz w:val="17"/>
                <w:szCs w:val="17"/>
                <w:b w:val="1"/>
                <w:bCs w:val="1"/>
                <w:color w:val="auto"/>
              </w:rPr>
              <w:t>(Unaudited)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5"/>
        </w:trPr>
        <w:tc>
          <w:tcPr>
            <w:tcW w:w="4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00" w:type="dxa"/>
            <w:vAlign w:val="bottom"/>
            <w:gridSpan w:val="3"/>
          </w:tcPr>
          <w:p>
            <w:pPr>
              <w:jc w:val="right"/>
              <w:ind w:right="616"/>
              <w:spacing w:after="0"/>
              <w:rPr>
                <w:sz w:val="20"/>
                <w:szCs w:val="20"/>
                <w:color w:val="auto"/>
              </w:rPr>
            </w:pPr>
            <w:r>
              <w:rPr>
                <w:rFonts w:ascii="Courier New" w:cs="Courier New" w:eastAsia="Courier New" w:hAnsi="Courier New"/>
                <w:sz w:val="17"/>
                <w:szCs w:val="17"/>
                <w:b w:val="1"/>
                <w:bCs w:val="1"/>
                <w:color w:val="auto"/>
              </w:rPr>
              <w:t>Three Months Ended</w:t>
            </w:r>
          </w:p>
        </w:tc>
      </w:tr>
      <w:tr>
        <w:trPr>
          <w:trHeight w:val="193"/>
        </w:trPr>
        <w:tc>
          <w:tcPr>
            <w:tcW w:w="4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00" w:type="dxa"/>
            <w:vAlign w:val="bottom"/>
            <w:gridSpan w:val="2"/>
          </w:tcPr>
          <w:p>
            <w:pPr>
              <w:jc w:val="right"/>
              <w:ind w:right="216"/>
              <w:spacing w:after="0"/>
              <w:rPr>
                <w:sz w:val="20"/>
                <w:szCs w:val="20"/>
                <w:color w:val="auto"/>
              </w:rPr>
            </w:pPr>
            <w:r>
              <w:rPr>
                <w:rFonts w:ascii="Courier New" w:cs="Courier New" w:eastAsia="Courier New" w:hAnsi="Courier New"/>
                <w:sz w:val="17"/>
                <w:szCs w:val="17"/>
                <w:b w:val="1"/>
                <w:bCs w:val="1"/>
                <w:color w:val="auto"/>
              </w:rPr>
              <w:t>March 31,</w:t>
            </w:r>
          </w:p>
        </w:tc>
        <w:tc>
          <w:tcPr>
            <w:tcW w:w="800" w:type="dxa"/>
            <w:vAlign w:val="bottom"/>
          </w:tcPr>
          <w:p>
            <w:pPr>
              <w:spacing w:after="0"/>
              <w:rPr>
                <w:sz w:val="16"/>
                <w:szCs w:val="16"/>
                <w:color w:val="auto"/>
              </w:rPr>
            </w:pPr>
          </w:p>
        </w:tc>
      </w:tr>
      <w:tr>
        <w:trPr>
          <w:trHeight w:val="193"/>
        </w:trPr>
        <w:tc>
          <w:tcPr>
            <w:tcW w:w="4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jc w:val="center"/>
              <w:ind w:right="616"/>
              <w:spacing w:after="0"/>
              <w:rPr>
                <w:sz w:val="20"/>
                <w:szCs w:val="20"/>
                <w:color w:val="auto"/>
              </w:rPr>
            </w:pPr>
            <w:r>
              <w:rPr>
                <w:rFonts w:ascii="Courier New" w:cs="Courier New" w:eastAsia="Courier New" w:hAnsi="Courier New"/>
                <w:sz w:val="17"/>
                <w:szCs w:val="17"/>
                <w:b w:val="1"/>
                <w:bCs w:val="1"/>
                <w:color w:val="auto"/>
                <w:w w:val="97"/>
              </w:rPr>
              <w:t>2004</w:t>
            </w:r>
          </w:p>
        </w:tc>
        <w:tc>
          <w:tcPr>
            <w:tcW w:w="800" w:type="dxa"/>
            <w:vAlign w:val="bottom"/>
          </w:tcPr>
          <w:p>
            <w:pPr>
              <w:spacing w:after="0"/>
              <w:rPr>
                <w:sz w:val="16"/>
                <w:szCs w:val="16"/>
                <w:color w:val="auto"/>
              </w:rPr>
            </w:pP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b w:val="1"/>
                <w:bCs w:val="1"/>
                <w:color w:val="auto"/>
                <w:w w:val="93"/>
              </w:rPr>
              <w:t>2003</w:t>
            </w:r>
          </w:p>
        </w:tc>
      </w:tr>
      <w:tr>
        <w:trPr>
          <w:trHeight w:val="193"/>
        </w:trPr>
        <w:tc>
          <w:tcPr>
            <w:tcW w:w="496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8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$ 77,632</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$ 57,609</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Cost of goods sold (exclusive of depreciation</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shown separately below)</w:t>
            </w:r>
          </w:p>
        </w:tc>
        <w:tc>
          <w:tcPr>
            <w:tcW w:w="7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60,390</w:t>
            </w:r>
          </w:p>
        </w:tc>
        <w:tc>
          <w:tcPr>
            <w:tcW w:w="8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42,743</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7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7,143</w:t>
            </w:r>
          </w:p>
        </w:tc>
        <w:tc>
          <w:tcPr>
            <w:tcW w:w="8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4,632</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7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3,999</w:t>
            </w:r>
          </w:p>
        </w:tc>
        <w:tc>
          <w:tcPr>
            <w:tcW w:w="8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3,079</w:t>
            </w:r>
          </w:p>
        </w:tc>
      </w:tr>
      <w:tr>
        <w:trPr>
          <w:trHeight w:val="193"/>
        </w:trPr>
        <w:tc>
          <w:tcPr>
            <w:tcW w:w="496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760" w:type="dxa"/>
            <w:vAlign w:val="bottom"/>
          </w:tcPr>
          <w:p>
            <w:pPr>
              <w:spacing w:after="0"/>
              <w:rPr>
                <w:sz w:val="24"/>
                <w:szCs w:val="24"/>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6,100</w:t>
            </w:r>
          </w:p>
        </w:tc>
        <w:tc>
          <w:tcPr>
            <w:tcW w:w="8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7,155</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760" w:type="dxa"/>
            <w:vAlign w:val="bottom"/>
          </w:tcPr>
          <w:p>
            <w:pPr>
              <w:spacing w:after="0"/>
              <w:rPr>
                <w:sz w:val="24"/>
                <w:szCs w:val="24"/>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841</w:t>
            </w:r>
          </w:p>
        </w:tc>
        <w:tc>
          <w:tcPr>
            <w:tcW w:w="8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513</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7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(56)</w:t>
            </w:r>
          </w:p>
        </w:tc>
        <w:tc>
          <w:tcPr>
            <w:tcW w:w="8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w:t>
            </w:r>
          </w:p>
        </w:tc>
      </w:tr>
      <w:tr>
        <w:trPr>
          <w:trHeight w:val="193"/>
        </w:trPr>
        <w:tc>
          <w:tcPr>
            <w:tcW w:w="496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960" w:type="dxa"/>
            <w:vAlign w:val="bottom"/>
          </w:tcPr>
          <w:p>
            <w:pPr>
              <w:ind w:left="200"/>
              <w:spacing w:after="0"/>
              <w:rPr>
                <w:sz w:val="20"/>
                <w:szCs w:val="20"/>
                <w:color w:val="auto"/>
              </w:rPr>
            </w:pPr>
            <w:r>
              <w:rPr>
                <w:rFonts w:ascii="Courier New" w:cs="Courier New" w:eastAsia="Courier New" w:hAnsi="Courier New"/>
                <w:sz w:val="17"/>
                <w:szCs w:val="17"/>
                <w:color w:val="auto"/>
              </w:rPr>
              <w:t>Income before provision for income taxes</w:t>
            </w:r>
          </w:p>
        </w:tc>
        <w:tc>
          <w:tcPr>
            <w:tcW w:w="760" w:type="dxa"/>
            <w:vAlign w:val="bottom"/>
          </w:tcPr>
          <w:p>
            <w:pPr>
              <w:spacing w:after="0"/>
              <w:rPr>
                <w:sz w:val="24"/>
                <w:szCs w:val="24"/>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5,315</w:t>
            </w:r>
          </w:p>
        </w:tc>
        <w:tc>
          <w:tcPr>
            <w:tcW w:w="8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6,649</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760" w:type="dxa"/>
            <w:vAlign w:val="bottom"/>
          </w:tcPr>
          <w:p>
            <w:pPr>
              <w:spacing w:after="0"/>
              <w:rPr>
                <w:sz w:val="24"/>
                <w:szCs w:val="24"/>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2,097</w:t>
            </w:r>
          </w:p>
        </w:tc>
        <w:tc>
          <w:tcPr>
            <w:tcW w:w="8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2,472</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Minority interest in consolidated subsidiary</w:t>
            </w:r>
          </w:p>
        </w:tc>
        <w:tc>
          <w:tcPr>
            <w:tcW w:w="760" w:type="dxa"/>
            <w:vAlign w:val="bottom"/>
          </w:tcPr>
          <w:p>
            <w:pPr>
              <w:spacing w:after="0"/>
              <w:rPr>
                <w:sz w:val="24"/>
                <w:szCs w:val="24"/>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534</w:t>
            </w:r>
          </w:p>
        </w:tc>
      </w:tr>
      <w:tr>
        <w:trPr>
          <w:trHeight w:val="193"/>
        </w:trPr>
        <w:tc>
          <w:tcPr>
            <w:tcW w:w="496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3,218</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3,643</w:t>
            </w:r>
          </w:p>
        </w:tc>
      </w:tr>
      <w:tr>
        <w:trPr>
          <w:trHeight w:val="193"/>
        </w:trPr>
        <w:tc>
          <w:tcPr>
            <w:tcW w:w="496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Diluted income per common share</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0.19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0.23</w:t>
            </w:r>
          </w:p>
        </w:tc>
      </w:tr>
      <w:tr>
        <w:trPr>
          <w:trHeight w:val="193"/>
        </w:trPr>
        <w:tc>
          <w:tcPr>
            <w:tcW w:w="496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Weighted average diluted shares</w:t>
            </w:r>
          </w:p>
        </w:tc>
        <w:tc>
          <w:tcPr>
            <w:tcW w:w="760" w:type="dxa"/>
            <w:vAlign w:val="bottom"/>
          </w:tcPr>
          <w:p>
            <w:pPr>
              <w:spacing w:after="0"/>
              <w:rPr>
                <w:sz w:val="24"/>
                <w:szCs w:val="24"/>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17,189</w:t>
            </w:r>
          </w:p>
        </w:tc>
        <w:tc>
          <w:tcPr>
            <w:tcW w:w="8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15,574</w:t>
            </w:r>
          </w:p>
        </w:tc>
      </w:tr>
      <w:tr>
        <w:trPr>
          <w:trHeight w:val="193"/>
        </w:trPr>
        <w:tc>
          <w:tcPr>
            <w:tcW w:w="496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340360</wp:posOffset>
            </wp:positionV>
            <wp:extent cx="72783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b w:val="1"/>
          <w:bCs w:val="1"/>
          <w:color w:val="auto"/>
        </w:rPr>
        <w:t>NN, Inc.</w:t>
      </w:r>
    </w:p>
    <w:p>
      <w:pPr>
        <w:jc w:val="center"/>
        <w:ind w:right="2199"/>
        <w:spacing w:after="0"/>
        <w:rPr>
          <w:sz w:val="20"/>
          <w:szCs w:val="20"/>
          <w:color w:val="auto"/>
        </w:rPr>
      </w:pPr>
      <w:r>
        <w:rPr>
          <w:rFonts w:ascii="Courier New" w:cs="Courier New" w:eastAsia="Courier New" w:hAnsi="Courier New"/>
          <w:sz w:val="17"/>
          <w:szCs w:val="17"/>
          <w:b w:val="1"/>
          <w:bCs w:val="1"/>
          <w:color w:val="auto"/>
        </w:rPr>
        <w:t>Condensed Balance Sheets</w:t>
      </w:r>
    </w:p>
    <w:p>
      <w:pPr>
        <w:jc w:val="center"/>
        <w:ind w:right="2199"/>
        <w:spacing w:after="0"/>
        <w:rPr>
          <w:sz w:val="20"/>
          <w:szCs w:val="20"/>
          <w:color w:val="auto"/>
        </w:rPr>
      </w:pPr>
      <w:r>
        <w:rPr>
          <w:rFonts w:ascii="Courier New" w:cs="Courier New" w:eastAsia="Courier New" w:hAnsi="Courier New"/>
          <w:sz w:val="17"/>
          <w:szCs w:val="17"/>
          <w:b w:val="1"/>
          <w:bCs w:val="1"/>
          <w:color w:val="auto"/>
        </w:rPr>
        <w:t>(In Thousands)</w:t>
      </w:r>
    </w:p>
    <w:tbl>
      <w:tblPr>
        <w:tblLayout w:type="fixed"/>
        <w:tblInd w:w="0" w:type="dxa"/>
        <w:tblCellMar>
          <w:top w:w="0" w:type="dxa"/>
          <w:left w:w="0" w:type="dxa"/>
          <w:bottom w:w="0" w:type="dxa"/>
          <w:right w:w="0" w:type="dxa"/>
        </w:tblCellMar>
      </w:tblPr>
      <w:tr>
        <w:trPr>
          <w:trHeight w:val="193"/>
        </w:trPr>
        <w:tc>
          <w:tcPr>
            <w:tcW w:w="4960" w:type="dxa"/>
            <w:vAlign w:val="bottom"/>
          </w:tcPr>
          <w:p>
            <w:pPr>
              <w:ind w:left="3520"/>
              <w:spacing w:after="0"/>
              <w:rPr>
                <w:sz w:val="20"/>
                <w:szCs w:val="20"/>
                <w:color w:val="auto"/>
              </w:rPr>
            </w:pPr>
            <w:r>
              <w:rPr>
                <w:rFonts w:ascii="Courier New" w:cs="Courier New" w:eastAsia="Courier New" w:hAnsi="Courier New"/>
                <w:sz w:val="17"/>
                <w:szCs w:val="17"/>
                <w:b w:val="1"/>
                <w:bCs w:val="1"/>
                <w:color w:val="auto"/>
              </w:rPr>
              <w:t>(Unaudited)</w:t>
            </w: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5"/>
        </w:trPr>
        <w:tc>
          <w:tcPr>
            <w:tcW w:w="4960" w:type="dxa"/>
            <w:vAlign w:val="bottom"/>
          </w:tcPr>
          <w:p>
            <w:pPr>
              <w:spacing w:after="0"/>
              <w:rPr>
                <w:sz w:val="24"/>
                <w:szCs w:val="24"/>
                <w:color w:val="auto"/>
              </w:rPr>
            </w:pPr>
          </w:p>
        </w:tc>
        <w:tc>
          <w:tcPr>
            <w:tcW w:w="2600" w:type="dxa"/>
            <w:vAlign w:val="bottom"/>
            <w:gridSpan w:val="2"/>
          </w:tcPr>
          <w:p>
            <w:pPr>
              <w:jc w:val="right"/>
              <w:ind w:right="656"/>
              <w:spacing w:after="0"/>
              <w:rPr>
                <w:sz w:val="20"/>
                <w:szCs w:val="20"/>
                <w:color w:val="auto"/>
              </w:rPr>
            </w:pPr>
            <w:r>
              <w:rPr>
                <w:rFonts w:ascii="Courier New" w:cs="Courier New" w:eastAsia="Courier New" w:hAnsi="Courier New"/>
                <w:sz w:val="17"/>
                <w:szCs w:val="17"/>
                <w:b w:val="1"/>
                <w:bCs w:val="1"/>
                <w:color w:val="auto"/>
              </w:rPr>
              <w:t>March 31,</w:t>
            </w:r>
          </w:p>
        </w:tc>
        <w:tc>
          <w:tcPr>
            <w:tcW w:w="2160" w:type="dxa"/>
            <w:vAlign w:val="bottom"/>
            <w:gridSpan w:val="2"/>
          </w:tcPr>
          <w:p>
            <w:pPr>
              <w:jc w:val="right"/>
              <w:ind w:right="116"/>
              <w:spacing w:after="0"/>
              <w:rPr>
                <w:sz w:val="20"/>
                <w:szCs w:val="20"/>
                <w:color w:val="auto"/>
              </w:rPr>
            </w:pPr>
            <w:r>
              <w:rPr>
                <w:rFonts w:ascii="Courier New" w:cs="Courier New" w:eastAsia="Courier New" w:hAnsi="Courier New"/>
                <w:sz w:val="17"/>
                <w:szCs w:val="17"/>
                <w:b w:val="1"/>
                <w:bCs w:val="1"/>
                <w:color w:val="auto"/>
              </w:rPr>
              <w:t>December 31,</w:t>
            </w:r>
          </w:p>
        </w:tc>
      </w:tr>
      <w:tr>
        <w:trPr>
          <w:trHeight w:val="193"/>
        </w:trPr>
        <w:tc>
          <w:tcPr>
            <w:tcW w:w="4960" w:type="dxa"/>
            <w:vAlign w:val="bottom"/>
          </w:tcPr>
          <w:p>
            <w:pPr>
              <w:spacing w:after="0"/>
              <w:rPr>
                <w:sz w:val="16"/>
                <w:szCs w:val="16"/>
                <w:color w:val="auto"/>
              </w:rPr>
            </w:pPr>
          </w:p>
        </w:tc>
        <w:tc>
          <w:tcPr>
            <w:tcW w:w="2600" w:type="dxa"/>
            <w:vAlign w:val="bottom"/>
            <w:gridSpan w:val="2"/>
          </w:tcPr>
          <w:p>
            <w:pPr>
              <w:ind w:left="1160"/>
              <w:spacing w:after="0"/>
              <w:rPr>
                <w:sz w:val="20"/>
                <w:szCs w:val="20"/>
                <w:color w:val="auto"/>
              </w:rPr>
            </w:pPr>
            <w:r>
              <w:rPr>
                <w:rFonts w:ascii="Courier New" w:cs="Courier New" w:eastAsia="Courier New" w:hAnsi="Courier New"/>
                <w:sz w:val="17"/>
                <w:szCs w:val="17"/>
                <w:b w:val="1"/>
                <w:bCs w:val="1"/>
                <w:color w:val="auto"/>
              </w:rPr>
              <w:t>2004</w:t>
            </w:r>
          </w:p>
        </w:tc>
        <w:tc>
          <w:tcPr>
            <w:tcW w:w="2160" w:type="dxa"/>
            <w:vAlign w:val="bottom"/>
            <w:gridSpan w:val="2"/>
          </w:tcPr>
          <w:p>
            <w:pPr>
              <w:jc w:val="center"/>
              <w:ind w:left="276"/>
              <w:spacing w:after="0"/>
              <w:rPr>
                <w:sz w:val="20"/>
                <w:szCs w:val="20"/>
                <w:color w:val="auto"/>
              </w:rPr>
            </w:pPr>
            <w:r>
              <w:rPr>
                <w:rFonts w:ascii="Courier New" w:cs="Courier New" w:eastAsia="Courier New" w:hAnsi="Courier New"/>
                <w:sz w:val="17"/>
                <w:szCs w:val="17"/>
                <w:b w:val="1"/>
                <w:bCs w:val="1"/>
                <w:color w:val="auto"/>
                <w:w w:val="97"/>
              </w:rPr>
              <w:t>2003</w:t>
            </w:r>
          </w:p>
        </w:tc>
      </w:tr>
      <w:tr>
        <w:trPr>
          <w:trHeight w:val="193"/>
        </w:trPr>
        <w:tc>
          <w:tcPr>
            <w:tcW w:w="4960" w:type="dxa"/>
            <w:vAlign w:val="bottom"/>
          </w:tcPr>
          <w:p>
            <w:pPr>
              <w:spacing w:after="0"/>
              <w:rPr>
                <w:sz w:val="16"/>
                <w:szCs w:val="16"/>
                <w:color w:val="auto"/>
              </w:rPr>
            </w:pPr>
          </w:p>
        </w:tc>
        <w:tc>
          <w:tcPr>
            <w:tcW w:w="26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center"/>
              <w:ind w:left="276"/>
              <w:spacing w:after="0"/>
              <w:rPr>
                <w:sz w:val="20"/>
                <w:szCs w:val="20"/>
                <w:color w:val="auto"/>
              </w:rPr>
            </w:pPr>
            <w:r>
              <w:rPr>
                <w:rFonts w:ascii="Courier New" w:cs="Courier New" w:eastAsia="Courier New" w:hAnsi="Courier New"/>
                <w:sz w:val="17"/>
                <w:szCs w:val="17"/>
                <w:color w:val="auto"/>
                <w:w w:val="98"/>
              </w:rPr>
              <w:t>------------------</w:t>
            </w:r>
          </w:p>
        </w:tc>
      </w:tr>
      <w:tr>
        <w:trPr>
          <w:trHeight w:val="578"/>
        </w:trPr>
        <w:tc>
          <w:tcPr>
            <w:tcW w:w="4960" w:type="dxa"/>
            <w:vAlign w:val="bottom"/>
          </w:tcPr>
          <w:p>
            <w:pPr>
              <w:spacing w:after="0"/>
              <w:rPr>
                <w:sz w:val="20"/>
                <w:szCs w:val="20"/>
                <w:color w:val="auto"/>
              </w:rPr>
            </w:pPr>
            <w:r>
              <w:rPr>
                <w:rFonts w:ascii="Courier New" w:cs="Courier New" w:eastAsia="Courier New" w:hAnsi="Courier New"/>
                <w:sz w:val="17"/>
                <w:szCs w:val="17"/>
                <w:b w:val="1"/>
                <w:bCs w:val="1"/>
                <w:color w:val="auto"/>
              </w:rPr>
              <w:t>Assets</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Cash</w:t>
            </w:r>
          </w:p>
        </w:tc>
        <w:tc>
          <w:tcPr>
            <w:tcW w:w="1360" w:type="dxa"/>
            <w:vAlign w:val="bottom"/>
          </w:tcPr>
          <w:p>
            <w:pPr>
              <w:ind w:left="116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7,143</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4,978</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Accounts receivable, net</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48,728</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40,864</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Inventories, net</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33,322</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36,278</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Other current assets</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6,342</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6,299</w:t>
            </w:r>
          </w:p>
        </w:tc>
      </w:tr>
      <w:tr>
        <w:trPr>
          <w:trHeight w:val="193"/>
        </w:trPr>
        <w:tc>
          <w:tcPr>
            <w:tcW w:w="4960" w:type="dxa"/>
            <w:vAlign w:val="bottom"/>
          </w:tcPr>
          <w:p>
            <w:pPr>
              <w:spacing w:after="0"/>
              <w:rPr>
                <w:sz w:val="16"/>
                <w:szCs w:val="16"/>
                <w:color w:val="auto"/>
              </w:rPr>
            </w:pPr>
          </w:p>
        </w:tc>
        <w:tc>
          <w:tcPr>
            <w:tcW w:w="26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center"/>
              <w:ind w:left="276"/>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Total current assets</w:t>
            </w:r>
          </w:p>
        </w:tc>
        <w:tc>
          <w:tcPr>
            <w:tcW w:w="1360" w:type="dxa"/>
            <w:vAlign w:val="bottom"/>
          </w:tcPr>
          <w:p>
            <w:pPr>
              <w:spacing w:after="0"/>
              <w:rPr>
                <w:sz w:val="24"/>
                <w:szCs w:val="24"/>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95,535</w:t>
            </w:r>
          </w:p>
        </w:tc>
        <w:tc>
          <w:tcPr>
            <w:tcW w:w="126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88,419</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1360" w:type="dxa"/>
            <w:vAlign w:val="bottom"/>
          </w:tcPr>
          <w:p>
            <w:pPr>
              <w:spacing w:after="0"/>
              <w:rPr>
                <w:sz w:val="24"/>
                <w:szCs w:val="24"/>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126,142</w:t>
            </w:r>
          </w:p>
        </w:tc>
        <w:tc>
          <w:tcPr>
            <w:tcW w:w="126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128,996</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Assets held for sale</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1,805</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Goodwill, net</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42,245</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42,893</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4,103</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4,304</w:t>
            </w:r>
          </w:p>
        </w:tc>
      </w:tr>
      <w:tr>
        <w:trPr>
          <w:trHeight w:val="193"/>
        </w:trPr>
        <w:tc>
          <w:tcPr>
            <w:tcW w:w="4960" w:type="dxa"/>
            <w:vAlign w:val="bottom"/>
          </w:tcPr>
          <w:p>
            <w:pPr>
              <w:spacing w:after="0"/>
              <w:rPr>
                <w:sz w:val="16"/>
                <w:szCs w:val="16"/>
                <w:color w:val="auto"/>
              </w:rPr>
            </w:pPr>
          </w:p>
        </w:tc>
        <w:tc>
          <w:tcPr>
            <w:tcW w:w="26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center"/>
              <w:ind w:left="276"/>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Total assets</w:t>
            </w:r>
          </w:p>
        </w:tc>
        <w:tc>
          <w:tcPr>
            <w:tcW w:w="1360" w:type="dxa"/>
            <w:vAlign w:val="bottom"/>
          </w:tcPr>
          <w:p>
            <w:pPr>
              <w:ind w:left="116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268,025</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266,417</w:t>
            </w:r>
          </w:p>
        </w:tc>
      </w:tr>
      <w:tr>
        <w:trPr>
          <w:trHeight w:val="193"/>
        </w:trPr>
        <w:tc>
          <w:tcPr>
            <w:tcW w:w="4960" w:type="dxa"/>
            <w:vAlign w:val="bottom"/>
          </w:tcPr>
          <w:p>
            <w:pPr>
              <w:spacing w:after="0"/>
              <w:rPr>
                <w:sz w:val="16"/>
                <w:szCs w:val="16"/>
                <w:color w:val="auto"/>
              </w:rPr>
            </w:pPr>
          </w:p>
        </w:tc>
        <w:tc>
          <w:tcPr>
            <w:tcW w:w="26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center"/>
              <w:ind w:left="276"/>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b w:val="1"/>
                <w:bCs w:val="1"/>
                <w:color w:val="auto"/>
              </w:rPr>
              <w:t>Liabilities and Stockholders' Equity</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Accounts payable</w:t>
            </w:r>
          </w:p>
        </w:tc>
        <w:tc>
          <w:tcPr>
            <w:tcW w:w="1360" w:type="dxa"/>
            <w:vAlign w:val="bottom"/>
          </w:tcPr>
          <w:p>
            <w:pPr>
              <w:ind w:left="116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35,901</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32,867</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Dividends payable</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1,337</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Accrued salaries and wages</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11,181</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12,032</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Short-term note</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Short-term portion of long-term notes payable</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6,426</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12,725</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3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4,996</w:t>
            </w:r>
          </w:p>
        </w:tc>
        <w:tc>
          <w:tcPr>
            <w:tcW w:w="1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3,070</w:t>
            </w:r>
          </w:p>
        </w:tc>
      </w:tr>
      <w:tr>
        <w:trPr>
          <w:trHeight w:val="193"/>
        </w:trPr>
        <w:tc>
          <w:tcPr>
            <w:tcW w:w="4960" w:type="dxa"/>
            <w:vAlign w:val="bottom"/>
          </w:tcPr>
          <w:p>
            <w:pPr>
              <w:spacing w:after="0"/>
              <w:rPr>
                <w:sz w:val="16"/>
                <w:szCs w:val="16"/>
                <w:color w:val="auto"/>
              </w:rPr>
            </w:pPr>
          </w:p>
        </w:tc>
        <w:tc>
          <w:tcPr>
            <w:tcW w:w="26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center"/>
              <w:ind w:left="276"/>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Total current liabilities</w:t>
            </w:r>
          </w:p>
        </w:tc>
        <w:tc>
          <w:tcPr>
            <w:tcW w:w="1360" w:type="dxa"/>
            <w:vAlign w:val="bottom"/>
          </w:tcPr>
          <w:p>
            <w:pPr>
              <w:spacing w:after="0"/>
              <w:rPr>
                <w:sz w:val="24"/>
                <w:szCs w:val="24"/>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59,841</w:t>
            </w:r>
          </w:p>
        </w:tc>
        <w:tc>
          <w:tcPr>
            <w:tcW w:w="126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62,694</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360" w:type="dxa"/>
            <w:vAlign w:val="bottom"/>
          </w:tcPr>
          <w:p>
            <w:pPr>
              <w:spacing w:after="0"/>
              <w:rPr>
                <w:sz w:val="24"/>
                <w:szCs w:val="24"/>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13,157</w:t>
            </w:r>
          </w:p>
        </w:tc>
        <w:tc>
          <w:tcPr>
            <w:tcW w:w="126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13,423</w:t>
            </w:r>
          </w:p>
        </w:tc>
      </w:tr>
    </w:tbl>
    <w:p>
      <w:pPr>
        <w:sectPr>
          <w:pgSz w:w="11900" w:h="16886" w:orient="portrait"/>
          <w:cols w:equalWidth="0" w:num="1">
            <w:col w:w="10219"/>
          </w:cols>
          <w:pgMar w:left="240" w:top="136"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Long-term notes payable</w:t>
            </w:r>
          </w:p>
        </w:tc>
        <w:tc>
          <w:tcPr>
            <w:tcW w:w="28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75,579</w:t>
            </w:r>
          </w:p>
        </w:tc>
        <w:tc>
          <w:tcPr>
            <w:tcW w:w="2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69,752</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8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13,586</w:t>
            </w:r>
          </w:p>
        </w:tc>
        <w:tc>
          <w:tcPr>
            <w:tcW w:w="2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14,080</w:t>
            </w:r>
          </w:p>
        </w:tc>
      </w:tr>
      <w:tr>
        <w:trPr>
          <w:trHeight w:val="193"/>
        </w:trPr>
        <w:tc>
          <w:tcPr>
            <w:tcW w:w="4760" w:type="dxa"/>
            <w:vAlign w:val="bottom"/>
          </w:tcPr>
          <w:p>
            <w:pPr>
              <w:spacing w:after="0"/>
              <w:rPr>
                <w:sz w:val="16"/>
                <w:szCs w:val="16"/>
                <w:color w:val="auto"/>
              </w:rPr>
            </w:pPr>
          </w:p>
        </w:tc>
        <w:tc>
          <w:tcPr>
            <w:tcW w:w="2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76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28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162,163</w:t>
            </w:r>
          </w:p>
        </w:tc>
        <w:tc>
          <w:tcPr>
            <w:tcW w:w="2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159,949</w:t>
            </w:r>
          </w:p>
        </w:tc>
      </w:tr>
      <w:tr>
        <w:trPr>
          <w:trHeight w:val="385"/>
        </w:trPr>
        <w:tc>
          <w:tcPr>
            <w:tcW w:w="476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28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105,862</w:t>
            </w:r>
          </w:p>
        </w:tc>
        <w:tc>
          <w:tcPr>
            <w:tcW w:w="2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106,468</w:t>
            </w:r>
          </w:p>
        </w:tc>
      </w:tr>
      <w:tr>
        <w:trPr>
          <w:trHeight w:val="193"/>
        </w:trPr>
        <w:tc>
          <w:tcPr>
            <w:tcW w:w="4760" w:type="dxa"/>
            <w:vAlign w:val="bottom"/>
          </w:tcPr>
          <w:p>
            <w:pPr>
              <w:spacing w:after="0"/>
              <w:rPr>
                <w:sz w:val="16"/>
                <w:szCs w:val="16"/>
                <w:color w:val="auto"/>
              </w:rPr>
            </w:pPr>
          </w:p>
        </w:tc>
        <w:tc>
          <w:tcPr>
            <w:tcW w:w="2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760" w:type="dxa"/>
            <w:vAlign w:val="bottom"/>
          </w:tcPr>
          <w:p>
            <w:pPr>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8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  268,025</w:t>
            </w:r>
          </w:p>
        </w:tc>
        <w:tc>
          <w:tcPr>
            <w:tcW w:w="2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266,417</w:t>
            </w:r>
          </w:p>
        </w:tc>
      </w:tr>
      <w:tr>
        <w:trPr>
          <w:trHeight w:val="193"/>
        </w:trPr>
        <w:tc>
          <w:tcPr>
            <w:tcW w:w="4760" w:type="dxa"/>
            <w:vAlign w:val="bottom"/>
          </w:tcPr>
          <w:p>
            <w:pPr>
              <w:spacing w:after="0"/>
              <w:rPr>
                <w:sz w:val="16"/>
                <w:szCs w:val="16"/>
                <w:color w:val="auto"/>
              </w:rPr>
            </w:pPr>
          </w:p>
        </w:tc>
        <w:tc>
          <w:tcPr>
            <w:tcW w:w="2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2019-12-12T11:34:27Z</dcterms:created>
  <dcterms:modified xsi:type="dcterms:W3CDTF">2019-12-12T11:34:27Z</dcterms:modified>
</cp:coreProperties>
</file>