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4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44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BURWELL THOMAS C. Jr.</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03/16/2016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55"/>
        <w:spacing w:after="0"/>
        <w:rPr>
          <w:sz w:val="20"/>
          <w:szCs w:val="20"/>
          <w:color w:val="auto"/>
        </w:rPr>
      </w:pPr>
      <w:r>
        <w:rPr>
          <w:rFonts w:ascii="Arial" w:cs="Arial" w:eastAsia="Arial" w:hAnsi="Arial"/>
          <w:sz w:val="17"/>
          <w:szCs w:val="17"/>
          <w:color w:val="0000FF"/>
        </w:rPr>
        <w:t>VP-CAO and Corporate Controlle</w:t>
      </w:r>
    </w:p>
    <w:p>
      <w:pPr>
        <w:spacing w:after="0" w:line="333"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60" w:type="dxa"/>
            <w:vAlign w:val="bottom"/>
            <w:gridSpan w:val="9"/>
          </w:tcPr>
          <w:p>
            <w:pPr>
              <w:jc w:val="center"/>
              <w:ind w:right="72"/>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TN</w:t>
            </w:r>
          </w:p>
        </w:tc>
        <w:tc>
          <w:tcPr>
            <w:tcW w:w="900" w:type="dxa"/>
            <w:vAlign w:val="bottom"/>
          </w:tcPr>
          <w:p>
            <w:pPr>
              <w:spacing w:after="0"/>
              <w:rPr>
                <w:sz w:val="10"/>
                <w:szCs w:val="10"/>
                <w:color w:val="auto"/>
              </w:rPr>
            </w:pPr>
          </w:p>
        </w:tc>
        <w:tc>
          <w:tcPr>
            <w:tcW w:w="1320" w:type="dxa"/>
            <w:vAlign w:val="bottom"/>
            <w:vMerge w:val="restart"/>
          </w:tcPr>
          <w:p>
            <w:pPr>
              <w:ind w:left="100"/>
              <w:spacing w:after="0"/>
              <w:rPr>
                <w:sz w:val="20"/>
                <w:szCs w:val="20"/>
                <w:color w:val="auto"/>
              </w:rPr>
            </w:pPr>
            <w:r>
              <w:rPr>
                <w:rFonts w:ascii="Arial" w:cs="Arial" w:eastAsia="Arial" w:hAnsi="Arial"/>
                <w:sz w:val="17"/>
                <w:szCs w:val="17"/>
                <w:color w:val="0000FF"/>
              </w:rPr>
              <w:t>37604</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960" w:type="dxa"/>
            <w:vAlign w:val="bottom"/>
            <w:tcBorders>
              <w:bottom w:val="single" w:sz="8" w:color="2C2C2C"/>
            </w:tcBorders>
            <w:gridSpan w:val="7"/>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gridSpan w:val="2"/>
          </w:tcPr>
          <w:p>
            <w:pPr>
              <w:ind w:left="88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jc w:val="right"/>
              <w:ind w:right="12"/>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03/16/2016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82"/>
              </w:rPr>
              <w:t>3,945</w:t>
            </w:r>
            <w:r>
              <w:rPr>
                <w:rFonts w:ascii="Arial" w:cs="Arial" w:eastAsia="Arial" w:hAnsi="Arial"/>
                <w:sz w:val="22"/>
                <w:szCs w:val="22"/>
                <w:color w:val="008000"/>
                <w:w w:val="82"/>
                <w:vertAlign w:val="superscript"/>
              </w:rPr>
              <w:t>(1)</w:t>
            </w:r>
          </w:p>
        </w:tc>
        <w:tc>
          <w:tcPr>
            <w:tcW w:w="64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31,044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4"/>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80" w:type="dxa"/>
            <w:vAlign w:val="bottom"/>
            <w:gridSpan w:val="12"/>
          </w:tcPr>
          <w:p>
            <w:pPr>
              <w:jc w:val="center"/>
              <w:ind w:left="5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60" w:type="dxa"/>
            <w:vAlign w:val="bottom"/>
          </w:tcPr>
          <w:p>
            <w:pPr>
              <w:ind w:left="340"/>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03/16/2016</w:t>
            </w:r>
          </w:p>
        </w:tc>
        <w:tc>
          <w:tcPr>
            <w:tcW w:w="13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rPr>
              <w:t>3,945</w:t>
            </w:r>
          </w:p>
        </w:tc>
        <w:tc>
          <w:tcPr>
            <w:tcW w:w="340" w:type="dxa"/>
            <w:vAlign w:val="bottom"/>
          </w:tcPr>
          <w:p>
            <w:pPr>
              <w:spacing w:after="0"/>
              <w:rPr>
                <w:sz w:val="20"/>
                <w:szCs w:val="20"/>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660" w:type="dxa"/>
            <w:vAlign w:val="bottom"/>
          </w:tcPr>
          <w:p>
            <w:pPr>
              <w:ind w:left="240"/>
              <w:spacing w:after="0"/>
              <w:rPr>
                <w:sz w:val="20"/>
                <w:szCs w:val="20"/>
                <w:color w:val="auto"/>
              </w:rPr>
            </w:pPr>
            <w:r>
              <w:rPr>
                <w:rFonts w:ascii="Arial" w:cs="Arial" w:eastAsia="Arial" w:hAnsi="Arial"/>
                <w:sz w:val="11"/>
                <w:szCs w:val="11"/>
                <w:color w:val="008000"/>
              </w:rPr>
              <w:t>(3)</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3,945</w:t>
            </w:r>
          </w:p>
        </w:tc>
        <w:tc>
          <w:tcPr>
            <w:tcW w:w="60" w:type="dxa"/>
            <w:vAlign w:val="bottom"/>
          </w:tcPr>
          <w:p>
            <w:pPr>
              <w:spacing w:after="0"/>
              <w:rPr>
                <w:sz w:val="20"/>
                <w:szCs w:val="20"/>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3,945</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which vest in three equal annual installments beginning on March 16, 2017.</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1" w:lineRule="exact"/>
        <w:rPr>
          <w:rFonts w:ascii="Arial" w:cs="Arial" w:eastAsia="Arial" w:hAnsi="Arial"/>
          <w:sz w:val="13"/>
          <w:szCs w:val="13"/>
          <w:color w:val="008000"/>
        </w:rPr>
      </w:pPr>
    </w:p>
    <w:p>
      <w:pPr>
        <w:ind w:left="40" w:right="140" w:firstLine="7"/>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is based on the relative total shareholder return ("TSR") of the Issuer, as compared to the TSR of the S&amp;P SmallCap 600 Index over the period beginning on January 1, 2016 and ending December 31, 2018. The performance rights will vest on December 31, 2018 subject to the reporting person's continuous employment through December 31, 2018 and subject to certain conditions as set forth in the Issuer's 2011 Stock Incentive Plan. Performance rights granted represent the right to receive the target shares, and actual performance rights earned may be between 50% and 150% of the target shares. Performance rights that do not vest on December 31, 2018 expire automatically.</w:t>
      </w:r>
    </w:p>
    <w:p>
      <w:pPr>
        <w:spacing w:after="0" w:line="4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William C. Kelly, Jr. by</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03/18/2016</w:t>
            </w:r>
          </w:p>
        </w:tc>
        <w:tc>
          <w:tcPr>
            <w:tcW w:w="0" w:type="dxa"/>
            <w:vAlign w:val="bottom"/>
          </w:tcPr>
          <w:p>
            <w:pPr>
              <w:spacing w:after="0"/>
              <w:rPr>
                <w:sz w:val="1"/>
                <w:szCs w:val="1"/>
                <w:color w:val="auto"/>
              </w:rPr>
            </w:pPr>
          </w:p>
        </w:tc>
      </w:tr>
      <w:tr>
        <w:trPr>
          <w:trHeight w:val="87"/>
        </w:trPr>
        <w:tc>
          <w:tcPr>
            <w:tcW w:w="18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2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6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9081"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2019-12-23T21:42:19Z</dcterms:created>
  <dcterms:modified xsi:type="dcterms:W3CDTF">2019-12-23T21:42:19Z</dcterms:modified>
</cp:coreProperties>
</file>