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SECURITIES AND EXCHANGE COMMISSION</w:t>
      </w: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PURSUANT TO SECTION 13 OR 15(d)</w:t>
      </w:r>
    </w:p>
    <w:p>
      <w:pPr>
        <w:jc w:val="center"/>
        <w:ind w:right="-5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760"/>
        <w:spacing w:after="0"/>
        <w:rPr>
          <w:sz w:val="20"/>
          <w:szCs w:val="20"/>
          <w:color w:val="auto"/>
        </w:rPr>
      </w:pPr>
      <w:r>
        <w:rPr>
          <w:rFonts w:ascii="Arial" w:cs="Arial" w:eastAsia="Arial" w:hAnsi="Arial"/>
          <w:sz w:val="21"/>
          <w:szCs w:val="21"/>
          <w:b w:val="1"/>
          <w:bCs w:val="1"/>
          <w:color w:val="auto"/>
        </w:rPr>
        <w:t>Date of Report (Date of earliest event reported): March 10,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353060</wp:posOffset>
            </wp:positionV>
            <wp:extent cx="660400" cy="651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40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59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740" w:space="720"/>
            <w:col w:w="2980" w:space="720"/>
            <w:col w:w="1660"/>
          </w:cols>
          <w:pgMar w:left="240" w:top="368" w:right="83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 of</w:t>
      </w:r>
    </w:p>
    <w:p>
      <w:pPr>
        <w:jc w:val="center"/>
        <w:ind w:right="80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780"/>
          </w:cols>
          <w:pgMar w:left="240" w:top="368" w:right="839" w:bottom="1440" w:gutter="0" w:footer="0" w:header="0"/>
          <w:type w:val="continuous"/>
        </w:sectPr>
      </w:pPr>
    </w:p>
    <w:p>
      <w:pPr>
        <w:spacing w:after="0" w:line="33" w:lineRule="exact"/>
        <w:rPr>
          <w:sz w:val="24"/>
          <w:szCs w:val="24"/>
          <w:color w:val="auto"/>
        </w:rPr>
      </w:pPr>
    </w:p>
    <w:p>
      <w:pPr>
        <w:ind w:left="2840"/>
        <w:spacing w:after="0"/>
        <w:rPr>
          <w:sz w:val="20"/>
          <w:szCs w:val="20"/>
          <w:color w:val="auto"/>
        </w:rPr>
      </w:pPr>
      <w:r>
        <w:rPr>
          <w:rFonts w:ascii="Arial" w:cs="Arial" w:eastAsia="Arial" w:hAnsi="Arial"/>
          <w:sz w:val="17"/>
          <w:szCs w:val="17"/>
          <w:b w:val="1"/>
          <w:bCs w:val="1"/>
          <w:color w:val="auto"/>
        </w:rPr>
        <w:t>207 Mockingbird Lane</w:t>
      </w:r>
    </w:p>
    <w:p>
      <w:pPr>
        <w:spacing w:after="0" w:line="39" w:lineRule="exact"/>
        <w:rPr>
          <w:sz w:val="24"/>
          <w:szCs w:val="24"/>
          <w:color w:val="auto"/>
        </w:rPr>
      </w:pPr>
    </w:p>
    <w:p>
      <w:pPr>
        <w:ind w:left="2800"/>
        <w:spacing w:after="0"/>
        <w:rPr>
          <w:sz w:val="20"/>
          <w:szCs w:val="20"/>
          <w:color w:val="auto"/>
        </w:rPr>
      </w:pPr>
      <w:r>
        <w:rPr>
          <w:rFonts w:ascii="Arial" w:cs="Arial" w:eastAsia="Arial" w:hAnsi="Arial"/>
          <w:sz w:val="15"/>
          <w:szCs w:val="15"/>
          <w:b w:val="1"/>
          <w:bCs w:val="1"/>
          <w:color w:val="auto"/>
        </w:rPr>
        <w:t>Johnson City, Tennessee</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37604</w:t>
      </w:r>
    </w:p>
    <w:p>
      <w:pPr>
        <w:spacing w:after="0" w:line="61" w:lineRule="exact"/>
        <w:rPr>
          <w:sz w:val="24"/>
          <w:szCs w:val="24"/>
          <w:color w:val="auto"/>
        </w:rPr>
      </w:pPr>
    </w:p>
    <w:p>
      <w:pPr>
        <w:sectPr>
          <w:pgSz w:w="11900" w:h="16838" w:orient="portrait"/>
          <w:cols w:equalWidth="0" w:num="2">
            <w:col w:w="6960" w:space="720"/>
            <w:col w:w="3140"/>
          </w:cols>
          <w:pgMar w:left="240" w:top="368" w:right="839" w:bottom="1440" w:gutter="0" w:footer="0" w:header="0"/>
          <w:type w:val="continuous"/>
        </w:sectPr>
      </w:pPr>
    </w:p>
    <w:p>
      <w:pPr>
        <w:jc w:val="center"/>
        <w:ind w:left="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600"/>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6840" w:space="720"/>
            <w:col w:w="3260"/>
          </w:cols>
          <w:pgMar w:left="240" w:top="368" w:right="839" w:bottom="1440" w:gutter="0" w:footer="0" w:header="0"/>
          <w:type w:val="continuous"/>
        </w:sectPr>
      </w:pPr>
    </w:p>
    <w:p>
      <w:pPr>
        <w:jc w:val="center"/>
        <w:ind w:right="-619"/>
        <w:spacing w:after="0"/>
        <w:rPr>
          <w:sz w:val="20"/>
          <w:szCs w:val="20"/>
          <w:color w:val="auto"/>
        </w:rPr>
      </w:pPr>
      <w:r>
        <w:rPr>
          <w:rFonts w:ascii="Arial" w:cs="Arial" w:eastAsia="Arial" w:hAnsi="Arial"/>
          <w:sz w:val="18"/>
          <w:szCs w:val="18"/>
          <w:b w:val="1"/>
          <w:bCs w:val="1"/>
          <w:color w:val="auto"/>
        </w:rPr>
        <w:t>(423) 434-8310</w:t>
      </w:r>
    </w:p>
    <w:p>
      <w:pPr>
        <w:spacing w:after="0" w:line="21"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2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On March 10, 2016, NN, Inc. (the “Company”) issued a press release announcing the Company’s results of operations and financial condition for the three and twelve months ended December 31, 2015. The full text of the press release is furnished as Exhibit 99.1 and is incorporated herein by reference.</w:t>
      </w:r>
    </w:p>
    <w:p>
      <w:pPr>
        <w:spacing w:after="0" w:line="12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Pursuant to the rules and regulations of the U.S. Securities and Exchange Commission (the “SEC”), the information furnished pursuant to Item 2.02 of this Current Report on Form 8-K is deemed to have been furnished and shall not be deemed to be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3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380" w:type="dxa"/>
            <w:vAlign w:val="bottom"/>
          </w:tcPr>
          <w:p>
            <w:pPr>
              <w:spacing w:after="0"/>
              <w:rPr>
                <w:sz w:val="14"/>
                <w:szCs w:val="14"/>
                <w:color w:val="auto"/>
              </w:rPr>
            </w:pPr>
          </w:p>
        </w:tc>
        <w:tc>
          <w:tcPr>
            <w:tcW w:w="3920" w:type="dxa"/>
            <w:vAlign w:val="bottom"/>
            <w:gridSpan w:val="3"/>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3920" w:type="dxa"/>
            <w:vAlign w:val="bottom"/>
            <w:gridSpan w:val="3"/>
          </w:tcPr>
          <w:p>
            <w:pPr>
              <w:ind w:left="400"/>
              <w:spacing w:after="0"/>
              <w:rPr>
                <w:sz w:val="20"/>
                <w:szCs w:val="20"/>
                <w:color w:val="auto"/>
              </w:rPr>
            </w:pPr>
            <w:r>
              <w:rPr>
                <w:rFonts w:ascii="Arial" w:cs="Arial" w:eastAsia="Arial" w:hAnsi="Arial"/>
                <w:sz w:val="18"/>
                <w:szCs w:val="18"/>
                <w:color w:val="auto"/>
                <w:w w:val="89"/>
              </w:rPr>
              <w:t>Press Release of NN, Inc. dated March 10, 2016.</w:t>
            </w:r>
          </w:p>
        </w:tc>
      </w:tr>
    </w:tbl>
    <w:p>
      <w:pPr>
        <w:sectPr>
          <w:pgSz w:w="11900" w:h="16838" w:orient="portrait"/>
          <w:cols w:equalWidth="0" w:num="1">
            <w:col w:w="11320"/>
          </w:cols>
          <w:pgMar w:left="240" w:top="270" w:right="33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2016</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 Senior Vice President and General Counsel</w:t>
      </w:r>
    </w:p>
    <w:p>
      <w:pPr>
        <w:sectPr>
          <w:pgSz w:w="11900" w:h="16838" w:orient="portrait"/>
          <w:cols w:equalWidth="0" w:num="1">
            <w:col w:w="10740"/>
          </w:cols>
          <w:pgMar w:left="240" w:top="270" w:right="91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380" w:type="dxa"/>
            <w:vAlign w:val="bottom"/>
          </w:tcPr>
          <w:p>
            <w:pPr>
              <w:spacing w:after="0"/>
              <w:rPr>
                <w:sz w:val="14"/>
                <w:szCs w:val="14"/>
                <w:color w:val="auto"/>
              </w:rPr>
            </w:pPr>
          </w:p>
        </w:tc>
        <w:tc>
          <w:tcPr>
            <w:tcW w:w="3920" w:type="dxa"/>
            <w:vAlign w:val="bottom"/>
            <w:gridSpan w:val="3"/>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3920" w:type="dxa"/>
            <w:vAlign w:val="bottom"/>
            <w:gridSpan w:val="3"/>
          </w:tcPr>
          <w:p>
            <w:pPr>
              <w:ind w:left="400"/>
              <w:spacing w:after="0"/>
              <w:rPr>
                <w:sz w:val="20"/>
                <w:szCs w:val="20"/>
                <w:color w:val="auto"/>
              </w:rPr>
            </w:pPr>
            <w:r>
              <w:rPr>
                <w:rFonts w:ascii="Arial" w:cs="Arial" w:eastAsia="Arial" w:hAnsi="Arial"/>
                <w:sz w:val="18"/>
                <w:szCs w:val="18"/>
                <w:color w:val="auto"/>
                <w:w w:val="89"/>
              </w:rPr>
              <w:t>Press Release of NN, Inc. dated March 10, 2016.</w:t>
            </w:r>
          </w:p>
        </w:tc>
      </w:tr>
    </w:tbl>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172085</wp:posOffset>
            </wp:positionV>
            <wp:extent cx="1878330"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78330" cy="5918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917575</wp:posOffset>
            </wp:positionV>
            <wp:extent cx="150050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0050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207 Mockingbird Lane</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Johnson City, TN 37604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Robbie Atkinson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Corporate Treasurer &amp;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(423) 434-8398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AT FINANCIAL RELATIONS BOARD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Marilynn Meek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212-827-3773</w:t>
      </w:r>
    </w:p>
    <w:p>
      <w:pPr>
        <w:spacing w:after="0" w:line="200" w:lineRule="exact"/>
        <w:rPr>
          <w:sz w:val="20"/>
          <w:szCs w:val="20"/>
          <w:color w:val="auto"/>
        </w:rPr>
      </w:pPr>
    </w:p>
    <w:p>
      <w:pPr>
        <w:sectPr>
          <w:pgSz w:w="11900" w:h="16838" w:orient="portrait"/>
          <w:cols w:equalWidth="0" w:num="2">
            <w:col w:w="5340" w:space="720"/>
            <w:col w:w="5360"/>
          </w:cols>
          <w:pgMar w:left="240" w:top="121" w:right="23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10, 2016</w:t>
      </w:r>
    </w:p>
    <w:p>
      <w:pPr>
        <w:sectPr>
          <w:pgSz w:w="11900" w:h="16838" w:orient="portrait"/>
          <w:cols w:equalWidth="0" w:num="1">
            <w:col w:w="11420"/>
          </w:cols>
          <w:pgMar w:left="240" w:top="121" w:right="239" w:bottom="1440" w:gutter="0" w:footer="0" w:header="0"/>
          <w:type w:val="continuous"/>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REPORTS FOURTH QUARTER 2015 RESULTS IN LINE WITH COMPANY GUIDANCE</w:t>
      </w:r>
    </w:p>
    <w:p>
      <w:pPr>
        <w:spacing w:after="0" w:line="252"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Net sales of $183.9 million, an increase of $30.1 million</w:t>
      </w:r>
    </w:p>
    <w:p>
      <w:pPr>
        <w:spacing w:after="0" w:line="130" w:lineRule="exact"/>
        <w:rPr>
          <w:rFonts w:ascii="Arial" w:cs="Arial" w:eastAsia="Arial" w:hAnsi="Arial"/>
          <w:sz w:val="18"/>
          <w:szCs w:val="18"/>
          <w:b w:val="1"/>
          <w:bCs w:val="1"/>
          <w:color w:val="auto"/>
        </w:rPr>
      </w:pPr>
    </w:p>
    <w:p>
      <w:pPr>
        <w:ind w:left="900" w:hanging="325"/>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Adjusted income from operations grew to $19.4 million</w:t>
      </w:r>
    </w:p>
    <w:p>
      <w:pPr>
        <w:spacing w:after="0" w:line="130" w:lineRule="exact"/>
        <w:rPr>
          <w:rFonts w:ascii="Arial" w:cs="Arial" w:eastAsia="Arial" w:hAnsi="Arial"/>
          <w:sz w:val="18"/>
          <w:szCs w:val="18"/>
          <w:b w:val="1"/>
          <w:bCs w:val="1"/>
          <w:color w:val="auto"/>
        </w:rPr>
      </w:pPr>
    </w:p>
    <w:p>
      <w:pPr>
        <w:ind w:left="900" w:hanging="325"/>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Adjusted net income of $6.8 million or $0.25 per diluted share</w:t>
      </w:r>
    </w:p>
    <w:p>
      <w:pPr>
        <w:spacing w:after="0" w:line="225"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Johnson City, Tenn, March 10, 2016 – </w:t>
      </w:r>
      <w:r>
        <w:rPr>
          <w:rFonts w:ascii="Arial" w:cs="Arial" w:eastAsia="Arial" w:hAnsi="Arial"/>
          <w:sz w:val="18"/>
          <w:szCs w:val="18"/>
          <w:color w:val="auto"/>
        </w:rPr>
        <w:t>NN, Inc., (NASDAQ: NNBR), a diversified industrial company, today reported its financial results for the fourth</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and year ended December 31, 2015.</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2015 Results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Net sales for the fourth quarter of 2015 increased $30.1 million, or 20% to $183.9 million, compared to $153.8 million for the fourth quarter of</w:t>
      </w:r>
    </w:p>
    <w:p>
      <w:pPr>
        <w:spacing w:after="0" w:line="3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2014. Acquisitions added $42.2 million in revenue. Negative currency impacts reduced reported net sales by $11.7 million versus the fourth quarter of last year.</w:t>
      </w:r>
    </w:p>
    <w:p>
      <w:pPr>
        <w:spacing w:after="0" w:line="184"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Adjusted income from operations for the fourth quarter of 2015 was $19.4 million, an increase of 63%, compared to $11.9 million for the same period in 2014. Adjusted net income was $6.8 million, or $0.25 per diluted share, compared to $6.7 million, or $0.35 per diluted share for the same period in 2014.</w:t>
      </w:r>
    </w:p>
    <w:p>
      <w:pPr>
        <w:spacing w:after="0" w:line="12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Richard Holder, President and Chief Executive Officer, commented, “Our performance for the quarter was in line with our guidance and expectations. Our operations continued to make improvements under the NN Operating System as we began in earnest to transform how we go to market.”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Results</w:t>
      </w:r>
    </w:p>
    <w:p>
      <w:pPr>
        <w:spacing w:after="0" w:line="121"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Net sales for the fiscal year 2015 increased $178.7 million, or 37%, to $667.3 million, compared to $488.6 million for the year ended December 31, 2014. Acquisitions added $212.5 million in revenue. Negative currency impacts reduced reported net sales by $39.1 million versus the prior year.</w:t>
      </w:r>
    </w:p>
    <w:p>
      <w:pPr>
        <w:sectPr>
          <w:pgSz w:w="11900" w:h="16838" w:orient="portrait"/>
          <w:cols w:equalWidth="0" w:num="1">
            <w:col w:w="11420"/>
          </w:cols>
          <w:pgMar w:left="240" w:top="121" w:right="239" w:bottom="1440" w:gutter="0" w:footer="0" w:header="0"/>
          <w:type w:val="continuous"/>
        </w:sectPr>
      </w:pPr>
    </w:p>
    <w:bookmarkStart w:id="5" w:name="page6"/>
    <w:bookmarkEnd w:id="5"/>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income from operations for the year ended December 31, 2015 was $65.7 million, an increase of 59%, compared to $41.2 million for fiscal year 2014. Adjusted net income increased to $32.4 million, or $1.53 per diluted share, compared to $25.0 million, or $1.37 per diluted share for the same period in 2014.</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Mr. Holder commented, “2015 saw the Company diversify its market segment exposure as we continue to deliver on our commitments to improve our operating performance through the implementation of the NN Operating System. We are looking forward to 2016 when we will continue to execute on our strategic plan”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Group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Autocam Precision Components</w:t>
      </w:r>
    </w:p>
    <w:p>
      <w:pPr>
        <w:spacing w:after="0" w:line="12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Net sales for the fourth quarter of 2015 were $75.9 million, compared to $81.6 million in the fourth quarter of 2014, a decrease of $5.7 million. Negative currency and economic conditions, primarily in South America accounted for the decline. Adjusted income from operations for the quarter increased $0.6 million to $8.7 million, compared to $8.1 million in the fourth quarter of 2014.</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Holder commented, “Despite persistent challenges related to currency and macro-economic headwinds in South America, using the NN Operating System our APC business and their focus on CAFE Technologies continues to perform well.”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Precision Bearing Components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sales for the group decreased $5.7 million to $58.8 million during the fourth quarter of 2015, compared to $64.5 million for fourth quarter 2014. Negative currency impacts of $7.1 million accounted for the decline. Adjusted income from operations for the fourth quarter was $3.3 million, compared to $7.0 million in the fourth quarter of 2014.</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Holder commented, “Beginning with the fourth quarter we have rebranded our bearing components group as the Precision Bearing Components group. This important change aligns with our core belief that everything we do requires precision and provides for the group’s continued increase in production in materials other than metal.” Holder continued, “The continued effects of negative currency translation as well as the organizational realignments made during the year weighed on our PBC business during the quarter. Beginning in the first quarter of 2016, we expect these pressures to subside.”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Precision Engineered Products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Holder continued, “As we discussed on the third quarter conference call and beginning with the fourth quarter our precision plastics portfolio has been absorbed into the PEP group.”</w:t>
      </w:r>
    </w:p>
    <w:p>
      <w:pPr>
        <w:sectPr>
          <w:pgSz w:w="11900" w:h="16838" w:orient="portrait"/>
          <w:cols w:equalWidth="0" w:num="1">
            <w:col w:w="11400"/>
          </w:cols>
          <w:pgMar w:left="240" w:top="274" w:right="259" w:bottom="1440" w:gutter="0" w:footer="0" w:header="0"/>
        </w:sectPr>
      </w:pPr>
    </w:p>
    <w:bookmarkStart w:id="6" w:name="page7"/>
    <w:bookmarkEnd w:id="6"/>
    <w:p>
      <w:pPr>
        <w:ind w:right="2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sales for the fourth quarter increased $41.4 million to $49.1 million, compared to $7.7 million for the same period in 2014. Acquisitions accounted for $42.2 million of the increase. Adjusted income from operations for the quarter was $10.1 million, compared to $0.4 million in 2014.</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Holder continued, “The acquisition of PEP was an important step in our strategic plan to expand our market segments, balance our cyclicality and enhance our value on an ongoing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Guidance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Holder continued, “We continue to be optimistic about the opportunities in many of our market segments for 2016 and reaffirm our guidance for the year.”</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full set of financial guidance for the first quarter and full year 2016 can be found in our supplemental presentation posted in the Investor Relations section of our website at </w:t>
      </w:r>
      <w:r>
        <w:rPr>
          <w:rFonts w:ascii="Arial" w:cs="Arial" w:eastAsia="Arial" w:hAnsi="Arial"/>
          <w:sz w:val="18"/>
          <w:szCs w:val="18"/>
          <w:u w:val="single" w:color="auto"/>
          <w:color w:val="auto"/>
        </w:rPr>
        <w:t>www.nninc.com</w:t>
      </w:r>
      <w:r>
        <w:rPr>
          <w:rFonts w:ascii="Arial" w:cs="Arial" w:eastAsia="Arial" w:hAnsi="Arial"/>
          <w:sz w:val="18"/>
          <w:szCs w:val="18"/>
          <w:color w:val="auto"/>
        </w:rPr>
        <w:t>.</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Holder concluded, “The fourth quarter was a transformational time in NN’s history. With the completion of the PEP acquisition we now have the market segments and diversification laid out in our strategic plan to compete across the economic cycle. Using the NN Operating System, 2016 will be a year when we focus on deleveraging and unlocking the growth potential within all our market segments.”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Results</w:t>
      </w:r>
    </w:p>
    <w:p>
      <w:pPr>
        <w:spacing w:after="0" w:line="12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On a GAAP basis, income from operations for the fourth quarter of 2015 was negative $8.9 million, compared to $8.6 million for the same period in 2014. Net income on a GAAP basis for fourth quarter of 2015 resulted in a net loss of $27.1 million, or $(1.01) per diluted share. This compares to net income of $1.6 million, or $0.08 per diluted share in the fourth quarter of 2014. The loss in fourth quarter 2015 was driven by acquisition, financing and restructuring costs, which totaled $30.1 million, net of tax.</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 GAAP basis, income from operations for the year ending December 31, 2015 was $28.7 million, compared to $27.7 million for the same period in 2014. Net income on a GAAP basis for fiscal year 2015 resulted in a net loss $9.6 million, or $(0.45) per diluted share. This compares to net income of $8.2 million, or $0.45 per diluted share in fiscal year 2014. The loss for fiscal year 2015 was driven primarily by acquisition, financing and restructuring costs, which totaled $33.9 million, net of tax.</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a GAAP basis, income from operations for fourth quarter 2015 in the Autocam Precision Components Group was $4.0 million compared to $7.1 million for the same period in 2014.</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 GAAP basis, income from operations for fourth quarter 2015 in the Precision Bearing Components Group was $1.2 million compared to $6.8 million for the same period in 2014.</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a GAAP basis, income from operations for fourth quarter 2015 in the Precision Engineer Products Group was negative $5.0 million compared to $0.4 million for the same period in 2014.</w:t>
      </w:r>
    </w:p>
    <w:p>
      <w:pPr>
        <w:spacing w:after="0" w:line="170" w:lineRule="exact"/>
        <w:rPr>
          <w:sz w:val="20"/>
          <w:szCs w:val="20"/>
          <w:color w:val="auto"/>
        </w:rPr>
      </w:pPr>
    </w:p>
    <w:p>
      <w:pPr>
        <w:ind w:right="300" w:firstLine="8"/>
        <w:spacing w:after="0" w:line="277" w:lineRule="auto"/>
        <w:tabs>
          <w:tab w:leader="none" w:pos="30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will discuss its results during its quarterly investor conference call tomorrow morning starting at 9:00 a.m. ET. The call and supplemental presentation may be accessed via NN’s website, </w:t>
      </w:r>
      <w:r>
        <w:rPr>
          <w:rFonts w:ascii="Arial" w:cs="Arial" w:eastAsia="Arial" w:hAnsi="Arial"/>
          <w:sz w:val="18"/>
          <w:szCs w:val="18"/>
          <w:u w:val="single" w:color="auto"/>
          <w:color w:val="auto"/>
        </w:rPr>
        <w:t>www.nninc.com</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7" w:name="page8"/>
    <w:bookmarkEnd w:id="7"/>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conference call can also be accessed by dialing 800-505-9568 or 416-204-9271 Conference ID: 7636495. For those who are unavailable to listen to the live broadcast, a replay will be available shortly after the call for 90 days.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discloses in this press release the non-GAAP financial measures of adjusted income from operations and adjusted net income. Each of adjusted income from operations and adjusted net income provide supplementary information about the impacts of acquisition related expenses, foreign-exchange and other non-operating impacts on our business.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attached financial tables include a reconciliation of adjusted income from operations and adjusted net income to the U.S. GAAP financial measures of income from operations and net income.</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Johnson City, Tennessee, NN has 42 manufacturing plants in North America, Western Europe, Eastern Europe, South America and China.</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completed acquisitions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83"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2014 and the Quarterly Report on Form 10-Q for the quarterly period ended September 30, 2015. Except as required by law, we undertake no obligation to update or revise any forward-looking statements we make in our press releases, whether as a result of new information, future events or otherwise.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Financial Tables Follow</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7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6"/>
              </w:rPr>
              <w:t>Twelve Months Ended</w:t>
            </w:r>
          </w:p>
        </w:tc>
        <w:tc>
          <w:tcPr>
            <w:tcW w:w="0" w:type="dxa"/>
            <w:vAlign w:val="bottom"/>
          </w:tcPr>
          <w:p>
            <w:pPr>
              <w:spacing w:after="0"/>
              <w:rPr>
                <w:sz w:val="1"/>
                <w:szCs w:val="1"/>
                <w:color w:val="auto"/>
              </w:rPr>
            </w:pPr>
          </w:p>
        </w:tc>
      </w:tr>
      <w:tr>
        <w:trPr>
          <w:trHeight w:val="176"/>
        </w:trPr>
        <w:tc>
          <w:tcPr>
            <w:tcW w:w="720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 Except Per Share Data)</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7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72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1"/>
              <w:spacing w:after="0" w:line="158"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2"/>
              <w:spacing w:after="0" w:line="158"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1"/>
              <w:spacing w:after="0" w:line="158"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Net sales</w:t>
            </w:r>
          </w:p>
        </w:tc>
        <w:tc>
          <w:tcPr>
            <w:tcW w:w="4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183,855</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153,761</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667,280</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488,601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w w:val="99"/>
              </w:rPr>
              <w:t>Cost of products sold (exclusive of depreciation and amortization shown separately below)</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147,773</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119,879</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525,993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384,889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14,771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13,957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51,902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6,256</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10,884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18,780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8,322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44,482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Restructuring and impairment charges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5,195</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5,294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8,560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13,357</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5,556</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29,899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Write-off of unamortized debt issuance cost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18,673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3,103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Income before provision (benefit) for income taxes and share of net income from joint venture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(42,041)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2,551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(22,950)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(13,923)</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(9,914)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Net income (loss)</w:t>
            </w:r>
          </w:p>
        </w:tc>
        <w:tc>
          <w:tcPr>
            <w:tcW w:w="4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(27,167)</w:t>
            </w:r>
          </w:p>
        </w:tc>
        <w:tc>
          <w:tcPr>
            <w:tcW w:w="3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income (loss) per common share: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26,840</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19,317</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income (loss) per common share: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26,840</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19,317</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2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 of Dollars)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15,087</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37,317</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123,005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97,510</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119,783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91,469</w:t>
            </w:r>
          </w:p>
        </w:tc>
        <w:tc>
          <w:tcPr>
            <w:tcW w:w="0" w:type="dxa"/>
            <w:vAlign w:val="bottom"/>
          </w:tcPr>
          <w:p>
            <w:pPr>
              <w:spacing w:after="0"/>
              <w:rPr>
                <w:sz w:val="1"/>
                <w:szCs w:val="1"/>
                <w:color w:val="auto"/>
              </w:rPr>
            </w:pPr>
          </w:p>
        </w:tc>
      </w:tr>
      <w:tr>
        <w:trPr>
          <w:trHeight w:val="223"/>
        </w:trPr>
        <w:tc>
          <w:tcPr>
            <w:tcW w:w="922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22,698</w:t>
            </w:r>
          </w:p>
        </w:tc>
        <w:tc>
          <w:tcPr>
            <w:tcW w:w="2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16,503</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280,573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242,799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318,968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278,442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453,882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83,941</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Intangible asset,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282,169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52,827</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38,459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34,703</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24,748</w:t>
            </w:r>
          </w:p>
        </w:tc>
        <w:tc>
          <w:tcPr>
            <w:tcW w:w="2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20,001</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1,398,799</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712,713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69,101</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71,094</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salaries, wages and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21,125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21,148</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8,650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22,160</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Arial" w:cs="Arial" w:eastAsia="Arial" w:hAnsi="Arial"/>
                <w:sz w:val="18"/>
                <w:szCs w:val="18"/>
                <w:color w:val="auto"/>
              </w:rPr>
              <w:t>Current portion of obligations under capital lease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4,786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21,275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14,504</w:t>
            </w:r>
          </w:p>
        </w:tc>
        <w:tc>
          <w:tcPr>
            <w:tcW w:w="0" w:type="dxa"/>
            <w:vAlign w:val="bottom"/>
          </w:tcPr>
          <w:p>
            <w:pPr>
              <w:spacing w:after="0"/>
              <w:rPr>
                <w:sz w:val="1"/>
                <w:szCs w:val="1"/>
                <w:color w:val="auto"/>
              </w:rPr>
            </w:pPr>
          </w:p>
        </w:tc>
      </w:tr>
      <w:tr>
        <w:trPr>
          <w:trHeight w:val="223"/>
        </w:trPr>
        <w:tc>
          <w:tcPr>
            <w:tcW w:w="922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136,651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137,598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121,585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49,461</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808,359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328,026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Accrued post-employment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Obligations under capital lease, net of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9,573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14,539</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1,087,067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539,014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311,732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173,699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1,398,799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712,713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adjusted net income: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20"/>
                <w:szCs w:val="20"/>
                <w:color w:val="auto"/>
              </w:rPr>
            </w:pPr>
            <w:r>
              <w:rPr>
                <w:rFonts w:ascii="Arial" w:cs="Arial" w:eastAsia="Arial" w:hAnsi="Arial"/>
                <w:sz w:val="18"/>
                <w:szCs w:val="18"/>
                <w:color w:val="auto"/>
              </w:rPr>
              <w:t>NN, Inc. – Total Company</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gridSpan w:val="6"/>
          </w:tcPr>
          <w:p>
            <w:pPr>
              <w:jc w:val="center"/>
              <w:ind w:right="78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7"/>
                <w:szCs w:val="17"/>
                <w:color w:val="auto"/>
              </w:rPr>
            </w:pPr>
          </w:p>
        </w:tc>
        <w:tc>
          <w:tcPr>
            <w:tcW w:w="23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26"/>
        </w:trPr>
        <w:tc>
          <w:tcPr>
            <w:tcW w:w="5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760" w:type="dxa"/>
            <w:vAlign w:val="bottom"/>
            <w:gridSpan w:val="6"/>
          </w:tcPr>
          <w:p>
            <w:pPr>
              <w:jc w:val="center"/>
              <w:ind w:right="760"/>
              <w:spacing w:after="0" w:line="126" w:lineRule="exact"/>
              <w:rPr>
                <w:sz w:val="20"/>
                <w:szCs w:val="20"/>
                <w:color w:val="auto"/>
              </w:rPr>
            </w:pPr>
            <w:r>
              <w:rPr>
                <w:rFonts w:ascii="Arial" w:cs="Arial" w:eastAsia="Arial" w:hAnsi="Arial"/>
                <w:sz w:val="14"/>
                <w:szCs w:val="14"/>
                <w:b w:val="1"/>
                <w:bCs w:val="1"/>
                <w:color w:val="auto"/>
                <w:w w:val="91"/>
              </w:rPr>
              <w:t>December 31, 2015</w:t>
            </w:r>
          </w:p>
        </w:tc>
        <w:tc>
          <w:tcPr>
            <w:tcW w:w="280" w:type="dxa"/>
            <w:vAlign w:val="bottom"/>
          </w:tcPr>
          <w:p>
            <w:pPr>
              <w:spacing w:after="0"/>
              <w:rPr>
                <w:sz w:val="10"/>
                <w:szCs w:val="10"/>
                <w:color w:val="auto"/>
              </w:rPr>
            </w:pPr>
          </w:p>
        </w:tc>
        <w:tc>
          <w:tcPr>
            <w:tcW w:w="2360" w:type="dxa"/>
            <w:vAlign w:val="bottom"/>
            <w:gridSpan w:val="5"/>
          </w:tcPr>
          <w:p>
            <w:pPr>
              <w:jc w:val="center"/>
              <w:ind w:right="480"/>
              <w:spacing w:after="0" w:line="126" w:lineRule="exact"/>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Diluted</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Diluted</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Earnings</w:t>
            </w:r>
          </w:p>
        </w:tc>
        <w:tc>
          <w:tcPr>
            <w:tcW w:w="1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Per Share</w:t>
            </w:r>
          </w:p>
        </w:tc>
        <w:tc>
          <w:tcPr>
            <w:tcW w:w="15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(27,167)</w:t>
            </w:r>
          </w:p>
        </w:tc>
        <w:tc>
          <w:tcPr>
            <w:tcW w:w="5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After tax acquisition and integration expenses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25,561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0.95</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3,199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After-tax foreign exchange loss on inter-company loans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After-tax impairment charges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4,565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0.17</w:t>
            </w:r>
          </w:p>
        </w:tc>
        <w:tc>
          <w:tcPr>
            <w:tcW w:w="2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577</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 &amp; deferred financing costs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0.14</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969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Adjusted Net Income</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5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6,680</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net income to adjusted net income:</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780" w:type="dxa"/>
            <w:vAlign w:val="bottom"/>
          </w:tcPr>
          <w:p>
            <w:pPr>
              <w:spacing w:after="0"/>
              <w:rPr>
                <w:sz w:val="20"/>
                <w:szCs w:val="20"/>
                <w:color w:val="auto"/>
              </w:rPr>
            </w:pPr>
            <w:r>
              <w:rPr>
                <w:rFonts w:ascii="Arial" w:cs="Arial" w:eastAsia="Arial" w:hAnsi="Arial"/>
                <w:sz w:val="18"/>
                <w:szCs w:val="18"/>
                <w:color w:val="auto"/>
              </w:rPr>
              <w:t>NN, Inc. – Total Company</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6"/>
          </w:tcPr>
          <w:p>
            <w:pPr>
              <w:jc w:val="center"/>
              <w:ind w:right="780"/>
              <w:spacing w:after="0"/>
              <w:rPr>
                <w:sz w:val="20"/>
                <w:szCs w:val="20"/>
                <w:color w:val="auto"/>
              </w:rPr>
            </w:pPr>
            <w:r>
              <w:rPr>
                <w:rFonts w:ascii="Arial" w:cs="Arial" w:eastAsia="Arial" w:hAnsi="Arial"/>
                <w:sz w:val="14"/>
                <w:szCs w:val="14"/>
                <w:b w:val="1"/>
                <w:bCs w:val="1"/>
                <w:color w:val="auto"/>
                <w:w w:val="93"/>
              </w:rPr>
              <w:t>Twelve Months Ended</w:t>
            </w:r>
          </w:p>
        </w:tc>
        <w:tc>
          <w:tcPr>
            <w:tcW w:w="280" w:type="dxa"/>
            <w:vAlign w:val="bottom"/>
          </w:tcPr>
          <w:p>
            <w:pPr>
              <w:spacing w:after="0"/>
              <w:rPr>
                <w:sz w:val="24"/>
                <w:szCs w:val="24"/>
                <w:color w:val="auto"/>
              </w:rPr>
            </w:pPr>
          </w:p>
        </w:tc>
        <w:tc>
          <w:tcPr>
            <w:tcW w:w="23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26"/>
        </w:trPr>
        <w:tc>
          <w:tcPr>
            <w:tcW w:w="5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760" w:type="dxa"/>
            <w:vAlign w:val="bottom"/>
            <w:gridSpan w:val="6"/>
          </w:tcPr>
          <w:p>
            <w:pPr>
              <w:jc w:val="center"/>
              <w:ind w:right="760"/>
              <w:spacing w:after="0" w:line="126" w:lineRule="exact"/>
              <w:rPr>
                <w:sz w:val="20"/>
                <w:szCs w:val="20"/>
                <w:color w:val="auto"/>
              </w:rPr>
            </w:pPr>
            <w:r>
              <w:rPr>
                <w:rFonts w:ascii="Arial" w:cs="Arial" w:eastAsia="Arial" w:hAnsi="Arial"/>
                <w:sz w:val="14"/>
                <w:szCs w:val="14"/>
                <w:b w:val="1"/>
                <w:bCs w:val="1"/>
                <w:color w:val="auto"/>
                <w:w w:val="91"/>
              </w:rPr>
              <w:t>December 31, 2015</w:t>
            </w:r>
          </w:p>
        </w:tc>
        <w:tc>
          <w:tcPr>
            <w:tcW w:w="280" w:type="dxa"/>
            <w:vAlign w:val="bottom"/>
          </w:tcPr>
          <w:p>
            <w:pPr>
              <w:spacing w:after="0"/>
              <w:rPr>
                <w:sz w:val="10"/>
                <w:szCs w:val="10"/>
                <w:color w:val="auto"/>
              </w:rPr>
            </w:pPr>
          </w:p>
        </w:tc>
        <w:tc>
          <w:tcPr>
            <w:tcW w:w="2360" w:type="dxa"/>
            <w:vAlign w:val="bottom"/>
            <w:gridSpan w:val="5"/>
          </w:tcPr>
          <w:p>
            <w:pPr>
              <w:jc w:val="center"/>
              <w:ind w:right="480"/>
              <w:spacing w:after="0" w:line="126" w:lineRule="exact"/>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Diluted</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Diluted</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Earnings Per</w:t>
            </w:r>
          </w:p>
        </w:tc>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Earnings Per</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Share</w:t>
            </w:r>
          </w:p>
        </w:tc>
        <w:tc>
          <w:tcPr>
            <w:tcW w:w="15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(9,582)</w:t>
            </w:r>
          </w:p>
        </w:tc>
        <w:tc>
          <w:tcPr>
            <w:tcW w:w="5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After tax acquisition and integration expenses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29,373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13,553</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After-tax foreign exchange loss on inter-company loans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0.04</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After-tax impairment charges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4,575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0.22</w:t>
            </w:r>
          </w:p>
        </w:tc>
        <w:tc>
          <w:tcPr>
            <w:tcW w:w="2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577</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 &amp; deferred financing costs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7,040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0.33</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Adjusted Net Income</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32,358</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5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24,979</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income from operations to adjusted income from operations: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spacing w:after="0"/>
              <w:rPr>
                <w:sz w:val="20"/>
                <w:szCs w:val="20"/>
                <w:color w:val="auto"/>
              </w:rPr>
            </w:pPr>
            <w:r>
              <w:rPr>
                <w:rFonts w:ascii="Arial" w:cs="Arial" w:eastAsia="Arial" w:hAnsi="Arial"/>
                <w:sz w:val="18"/>
                <w:szCs w:val="18"/>
                <w:color w:val="auto"/>
              </w:rPr>
              <w:t>NN, Inc. – Total Company</w:t>
            </w:r>
          </w:p>
        </w:tc>
        <w:tc>
          <w:tcPr>
            <w:tcW w:w="1540" w:type="dxa"/>
            <w:vAlign w:val="bottom"/>
          </w:tcPr>
          <w:p>
            <w:pPr>
              <w:spacing w:after="0"/>
              <w:rPr>
                <w:sz w:val="18"/>
                <w:szCs w:val="18"/>
                <w:color w:val="auto"/>
              </w:rPr>
            </w:pPr>
          </w:p>
        </w:tc>
        <w:tc>
          <w:tcPr>
            <w:tcW w:w="15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Three Months</w:t>
            </w: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280" w:type="dxa"/>
            <w:vAlign w:val="bottom"/>
          </w:tcPr>
          <w:p>
            <w:pPr>
              <w:spacing w:after="0"/>
              <w:rPr>
                <w:sz w:val="18"/>
                <w:szCs w:val="18"/>
                <w:color w:val="auto"/>
              </w:rPr>
            </w:pPr>
          </w:p>
        </w:tc>
        <w:tc>
          <w:tcPr>
            <w:tcW w:w="15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Twelve Months</w:t>
            </w: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Twelve Months</w:t>
            </w:r>
          </w:p>
        </w:tc>
      </w:tr>
      <w:tr>
        <w:trPr>
          <w:trHeight w:val="112"/>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gridSpan w:val="2"/>
          </w:tcPr>
          <w:p>
            <w:pPr>
              <w:jc w:val="center"/>
              <w:ind w:right="720"/>
              <w:spacing w:after="0" w:line="113" w:lineRule="exact"/>
              <w:rPr>
                <w:sz w:val="20"/>
                <w:szCs w:val="20"/>
                <w:color w:val="auto"/>
              </w:rPr>
            </w:pPr>
            <w:r>
              <w:rPr>
                <w:rFonts w:ascii="Arial" w:cs="Arial" w:eastAsia="Arial" w:hAnsi="Arial"/>
                <w:sz w:val="13"/>
                <w:szCs w:val="13"/>
                <w:b w:val="1"/>
                <w:bCs w:val="1"/>
                <w:color w:val="auto"/>
              </w:rPr>
              <w:t>Ended</w:t>
            </w:r>
          </w:p>
        </w:tc>
        <w:tc>
          <w:tcPr>
            <w:tcW w:w="180" w:type="dxa"/>
            <w:vAlign w:val="bottom"/>
          </w:tcPr>
          <w:p>
            <w:pPr>
              <w:spacing w:after="0"/>
              <w:rPr>
                <w:sz w:val="9"/>
                <w:szCs w:val="9"/>
                <w:color w:val="auto"/>
              </w:rPr>
            </w:pPr>
          </w:p>
        </w:tc>
        <w:tc>
          <w:tcPr>
            <w:tcW w:w="1040" w:type="dxa"/>
            <w:vAlign w:val="bottom"/>
            <w:gridSpan w:val="2"/>
          </w:tcPr>
          <w:p>
            <w:pPr>
              <w:jc w:val="center"/>
              <w:ind w:right="440"/>
              <w:spacing w:after="0" w:line="113" w:lineRule="exact"/>
              <w:rPr>
                <w:sz w:val="20"/>
                <w:szCs w:val="20"/>
                <w:color w:val="auto"/>
              </w:rPr>
            </w:pPr>
            <w:r>
              <w:rPr>
                <w:rFonts w:ascii="Arial" w:cs="Arial" w:eastAsia="Arial" w:hAnsi="Arial"/>
                <w:sz w:val="13"/>
                <w:szCs w:val="13"/>
                <w:b w:val="1"/>
                <w:bCs w:val="1"/>
                <w:color w:val="auto"/>
              </w:rPr>
              <w:t>Ended</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gridSpan w:val="2"/>
          </w:tcPr>
          <w:p>
            <w:pPr>
              <w:jc w:val="center"/>
              <w:ind w:right="720"/>
              <w:spacing w:after="0" w:line="113" w:lineRule="exact"/>
              <w:rPr>
                <w:sz w:val="20"/>
                <w:szCs w:val="20"/>
                <w:color w:val="auto"/>
              </w:rPr>
            </w:pPr>
            <w:r>
              <w:rPr>
                <w:rFonts w:ascii="Arial" w:cs="Arial" w:eastAsia="Arial" w:hAnsi="Arial"/>
                <w:sz w:val="13"/>
                <w:szCs w:val="13"/>
                <w:b w:val="1"/>
                <w:bCs w:val="1"/>
                <w:color w:val="auto"/>
              </w:rPr>
              <w:t>Ended</w:t>
            </w:r>
          </w:p>
        </w:tc>
        <w:tc>
          <w:tcPr>
            <w:tcW w:w="180" w:type="dxa"/>
            <w:vAlign w:val="bottom"/>
          </w:tcPr>
          <w:p>
            <w:pPr>
              <w:spacing w:after="0"/>
              <w:rPr>
                <w:sz w:val="9"/>
                <w:szCs w:val="9"/>
                <w:color w:val="auto"/>
              </w:rPr>
            </w:pPr>
          </w:p>
        </w:tc>
        <w:tc>
          <w:tcPr>
            <w:tcW w:w="960" w:type="dxa"/>
            <w:vAlign w:val="bottom"/>
            <w:gridSpan w:val="2"/>
          </w:tcPr>
          <w:p>
            <w:pPr>
              <w:jc w:val="center"/>
              <w:ind w:right="360"/>
              <w:spacing w:after="0" w:line="113" w:lineRule="exact"/>
              <w:rPr>
                <w:sz w:val="20"/>
                <w:szCs w:val="20"/>
                <w:color w:val="auto"/>
              </w:rPr>
            </w:pPr>
            <w:r>
              <w:rPr>
                <w:rFonts w:ascii="Arial" w:cs="Arial" w:eastAsia="Arial" w:hAnsi="Arial"/>
                <w:sz w:val="13"/>
                <w:szCs w:val="13"/>
                <w:b w:val="1"/>
                <w:bCs w:val="1"/>
                <w:color w:val="auto"/>
              </w:rPr>
              <w:t>Ended</w:t>
            </w: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2"/>
                <w:szCs w:val="12"/>
                <w:color w:val="auto"/>
              </w:rPr>
            </w:pPr>
          </w:p>
        </w:tc>
        <w:tc>
          <w:tcPr>
            <w:tcW w:w="15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2015</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2014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2015</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2014</w:t>
            </w:r>
          </w:p>
        </w:tc>
        <w:tc>
          <w:tcPr>
            <w:tcW w:w="1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3"/>
              </w:rPr>
              <w:t>(In Thousands)</w:t>
            </w: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4"/>
                <w:szCs w:val="14"/>
                <w:color w:val="auto"/>
              </w:rPr>
            </w:pPr>
          </w:p>
        </w:tc>
        <w:tc>
          <w:tcPr>
            <w:tcW w:w="15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3"/>
              </w:rPr>
              <w:t>(In Thousands)</w:t>
            </w: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(In Thousands)</w:t>
            </w: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(8,921)</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28,725</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27,687</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Restructuring &amp; impairment charges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5,451</w:t>
            </w:r>
          </w:p>
        </w:tc>
        <w:tc>
          <w:tcPr>
            <w:tcW w:w="1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875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5,451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875</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integration expenses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17,931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23,749</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11,311</w:t>
            </w: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4,940</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7,790</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from operations</w:t>
            </w:r>
          </w:p>
        </w:tc>
        <w:tc>
          <w:tcPr>
            <w:tcW w:w="172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19,401</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11,858</w:t>
            </w:r>
          </w:p>
        </w:tc>
        <w:tc>
          <w:tcPr>
            <w:tcW w:w="4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65,715</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41,213</w:t>
            </w: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income from operations to adjusted income from operations: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720" w:type="dxa"/>
            <w:vAlign w:val="bottom"/>
            <w:gridSpan w:val="2"/>
          </w:tcPr>
          <w:p>
            <w:pPr>
              <w:spacing w:after="0"/>
              <w:rPr>
                <w:sz w:val="20"/>
                <w:szCs w:val="20"/>
                <w:color w:val="auto"/>
              </w:rPr>
            </w:pPr>
            <w:r>
              <w:rPr>
                <w:rFonts w:ascii="Arial" w:cs="Arial" w:eastAsia="Arial" w:hAnsi="Arial"/>
                <w:sz w:val="18"/>
                <w:szCs w:val="18"/>
                <w:color w:val="auto"/>
              </w:rPr>
              <w:t>NN, Inc. – Autocam Precision Components Group</w:t>
            </w:r>
          </w:p>
        </w:tc>
        <w:tc>
          <w:tcPr>
            <w:tcW w:w="13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Three Months</w:t>
            </w:r>
          </w:p>
        </w:tc>
        <w:tc>
          <w:tcPr>
            <w:tcW w:w="320" w:type="dxa"/>
            <w:vAlign w:val="bottom"/>
          </w:tcPr>
          <w:p>
            <w:pPr>
              <w:spacing w:after="0"/>
              <w:rPr>
                <w:sz w:val="24"/>
                <w:szCs w:val="2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3"/>
          </w:tcPr>
          <w:p>
            <w:pPr>
              <w:jc w:val="center"/>
              <w:ind w:right="560"/>
              <w:spacing w:after="0" w:line="113" w:lineRule="exact"/>
              <w:rPr>
                <w:sz w:val="20"/>
                <w:szCs w:val="20"/>
                <w:color w:val="auto"/>
              </w:rPr>
            </w:pPr>
            <w:r>
              <w:rPr>
                <w:rFonts w:ascii="Arial" w:cs="Arial" w:eastAsia="Arial" w:hAnsi="Arial"/>
                <w:sz w:val="13"/>
                <w:szCs w:val="13"/>
                <w:b w:val="1"/>
                <w:bCs w:val="1"/>
                <w:color w:val="auto"/>
              </w:rPr>
              <w:t>Ended</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34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32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3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Restructuring &amp; impairment charges</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2,634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integration expenses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from operations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Reconciliation of income from operations to adjusted income from operations:</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720" w:type="dxa"/>
            <w:vAlign w:val="bottom"/>
            <w:gridSpan w:val="2"/>
          </w:tcPr>
          <w:p>
            <w:pPr>
              <w:spacing w:after="0"/>
              <w:rPr>
                <w:sz w:val="20"/>
                <w:szCs w:val="20"/>
                <w:color w:val="auto"/>
              </w:rPr>
            </w:pPr>
            <w:r>
              <w:rPr>
                <w:rFonts w:ascii="Arial" w:cs="Arial" w:eastAsia="Arial" w:hAnsi="Arial"/>
                <w:sz w:val="18"/>
                <w:szCs w:val="18"/>
                <w:color w:val="auto"/>
              </w:rPr>
              <w:t>NN, Inc. – Precision Bearing Components Group</w:t>
            </w:r>
          </w:p>
        </w:tc>
        <w:tc>
          <w:tcPr>
            <w:tcW w:w="13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Three Months</w:t>
            </w:r>
          </w:p>
        </w:tc>
        <w:tc>
          <w:tcPr>
            <w:tcW w:w="320" w:type="dxa"/>
            <w:vAlign w:val="bottom"/>
          </w:tcPr>
          <w:p>
            <w:pPr>
              <w:spacing w:after="0"/>
              <w:rPr>
                <w:sz w:val="24"/>
                <w:szCs w:val="2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3"/>
          </w:tcPr>
          <w:p>
            <w:pPr>
              <w:jc w:val="center"/>
              <w:ind w:right="560"/>
              <w:spacing w:after="0" w:line="113" w:lineRule="exact"/>
              <w:rPr>
                <w:sz w:val="20"/>
                <w:szCs w:val="20"/>
                <w:color w:val="auto"/>
              </w:rPr>
            </w:pPr>
            <w:r>
              <w:rPr>
                <w:rFonts w:ascii="Arial" w:cs="Arial" w:eastAsia="Arial" w:hAnsi="Arial"/>
                <w:sz w:val="13"/>
                <w:szCs w:val="13"/>
                <w:b w:val="1"/>
                <w:bCs w:val="1"/>
                <w:color w:val="auto"/>
              </w:rPr>
              <w:t>Ended</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34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32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3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Restructuring &amp; impairment charges</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Adjusted Income from operations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Reconciliation of income from operations to adjusted income from operations:</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720" w:type="dxa"/>
            <w:vAlign w:val="bottom"/>
            <w:gridSpan w:val="2"/>
          </w:tcPr>
          <w:p>
            <w:pPr>
              <w:spacing w:after="0"/>
              <w:rPr>
                <w:sz w:val="20"/>
                <w:szCs w:val="20"/>
                <w:color w:val="auto"/>
              </w:rPr>
            </w:pPr>
            <w:r>
              <w:rPr>
                <w:rFonts w:ascii="Arial" w:cs="Arial" w:eastAsia="Arial" w:hAnsi="Arial"/>
                <w:sz w:val="18"/>
                <w:szCs w:val="18"/>
                <w:color w:val="auto"/>
              </w:rPr>
              <w:t>NN, Inc. – Precision Engineered Products Group</w:t>
            </w:r>
          </w:p>
        </w:tc>
        <w:tc>
          <w:tcPr>
            <w:tcW w:w="13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Three Months</w:t>
            </w:r>
          </w:p>
        </w:tc>
        <w:tc>
          <w:tcPr>
            <w:tcW w:w="320" w:type="dxa"/>
            <w:vAlign w:val="bottom"/>
          </w:tcPr>
          <w:p>
            <w:pPr>
              <w:spacing w:after="0"/>
              <w:rPr>
                <w:sz w:val="24"/>
                <w:szCs w:val="2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3"/>
          </w:tcPr>
          <w:p>
            <w:pPr>
              <w:jc w:val="center"/>
              <w:ind w:right="560"/>
              <w:spacing w:after="0" w:line="113" w:lineRule="exact"/>
              <w:rPr>
                <w:sz w:val="20"/>
                <w:szCs w:val="20"/>
                <w:color w:val="auto"/>
              </w:rPr>
            </w:pPr>
            <w:r>
              <w:rPr>
                <w:rFonts w:ascii="Arial" w:cs="Arial" w:eastAsia="Arial" w:hAnsi="Arial"/>
                <w:sz w:val="13"/>
                <w:szCs w:val="13"/>
                <w:b w:val="1"/>
                <w:bCs w:val="1"/>
                <w:color w:val="auto"/>
              </w:rPr>
              <w:t>Ended</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34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32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3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400" w:type="dxa"/>
            <w:vAlign w:val="bottom"/>
            <w:tcBorders>
              <w:top w:val="single" w:sz="8" w:color="CCEEFF"/>
            </w:tcBorders>
            <w:gridSpan w:val="2"/>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Acquisition and integration expenses</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11,150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Adjusted Income from operations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10,122</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discloses in this press release the non-GAAP financial measures of adjusted income from operations and adjusted net income. Each of adjusted income from operations and adjusted net income provide supplementary information about the impacts of acquisition related expenses and foreign-exchange impacts on intercompany loans. We believe the presentation of adjusted income from operations and adjusted net income provides useful information in assessing our results of operations and potential future results. These measures should not be considered as an alternative to their comparable GAAP measures, nor should they be considered in isolation, or as a substitute for analysis of our results reported under GAAP.</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4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2019-12-06T04:18:41Z</dcterms:created>
  <dcterms:modified xsi:type="dcterms:W3CDTF">2019-12-06T04:18:41Z</dcterms:modified>
</cp:coreProperties>
</file>