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61"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369"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FORM 10-Q</w:t>
      </w:r>
    </w:p>
    <w:p>
      <w:pPr>
        <w:spacing w:after="0" w:line="188" w:lineRule="exact"/>
        <w:rPr>
          <w:sz w:val="24"/>
          <w:szCs w:val="24"/>
          <w:color w:val="auto"/>
        </w:rPr>
      </w:pPr>
    </w:p>
    <w:p>
      <w:pPr>
        <w:ind w:left="482" w:right="2599" w:hanging="479"/>
        <w:spacing w:after="0" w:line="239" w:lineRule="auto"/>
        <w:tabs>
          <w:tab w:leader="none" w:pos="462" w:val="left"/>
        </w:tabs>
        <w:rPr>
          <w:sz w:val="20"/>
          <w:szCs w:val="20"/>
          <w:color w:val="auto"/>
        </w:rPr>
      </w:pPr>
      <w:r>
        <w:rPr>
          <w:rFonts w:ascii="Courier New" w:cs="Courier New" w:eastAsia="Courier New" w:hAnsi="Courier New"/>
          <w:sz w:val="16"/>
          <w:szCs w:val="16"/>
          <w:color w:val="auto"/>
        </w:rPr>
        <w:t>/X/</w:t>
        <w:tab/>
        <w:t>QUARTERLY REPORT PURSUANT TO SECTION 13 OR 15(d) OF THE SECURITIES EXCHANGE ACT OF 1934</w:t>
      </w:r>
    </w:p>
    <w:p>
      <w:pPr>
        <w:spacing w:after="0" w:line="186"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For the quarterly period ended September 30, 1998</w:t>
      </w:r>
    </w:p>
    <w:p>
      <w:pPr>
        <w:spacing w:after="0" w:line="186" w:lineRule="exact"/>
        <w:rPr>
          <w:sz w:val="24"/>
          <w:szCs w:val="24"/>
          <w:color w:val="auto"/>
        </w:rPr>
      </w:pPr>
    </w:p>
    <w:p>
      <w:pPr>
        <w:ind w:left="3722"/>
        <w:spacing w:after="0"/>
        <w:rPr>
          <w:sz w:val="20"/>
          <w:szCs w:val="20"/>
          <w:color w:val="auto"/>
        </w:rPr>
      </w:pPr>
      <w:r>
        <w:rPr>
          <w:rFonts w:ascii="Courier New" w:cs="Courier New" w:eastAsia="Courier New" w:hAnsi="Courier New"/>
          <w:sz w:val="16"/>
          <w:szCs w:val="16"/>
          <w:color w:val="auto"/>
        </w:rPr>
        <w:t>OR</w:t>
      </w:r>
    </w:p>
    <w:p>
      <w:pPr>
        <w:spacing w:after="0" w:line="188" w:lineRule="exact"/>
        <w:rPr>
          <w:sz w:val="24"/>
          <w:szCs w:val="24"/>
          <w:color w:val="auto"/>
        </w:rPr>
      </w:pPr>
    </w:p>
    <w:p>
      <w:pPr>
        <w:ind w:left="482" w:right="3359" w:hanging="482"/>
        <w:spacing w:after="0" w:line="239" w:lineRule="auto"/>
        <w:tabs>
          <w:tab w:leader="none" w:pos="1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6"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For the transition period from _________ to _________</w:t>
      </w:r>
    </w:p>
    <w:p>
      <w:pPr>
        <w:spacing w:after="0" w:line="369"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Commission File Number 0-23486</w:t>
      </w:r>
    </w:p>
    <w:p>
      <w:pPr>
        <w:spacing w:after="0" w:line="369"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NN Ball &amp; Roller, Inc.</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606" w:right="1440" w:bottom="1440" w:gutter="0" w:footer="0" w:header="0"/>
        </w:sectPr>
      </w:pPr>
    </w:p>
    <w:p>
      <w:pPr>
        <w:spacing w:after="0" w:line="369"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482"/>
        <w:spacing w:after="0"/>
        <w:rPr>
          <w:sz w:val="20"/>
          <w:szCs w:val="20"/>
          <w:color w:val="auto"/>
        </w:rPr>
      </w:pPr>
      <w:r>
        <w:rPr>
          <w:rFonts w:ascii="Courier New" w:cs="Courier New" w:eastAsia="Courier New" w:hAnsi="Courier New"/>
          <w:sz w:val="15"/>
          <w:szCs w:val="15"/>
          <w:color w:val="auto"/>
        </w:rPr>
        <w:t>(State or other jurisdiction of</w:t>
      </w:r>
    </w:p>
    <w:p>
      <w:pPr>
        <w:spacing w:after="0" w:line="11"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62-1096725</w:t>
      </w:r>
    </w:p>
    <w:p>
      <w:pPr>
        <w:spacing w:after="0" w:line="2"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94" w:lineRule="exact"/>
        <w:rPr>
          <w:sz w:val="24"/>
          <w:szCs w:val="24"/>
          <w:color w:val="auto"/>
        </w:rPr>
      </w:pPr>
    </w:p>
    <w:p>
      <w:pPr>
        <w:sectPr>
          <w:pgSz w:w="11900" w:h="16838" w:orient="portrait"/>
          <w:cols w:equalWidth="0" w:num="2">
            <w:col w:w="4142" w:space="720"/>
            <w:col w:w="5359"/>
          </w:cols>
          <w:pgMar w:left="238" w:top="606" w:right="1440" w:bottom="1440" w:gutter="0" w:footer="0" w:header="0"/>
          <w:type w:val="continuous"/>
        </w:sectPr>
      </w:pPr>
    </w:p>
    <w:p>
      <w:pPr>
        <w:jc w:val="center"/>
        <w:ind w:right="2597"/>
        <w:spacing w:after="0"/>
        <w:rPr>
          <w:sz w:val="20"/>
          <w:szCs w:val="20"/>
          <w:color w:val="auto"/>
        </w:rPr>
      </w:pPr>
      <w:r>
        <w:rPr>
          <w:rFonts w:ascii="Courier New" w:cs="Courier New" w:eastAsia="Courier New" w:hAnsi="Courier New"/>
          <w:sz w:val="16"/>
          <w:szCs w:val="16"/>
          <w:color w:val="auto"/>
        </w:rPr>
        <w:t>800 Tennessee Road</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Erwin, Tennessee 37650</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(423) 743-9151</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72" w:lineRule="exact"/>
        <w:rPr>
          <w:sz w:val="24"/>
          <w:szCs w:val="24"/>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4" w:lineRule="exact"/>
        <w:rPr>
          <w:sz w:val="24"/>
          <w:szCs w:val="24"/>
          <w:color w:val="auto"/>
        </w:rPr>
      </w:pPr>
    </w:p>
    <w:p>
      <w:pPr>
        <w:ind w:left="3722"/>
        <w:spacing w:after="0"/>
        <w:tabs>
          <w:tab w:leader="none" w:pos="4262" w:val="left"/>
        </w:tabs>
        <w:rPr>
          <w:sz w:val="20"/>
          <w:szCs w:val="20"/>
          <w:color w:val="auto"/>
        </w:rPr>
      </w:pPr>
      <w:r>
        <w:rPr>
          <w:rFonts w:ascii="Courier New" w:cs="Courier New" w:eastAsia="Courier New" w:hAnsi="Courier New"/>
          <w:sz w:val="16"/>
          <w:szCs w:val="16"/>
          <w:color w:val="auto"/>
        </w:rPr>
        <w:t>---</w:t>
        <w:tab/>
        <w:t>---</w:t>
      </w:r>
    </w:p>
    <w:p>
      <w:pPr>
        <w:spacing w:after="0" w:line="188" w:lineRule="exact"/>
        <w:rPr>
          <w:sz w:val="24"/>
          <w:szCs w:val="24"/>
          <w:color w:val="auto"/>
        </w:rPr>
      </w:pPr>
    </w:p>
    <w:p>
      <w:pPr>
        <w:ind w:left="2" w:right="2779"/>
        <w:spacing w:after="0" w:line="239" w:lineRule="auto"/>
        <w:rPr>
          <w:sz w:val="20"/>
          <w:szCs w:val="20"/>
          <w:color w:val="auto"/>
        </w:rPr>
      </w:pPr>
      <w:r>
        <w:rPr>
          <w:rFonts w:ascii="Courier New" w:cs="Courier New" w:eastAsia="Courier New" w:hAnsi="Courier New"/>
          <w:sz w:val="16"/>
          <w:szCs w:val="16"/>
          <w:color w:val="auto"/>
        </w:rPr>
        <w:t>As of November 4, 1998 there were 14,804,244 shares of the registrant's common stock, par value $0.01 per share, outstanding.</w:t>
      </w:r>
    </w:p>
    <w:p>
      <w:pPr>
        <w:spacing w:after="0" w:line="373"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606" w:right="1440" w:bottom="1440" w:gutter="0" w:footer="0" w:header="0"/>
          <w:type w:val="continuous"/>
        </w:sectPr>
      </w:pPr>
    </w:p>
    <w:bookmarkStart w:id="1" w:name="page2"/>
    <w:bookmarkEnd w:id="1"/>
    <w:p>
      <w:pPr>
        <w:ind w:left="2760"/>
        <w:spacing w:after="0"/>
        <w:rPr>
          <w:sz w:val="20"/>
          <w:szCs w:val="20"/>
          <w:color w:val="auto"/>
        </w:rPr>
      </w:pPr>
      <w:r>
        <w:rPr>
          <w:rFonts w:ascii="Courier New" w:cs="Courier New" w:eastAsia="Courier New" w:hAnsi="Courier New"/>
          <w:sz w:val="16"/>
          <w:szCs w:val="16"/>
          <w:color w:val="auto"/>
        </w:rPr>
        <w:t>NN Ball &amp; Roller, Inc.</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Page No.</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Condensed Statements of Income for the three and nine months</w:t>
      </w:r>
    </w:p>
    <w:p>
      <w:pPr>
        <w:spacing w:after="0" w:line="2" w:lineRule="exact"/>
        <w:rPr>
          <w:sz w:val="20"/>
          <w:szCs w:val="20"/>
          <w:color w:val="auto"/>
        </w:rPr>
      </w:pPr>
    </w:p>
    <w:p>
      <w:pPr>
        <w:ind w:left="1040"/>
        <w:spacing w:after="0"/>
        <w:tabs>
          <w:tab w:leader="none" w:pos="7040" w:val="left"/>
        </w:tabs>
        <w:rPr>
          <w:sz w:val="20"/>
          <w:szCs w:val="20"/>
          <w:color w:val="auto"/>
        </w:rPr>
      </w:pPr>
      <w:r>
        <w:rPr>
          <w:rFonts w:ascii="Courier New" w:cs="Courier New" w:eastAsia="Courier New" w:hAnsi="Courier New"/>
          <w:sz w:val="16"/>
          <w:szCs w:val="16"/>
          <w:color w:val="auto"/>
        </w:rPr>
        <w:t>ended September 30, 1998 and 1997</w:t>
      </w:r>
      <w:r>
        <w:rPr>
          <w:sz w:val="20"/>
          <w:szCs w:val="20"/>
          <w:color w:val="auto"/>
        </w:rPr>
        <w:tab/>
      </w:r>
      <w:r>
        <w:rPr>
          <w:rFonts w:ascii="Courier New" w:cs="Courier New" w:eastAsia="Courier New" w:hAnsi="Courier New"/>
          <w:sz w:val="16"/>
          <w:szCs w:val="16"/>
          <w:color w:val="auto"/>
        </w:rPr>
        <w:t>2</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Condensed Balance Sheets at September 30, 1998 and</w:t>
      </w:r>
    </w:p>
    <w:p>
      <w:pPr>
        <w:spacing w:after="0" w:line="2" w:lineRule="exact"/>
        <w:rPr>
          <w:sz w:val="20"/>
          <w:szCs w:val="20"/>
          <w:color w:val="auto"/>
        </w:rPr>
      </w:pPr>
    </w:p>
    <w:p>
      <w:pPr>
        <w:ind w:left="1040"/>
        <w:spacing w:after="0"/>
        <w:tabs>
          <w:tab w:leader="none" w:pos="7040" w:val="left"/>
        </w:tabs>
        <w:rPr>
          <w:sz w:val="20"/>
          <w:szCs w:val="20"/>
          <w:color w:val="auto"/>
        </w:rPr>
      </w:pPr>
      <w:r>
        <w:rPr>
          <w:rFonts w:ascii="Courier New" w:cs="Courier New" w:eastAsia="Courier New" w:hAnsi="Courier New"/>
          <w:sz w:val="16"/>
          <w:szCs w:val="16"/>
          <w:color w:val="auto"/>
        </w:rPr>
        <w:t>December 31, 1997</w:t>
      </w:r>
      <w:r>
        <w:rPr>
          <w:sz w:val="20"/>
          <w:szCs w:val="20"/>
          <w:color w:val="auto"/>
        </w:rPr>
        <w:tab/>
      </w:r>
      <w:r>
        <w:rPr>
          <w:rFonts w:ascii="Courier New" w:cs="Courier New" w:eastAsia="Courier New" w:hAnsi="Courier New"/>
          <w:sz w:val="16"/>
          <w:szCs w:val="16"/>
          <w:color w:val="auto"/>
        </w:rPr>
        <w:t>3</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2" w:lineRule="exact"/>
        <w:rPr>
          <w:sz w:val="20"/>
          <w:szCs w:val="20"/>
          <w:color w:val="auto"/>
        </w:rPr>
      </w:pPr>
    </w:p>
    <w:p>
      <w:pPr>
        <w:ind w:left="1040"/>
        <w:spacing w:after="0"/>
        <w:tabs>
          <w:tab w:leader="none" w:pos="7040" w:val="left"/>
        </w:tabs>
        <w:rPr>
          <w:sz w:val="20"/>
          <w:szCs w:val="20"/>
          <w:color w:val="auto"/>
        </w:rPr>
      </w:pPr>
      <w:r>
        <w:rPr>
          <w:rFonts w:ascii="Courier New" w:cs="Courier New" w:eastAsia="Courier New" w:hAnsi="Courier New"/>
          <w:sz w:val="16"/>
          <w:szCs w:val="16"/>
          <w:color w:val="auto"/>
        </w:rPr>
        <w:t>for the nine months ended September 30, 1998 and 1997</w:t>
      </w:r>
      <w:r>
        <w:rPr>
          <w:sz w:val="20"/>
          <w:szCs w:val="20"/>
          <w:color w:val="auto"/>
        </w:rPr>
        <w:tab/>
      </w:r>
      <w:r>
        <w:rPr>
          <w:rFonts w:ascii="Courier New" w:cs="Courier New" w:eastAsia="Courier New" w:hAnsi="Courier New"/>
          <w:sz w:val="16"/>
          <w:szCs w:val="16"/>
          <w:color w:val="auto"/>
        </w:rPr>
        <w:t>4</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Condensed Statements of Cash Flows for the nine months</w:t>
      </w:r>
    </w:p>
    <w:p>
      <w:pPr>
        <w:spacing w:after="0" w:line="2" w:lineRule="exact"/>
        <w:rPr>
          <w:sz w:val="20"/>
          <w:szCs w:val="20"/>
          <w:color w:val="auto"/>
        </w:rPr>
      </w:pPr>
    </w:p>
    <w:p>
      <w:pPr>
        <w:ind w:left="1040"/>
        <w:spacing w:after="0"/>
        <w:tabs>
          <w:tab w:leader="none" w:pos="7040" w:val="left"/>
        </w:tabs>
        <w:rPr>
          <w:sz w:val="20"/>
          <w:szCs w:val="20"/>
          <w:color w:val="auto"/>
        </w:rPr>
      </w:pPr>
      <w:r>
        <w:rPr>
          <w:rFonts w:ascii="Courier New" w:cs="Courier New" w:eastAsia="Courier New" w:hAnsi="Courier New"/>
          <w:sz w:val="16"/>
          <w:szCs w:val="16"/>
          <w:color w:val="auto"/>
        </w:rPr>
        <w:t>ended September 30, 1998 and 1997</w:t>
      </w:r>
      <w:r>
        <w:rPr>
          <w:sz w:val="20"/>
          <w:szCs w:val="20"/>
          <w:color w:val="auto"/>
        </w:rPr>
        <w:tab/>
      </w:r>
      <w:r>
        <w:rPr>
          <w:rFonts w:ascii="Courier New" w:cs="Courier New" w:eastAsia="Courier New" w:hAnsi="Courier New"/>
          <w:sz w:val="16"/>
          <w:szCs w:val="16"/>
          <w:color w:val="auto"/>
        </w:rPr>
        <w:t>5</w:t>
      </w:r>
    </w:p>
    <w:p>
      <w:pPr>
        <w:spacing w:after="0" w:line="186" w:lineRule="exact"/>
        <w:rPr>
          <w:sz w:val="20"/>
          <w:szCs w:val="20"/>
          <w:color w:val="auto"/>
        </w:rPr>
      </w:pPr>
    </w:p>
    <w:p>
      <w:pPr>
        <w:ind w:left="760"/>
        <w:spacing w:after="0"/>
        <w:tabs>
          <w:tab w:leader="none" w:pos="7040" w:val="left"/>
        </w:tabs>
        <w:rPr>
          <w:sz w:val="20"/>
          <w:szCs w:val="20"/>
          <w:color w:val="auto"/>
        </w:rPr>
      </w:pPr>
      <w:r>
        <w:rPr>
          <w:rFonts w:ascii="Courier New" w:cs="Courier New" w:eastAsia="Courier New" w:hAnsi="Courier New"/>
          <w:sz w:val="16"/>
          <w:szCs w:val="16"/>
          <w:color w:val="auto"/>
        </w:rPr>
        <w:t>Notes to Condensed Financial Statements</w:t>
      </w:r>
      <w:r>
        <w:rPr>
          <w:sz w:val="20"/>
          <w:szCs w:val="20"/>
          <w:color w:val="auto"/>
        </w:rPr>
        <w:tab/>
      </w: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Management's Discussion and Analysis of Financial</w:t>
      </w:r>
    </w:p>
    <w:p>
      <w:pPr>
        <w:spacing w:after="0" w:line="2" w:lineRule="exact"/>
        <w:rPr>
          <w:sz w:val="20"/>
          <w:szCs w:val="20"/>
          <w:color w:val="auto"/>
        </w:rPr>
      </w:pPr>
    </w:p>
    <w:p>
      <w:pPr>
        <w:ind w:left="1040"/>
        <w:spacing w:after="0"/>
        <w:tabs>
          <w:tab w:leader="none" w:pos="704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6"/>
          <w:szCs w:val="16"/>
          <w:color w:val="auto"/>
        </w:rPr>
        <w:t>8</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6"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6"/>
          <w:szCs w:val="16"/>
          <w:color w:val="auto"/>
        </w:rPr>
        <w:t>Item 6. Exhibits and Reports on Form 8-K</w:t>
      </w:r>
      <w:r>
        <w:rPr>
          <w:sz w:val="20"/>
          <w:szCs w:val="20"/>
          <w:color w:val="auto"/>
        </w:rPr>
        <w:tab/>
      </w:r>
      <w:r>
        <w:rPr>
          <w:rFonts w:ascii="Courier New" w:cs="Courier New" w:eastAsia="Courier New" w:hAnsi="Courier New"/>
          <w:sz w:val="16"/>
          <w:szCs w:val="16"/>
          <w:color w:val="auto"/>
        </w:rPr>
        <w:t>13</w:t>
      </w:r>
    </w:p>
    <w:p>
      <w:pPr>
        <w:spacing w:after="0" w:line="186"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14</w:t>
      </w:r>
    </w:p>
    <w:p>
      <w:pPr>
        <w:sectPr>
          <w:pgSz w:w="11900" w:h="16838" w:orient="portrait"/>
          <w:cols w:equalWidth="0" w:num="1">
            <w:col w:w="10219"/>
          </w:cols>
          <w:pgMar w:left="240" w:top="665" w:right="1440" w:bottom="1440" w:gutter="0" w:footer="0" w:header="0"/>
        </w:sectPr>
      </w:pPr>
    </w:p>
    <w:bookmarkStart w:id="2" w:name="page3"/>
    <w:bookmarkEnd w:id="2"/>
    <w:p>
      <w:pPr>
        <w:ind w:left="2480"/>
        <w:spacing w:after="0"/>
        <w:rPr>
          <w:sz w:val="20"/>
          <w:szCs w:val="20"/>
          <w:color w:val="auto"/>
        </w:rPr>
      </w:pPr>
      <w:r>
        <w:rPr>
          <w:rFonts w:ascii="Courier New" w:cs="Courier New" w:eastAsia="Courier New" w:hAnsi="Courier New"/>
          <w:sz w:val="16"/>
          <w:szCs w:val="16"/>
          <w:color w:val="auto"/>
        </w:rPr>
        <w:t>PART I. FINANCIAL INFORMATION</w:t>
      </w:r>
    </w:p>
    <w:p>
      <w:pPr>
        <w:spacing w:after="0" w:line="188" w:lineRule="exact"/>
        <w:rPr>
          <w:sz w:val="20"/>
          <w:szCs w:val="20"/>
          <w:color w:val="auto"/>
        </w:rPr>
      </w:pPr>
    </w:p>
    <w:p>
      <w:pPr>
        <w:ind w:left="2380" w:right="5240" w:firstLine="384"/>
        <w:spacing w:after="0" w:line="259" w:lineRule="auto"/>
        <w:tabs>
          <w:tab w:leader="none" w:pos="30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Condensed Statements of Income</w:t>
      </w:r>
    </w:p>
    <w:p>
      <w:pPr>
        <w:ind w:left="33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gridSpan w:val="3"/>
          </w:tcPr>
          <w:p>
            <w:pPr>
              <w:jc w:val="right"/>
              <w:ind w:right="721"/>
              <w:spacing w:after="0"/>
              <w:rPr>
                <w:sz w:val="20"/>
                <w:szCs w:val="20"/>
                <w:color w:val="auto"/>
              </w:rPr>
            </w:pPr>
            <w:r>
              <w:rPr>
                <w:rFonts w:ascii="Courier New" w:cs="Courier New" w:eastAsia="Courier New" w:hAnsi="Courier New"/>
                <w:sz w:val="16"/>
                <w:szCs w:val="16"/>
                <w:color w:val="auto"/>
              </w:rPr>
              <w:t>Three Months Ended</w:t>
            </w: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1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4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gridSpan w:val="3"/>
          </w:tcPr>
          <w:p>
            <w:pPr>
              <w:jc w:val="right"/>
              <w:ind w:right="761"/>
              <w:spacing w:after="0"/>
              <w:rPr>
                <w:sz w:val="20"/>
                <w:szCs w:val="20"/>
                <w:color w:val="auto"/>
              </w:rPr>
            </w:pPr>
            <w:r>
              <w:rPr>
                <w:rFonts w:ascii="Courier New" w:cs="Courier New" w:eastAsia="Courier New" w:hAnsi="Courier New"/>
                <w:sz w:val="16"/>
                <w:szCs w:val="16"/>
                <w:color w:val="auto"/>
              </w:rPr>
              <w:t>September 30,</w:t>
            </w:r>
          </w:p>
        </w:tc>
      </w:tr>
      <w:tr>
        <w:trPr>
          <w:trHeight w:val="183"/>
        </w:trPr>
        <w:tc>
          <w:tcPr>
            <w:tcW w:w="4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1998</w:t>
            </w:r>
          </w:p>
        </w:tc>
        <w:tc>
          <w:tcPr>
            <w:tcW w:w="70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1997</w:t>
            </w:r>
          </w:p>
        </w:tc>
        <w:tc>
          <w:tcPr>
            <w:tcW w:w="400" w:type="dxa"/>
            <w:vAlign w:val="bottom"/>
          </w:tcPr>
          <w:p>
            <w:pPr>
              <w:spacing w:after="0"/>
              <w:rPr>
                <w:sz w:val="15"/>
                <w:szCs w:val="15"/>
                <w:color w:val="auto"/>
              </w:rPr>
            </w:pPr>
          </w:p>
        </w:tc>
        <w:tc>
          <w:tcPr>
            <w:tcW w:w="142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Thousands of</w:t>
            </w:r>
          </w:p>
        </w:tc>
        <w:tc>
          <w:tcPr>
            <w:tcW w:w="3060" w:type="dxa"/>
            <w:vAlign w:val="bottom"/>
            <w:gridSpan w:val="4"/>
          </w:tcPr>
          <w:p>
            <w:pPr>
              <w:ind w:left="200"/>
              <w:spacing w:after="0"/>
              <w:rPr>
                <w:sz w:val="20"/>
                <w:szCs w:val="20"/>
                <w:color w:val="auto"/>
              </w:rPr>
            </w:pPr>
            <w:r>
              <w:rPr>
                <w:rFonts w:ascii="Courier New" w:cs="Courier New" w:eastAsia="Courier New" w:hAnsi="Courier New"/>
                <w:sz w:val="16"/>
                <w:szCs w:val="16"/>
                <w:color w:val="auto"/>
                <w:w w:val="98"/>
              </w:rPr>
              <w:t>Dollars, Except Per Share Data</w:t>
            </w:r>
          </w:p>
        </w:tc>
        <w:tc>
          <w:tcPr>
            <w:tcW w:w="1040" w:type="dxa"/>
            <w:vAlign w:val="bottom"/>
          </w:tcPr>
          <w:p>
            <w:pPr>
              <w:spacing w:after="0"/>
              <w:rPr>
                <w:sz w:val="15"/>
                <w:szCs w:val="15"/>
                <w:color w:val="auto"/>
              </w:rPr>
            </w:pP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16,789</w:t>
            </w:r>
          </w:p>
        </w:tc>
        <w:tc>
          <w:tcPr>
            <w:tcW w:w="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17,231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57,349</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58,514</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12,162</w:t>
            </w:r>
          </w:p>
        </w:tc>
        <w:tc>
          <w:tcPr>
            <w:tcW w:w="7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12,386</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39,902</w:t>
            </w:r>
          </w:p>
        </w:tc>
        <w:tc>
          <w:tcPr>
            <w:tcW w:w="2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40,531</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Gross profit</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4,627</w:t>
            </w:r>
          </w:p>
        </w:tc>
        <w:tc>
          <w:tcPr>
            <w:tcW w:w="7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4,845</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17,447</w:t>
            </w:r>
          </w:p>
        </w:tc>
        <w:tc>
          <w:tcPr>
            <w:tcW w:w="2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17,983</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42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1,530</w:t>
            </w:r>
          </w:p>
        </w:tc>
        <w:tc>
          <w:tcPr>
            <w:tcW w:w="700" w:type="dxa"/>
            <w:vAlign w:val="bottom"/>
          </w:tcPr>
          <w:p>
            <w:pPr>
              <w:spacing w:after="0"/>
              <w:rPr>
                <w:sz w:val="24"/>
                <w:szCs w:val="24"/>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1,519</w:t>
            </w:r>
          </w:p>
        </w:tc>
        <w:tc>
          <w:tcPr>
            <w:tcW w:w="400" w:type="dxa"/>
            <w:vAlign w:val="bottom"/>
          </w:tcPr>
          <w:p>
            <w:pPr>
              <w:spacing w:after="0"/>
              <w:rPr>
                <w:sz w:val="24"/>
                <w:szCs w:val="24"/>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4,364</w:t>
            </w:r>
          </w:p>
        </w:tc>
        <w:tc>
          <w:tcPr>
            <w:tcW w:w="24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4,051</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1,212</w:t>
            </w:r>
          </w:p>
        </w:tc>
        <w:tc>
          <w:tcPr>
            <w:tcW w:w="7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1,060</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3,550</w:t>
            </w:r>
          </w:p>
        </w:tc>
        <w:tc>
          <w:tcPr>
            <w:tcW w:w="2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3,164</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1,885</w:t>
            </w:r>
          </w:p>
        </w:tc>
        <w:tc>
          <w:tcPr>
            <w:tcW w:w="7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2,266</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9,533</w:t>
            </w:r>
          </w:p>
        </w:tc>
        <w:tc>
          <w:tcPr>
            <w:tcW w:w="2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10,768</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42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w:t>
            </w:r>
          </w:p>
        </w:tc>
        <w:tc>
          <w:tcPr>
            <w:tcW w:w="700" w:type="dxa"/>
            <w:vAlign w:val="bottom"/>
          </w:tcPr>
          <w:p>
            <w:pPr>
              <w:spacing w:after="0"/>
              <w:rPr>
                <w:sz w:val="24"/>
                <w:szCs w:val="24"/>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w:t>
            </w:r>
          </w:p>
        </w:tc>
        <w:tc>
          <w:tcPr>
            <w:tcW w:w="400" w:type="dxa"/>
            <w:vAlign w:val="bottom"/>
          </w:tcPr>
          <w:p>
            <w:pPr>
              <w:spacing w:after="0"/>
              <w:rPr>
                <w:sz w:val="24"/>
                <w:szCs w:val="24"/>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55</w:t>
            </w:r>
          </w:p>
        </w:tc>
        <w:tc>
          <w:tcPr>
            <w:tcW w:w="24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1,863</w:t>
            </w:r>
          </w:p>
        </w:tc>
        <w:tc>
          <w:tcPr>
            <w:tcW w:w="7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2,264</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9,478</w:t>
            </w:r>
          </w:p>
        </w:tc>
        <w:tc>
          <w:tcPr>
            <w:tcW w:w="2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10,747</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738</w:t>
            </w:r>
          </w:p>
        </w:tc>
        <w:tc>
          <w:tcPr>
            <w:tcW w:w="70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965</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3,362</w:t>
            </w:r>
          </w:p>
        </w:tc>
        <w:tc>
          <w:tcPr>
            <w:tcW w:w="2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4,077</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1,125</w:t>
            </w:r>
          </w:p>
        </w:tc>
        <w:tc>
          <w:tcPr>
            <w:tcW w:w="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1,299</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6,116</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6,670</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Foreign currency translation</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392</w:t>
            </w:r>
          </w:p>
        </w:tc>
        <w:tc>
          <w:tcPr>
            <w:tcW w:w="700" w:type="dxa"/>
            <w:vAlign w:val="bottom"/>
          </w:tcPr>
          <w:p>
            <w:pPr>
              <w:spacing w:after="0"/>
              <w:rPr>
                <w:sz w:val="15"/>
                <w:szCs w:val="15"/>
                <w:color w:val="auto"/>
              </w:rPr>
            </w:pP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(41)</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203</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Other comprehensive income</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392</w:t>
            </w:r>
          </w:p>
        </w:tc>
        <w:tc>
          <w:tcPr>
            <w:tcW w:w="700" w:type="dxa"/>
            <w:vAlign w:val="bottom"/>
          </w:tcPr>
          <w:p>
            <w:pPr>
              <w:spacing w:after="0"/>
              <w:rPr>
                <w:sz w:val="15"/>
                <w:szCs w:val="15"/>
                <w:color w:val="auto"/>
              </w:rPr>
            </w:pP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(41)</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203</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ind w:left="480"/>
              <w:spacing w:after="0"/>
              <w:rPr>
                <w:sz w:val="20"/>
                <w:szCs w:val="20"/>
                <w:color w:val="auto"/>
              </w:rPr>
            </w:pPr>
            <w:r>
              <w:rPr>
                <w:rFonts w:ascii="Courier New" w:cs="Courier New" w:eastAsia="Courier New" w:hAnsi="Courier New"/>
                <w:sz w:val="16"/>
                <w:szCs w:val="16"/>
                <w:color w:val="auto"/>
              </w:rPr>
              <w:t>Comprehensive income</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1,517</w:t>
            </w:r>
          </w:p>
        </w:tc>
        <w:tc>
          <w:tcPr>
            <w:tcW w:w="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1,258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6,319</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6,629</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0.08</w:t>
            </w:r>
          </w:p>
        </w:tc>
        <w:tc>
          <w:tcPr>
            <w:tcW w:w="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0.09</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0.41</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0.45</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shares outstanding</w:t>
            </w:r>
          </w:p>
        </w:tc>
        <w:tc>
          <w:tcPr>
            <w:tcW w:w="420" w:type="dxa"/>
            <w:vAlign w:val="bottom"/>
          </w:tcPr>
          <w:p>
            <w:pPr>
              <w:spacing w:after="0"/>
              <w:rPr>
                <w:sz w:val="15"/>
                <w:szCs w:val="15"/>
                <w:color w:val="auto"/>
              </w:rPr>
            </w:pP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14,804,244</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14,832,640</w:t>
            </w:r>
          </w:p>
        </w:tc>
        <w:tc>
          <w:tcPr>
            <w:tcW w:w="400" w:type="dxa"/>
            <w:vAlign w:val="bottom"/>
          </w:tcPr>
          <w:p>
            <w:pPr>
              <w:spacing w:after="0"/>
              <w:rPr>
                <w:sz w:val="15"/>
                <w:szCs w:val="15"/>
                <w:color w:val="auto"/>
              </w:rPr>
            </w:pP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14,807,723</w:t>
            </w:r>
          </w:p>
        </w:tc>
        <w:tc>
          <w:tcPr>
            <w:tcW w:w="24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14,814,533</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060" w:type="dxa"/>
            <w:vAlign w:val="bottom"/>
          </w:tcPr>
          <w:p>
            <w:pPr>
              <w:spacing w:after="0"/>
              <w:rPr>
                <w:sz w:val="15"/>
                <w:szCs w:val="15"/>
                <w:color w:val="auto"/>
              </w:rPr>
            </w:pP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480"/>
          </w:cols>
          <w:pgMar w:left="240" w:top="665" w:right="1179" w:bottom="1440" w:gutter="0" w:footer="0" w:header="0"/>
        </w:sectPr>
      </w:pPr>
    </w:p>
    <w:bookmarkStart w:id="3" w:name="page4"/>
    <w:bookmarkEnd w:id="3"/>
    <w:p>
      <w:pPr>
        <w:ind w:left="2660" w:right="5259" w:firstLine="104"/>
        <w:spacing w:after="0" w:line="271" w:lineRule="auto"/>
        <w:tabs>
          <w:tab w:leader="none" w:pos="304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Condensed Balance Sheets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September 30,</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w w:val="97"/>
              </w:rPr>
              <w:t>December 31,</w:t>
            </w:r>
          </w:p>
        </w:tc>
      </w:tr>
      <w:tr>
        <w:trPr>
          <w:trHeight w:val="183"/>
        </w:trPr>
        <w:tc>
          <w:tcPr>
            <w:tcW w:w="4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ind w:right="781"/>
              <w:spacing w:after="0"/>
              <w:rPr>
                <w:sz w:val="20"/>
                <w:szCs w:val="20"/>
                <w:color w:val="auto"/>
              </w:rPr>
            </w:pPr>
            <w:r>
              <w:rPr>
                <w:rFonts w:ascii="Courier New" w:cs="Courier New" w:eastAsia="Courier New" w:hAnsi="Courier New"/>
                <w:sz w:val="16"/>
                <w:szCs w:val="16"/>
                <w:color w:val="auto"/>
                <w:w w:val="93"/>
              </w:rPr>
              <w:t>1998</w:t>
            </w:r>
          </w:p>
        </w:tc>
        <w:tc>
          <w:tcPr>
            <w:tcW w:w="12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1997</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(Unaudited)</w:t>
            </w:r>
          </w:p>
        </w:tc>
        <w:tc>
          <w:tcPr>
            <w:tcW w:w="1240" w:type="dxa"/>
            <w:vAlign w:val="bottom"/>
          </w:tcPr>
          <w:p>
            <w:pPr>
              <w:spacing w:after="0"/>
              <w:rPr>
                <w:sz w:val="15"/>
                <w:szCs w:val="15"/>
                <w:color w:val="auto"/>
              </w:rPr>
            </w:pPr>
          </w:p>
        </w:tc>
      </w:tr>
      <w:tr>
        <w:trPr>
          <w:trHeight w:val="183"/>
        </w:trPr>
        <w:tc>
          <w:tcPr>
            <w:tcW w:w="4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Thousands of</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Dollars</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883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366</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12,614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12,449</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  (Note 2)</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13,722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11,865</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assets</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1,587</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1,505</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rPr>
              <w:t>Total current assets</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28,806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26,185</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520" w:type="dxa"/>
            <w:vAlign w:val="bottom"/>
          </w:tcPr>
          <w:p>
            <w:pPr>
              <w:spacing w:after="0"/>
              <w:rPr>
                <w:sz w:val="24"/>
                <w:szCs w:val="24"/>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38,183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37,088</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$66,989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$63,273</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$ 3,758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$ 3,662</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Revolving credit facility</w:t>
            </w:r>
          </w:p>
        </w:tc>
        <w:tc>
          <w:tcPr>
            <w:tcW w:w="520" w:type="dxa"/>
            <w:vAlign w:val="bottom"/>
          </w:tcPr>
          <w:p>
            <w:pPr>
              <w:spacing w:after="0"/>
              <w:rPr>
                <w:sz w:val="15"/>
                <w:szCs w:val="15"/>
                <w:color w:val="auto"/>
              </w:rPr>
            </w:pPr>
          </w:p>
        </w:tc>
        <w:tc>
          <w:tcPr>
            <w:tcW w:w="12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1,480</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Accrued vacation expense</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642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519</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Accrued Bonus</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584</w:t>
            </w:r>
          </w:p>
        </w:tc>
        <w:tc>
          <w:tcPr>
            <w:tcW w:w="12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3"/>
              </w:rPr>
              <w:t>--</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874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Income taxes payable</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335</w:t>
            </w:r>
          </w:p>
        </w:tc>
        <w:tc>
          <w:tcPr>
            <w:tcW w:w="12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3"/>
              </w:rPr>
              <w:t>--</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liabilities</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2,228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1,352</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rPr>
              <w:t>Total current liabilities</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8,421</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7,471</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520" w:type="dxa"/>
            <w:vAlign w:val="bottom"/>
          </w:tcPr>
          <w:p>
            <w:pPr>
              <w:spacing w:after="0"/>
              <w:rPr>
                <w:sz w:val="24"/>
                <w:szCs w:val="24"/>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2,831</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2,831</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w:t>
            </w:r>
          </w:p>
        </w:tc>
        <w:tc>
          <w:tcPr>
            <w:tcW w:w="52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11,252</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10,302</w:t>
            </w:r>
          </w:p>
        </w:tc>
      </w:tr>
      <w:tr>
        <w:trPr>
          <w:trHeight w:val="367"/>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rPr>
              <w:t>Total stockholders' equity</w:t>
            </w:r>
          </w:p>
        </w:tc>
        <w:tc>
          <w:tcPr>
            <w:tcW w:w="520" w:type="dxa"/>
            <w:vAlign w:val="bottom"/>
          </w:tcPr>
          <w:p>
            <w:pPr>
              <w:spacing w:after="0"/>
              <w:rPr>
                <w:sz w:val="24"/>
                <w:szCs w:val="24"/>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55,737</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52,971</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$66,989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$63,273</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7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7" w:right="1440" w:bottom="1440" w:gutter="0" w:footer="0" w:header="0"/>
        </w:sectPr>
      </w:pPr>
    </w:p>
    <w:bookmarkStart w:id="4" w:name="page5"/>
    <w:bookmarkEnd w:id="4"/>
    <w:p>
      <w:pPr>
        <w:jc w:val="center"/>
        <w:ind w:right="3900"/>
        <w:spacing w:after="0"/>
        <w:rPr>
          <w:sz w:val="20"/>
          <w:szCs w:val="20"/>
          <w:color w:val="auto"/>
        </w:rPr>
      </w:pPr>
      <w:r>
        <w:rPr>
          <w:rFonts w:ascii="Courier New" w:cs="Courier New" w:eastAsia="Courier New" w:hAnsi="Courier New"/>
          <w:sz w:val="16"/>
          <w:szCs w:val="16"/>
          <w:color w:val="auto"/>
        </w:rPr>
        <w:t>NN Ball &amp; Roller, Inc.</w:t>
      </w:r>
    </w:p>
    <w:p>
      <w:pPr>
        <w:spacing w:after="0" w:line="2"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2"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60" w:type="dxa"/>
            <w:vAlign w:val="bottom"/>
          </w:tcPr>
          <w:p>
            <w:pPr>
              <w:spacing w:after="0"/>
              <w:rPr>
                <w:sz w:val="15"/>
                <w:szCs w:val="15"/>
                <w:color w:val="auto"/>
              </w:rPr>
            </w:pPr>
          </w:p>
        </w:tc>
        <w:tc>
          <w:tcPr>
            <w:tcW w:w="15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Common stock</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Additional</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Other</w:t>
            </w:r>
          </w:p>
        </w:tc>
        <w:tc>
          <w:tcPr>
            <w:tcW w:w="980" w:type="dxa"/>
            <w:vAlign w:val="bottom"/>
          </w:tcPr>
          <w:p>
            <w:pPr>
              <w:spacing w:after="0"/>
              <w:rPr>
                <w:sz w:val="15"/>
                <w:szCs w:val="15"/>
                <w:color w:val="auto"/>
              </w:rPr>
            </w:pPr>
          </w:p>
        </w:tc>
      </w:tr>
      <w:tr>
        <w:trPr>
          <w:trHeight w:val="183"/>
        </w:trPr>
        <w:tc>
          <w:tcPr>
            <w:tcW w:w="3760" w:type="dxa"/>
            <w:vAlign w:val="bottom"/>
          </w:tcPr>
          <w:p>
            <w:pPr>
              <w:spacing w:after="0"/>
              <w:rPr>
                <w:sz w:val="15"/>
                <w:szCs w:val="15"/>
                <w:color w:val="auto"/>
              </w:rPr>
            </w:pPr>
          </w:p>
        </w:tc>
        <w:tc>
          <w:tcPr>
            <w:tcW w:w="1540" w:type="dxa"/>
            <w:vAlign w:val="bottom"/>
          </w:tcPr>
          <w:p>
            <w:pPr>
              <w:jc w:val="center"/>
              <w:ind w:left="1"/>
              <w:spacing w:after="0"/>
              <w:rPr>
                <w:sz w:val="20"/>
                <w:szCs w:val="20"/>
                <w:color w:val="auto"/>
              </w:rPr>
            </w:pPr>
            <w:r>
              <w:rPr>
                <w:rFonts w:ascii="Courier New" w:cs="Courier New" w:eastAsia="Courier New" w:hAnsi="Courier New"/>
                <w:sz w:val="16"/>
                <w:szCs w:val="16"/>
                <w:color w:val="auto"/>
              </w:rPr>
              <w:t>Number</w:t>
            </w:r>
          </w:p>
        </w:tc>
        <w:tc>
          <w:tcPr>
            <w:tcW w:w="220" w:type="dxa"/>
            <w:vAlign w:val="bottom"/>
          </w:tcPr>
          <w:p>
            <w:pPr>
              <w:spacing w:after="0"/>
              <w:rPr>
                <w:sz w:val="15"/>
                <w:szCs w:val="15"/>
                <w:color w:val="auto"/>
              </w:rPr>
            </w:pPr>
          </w:p>
        </w:tc>
        <w:tc>
          <w:tcPr>
            <w:tcW w:w="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Par</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paid in</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Retained</w:t>
            </w:r>
          </w:p>
        </w:tc>
        <w:tc>
          <w:tcPr>
            <w:tcW w:w="15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comprehensive</w:t>
            </w:r>
          </w:p>
        </w:tc>
        <w:tc>
          <w:tcPr>
            <w:tcW w:w="980" w:type="dxa"/>
            <w:vAlign w:val="bottom"/>
          </w:tcPr>
          <w:p>
            <w:pPr>
              <w:spacing w:after="0"/>
              <w:rPr>
                <w:sz w:val="15"/>
                <w:szCs w:val="15"/>
                <w:color w:val="auto"/>
              </w:rPr>
            </w:pPr>
          </w:p>
        </w:tc>
      </w:tr>
      <w:tr>
        <w:trPr>
          <w:trHeight w:val="183"/>
        </w:trPr>
        <w:tc>
          <w:tcPr>
            <w:tcW w:w="3760" w:type="dxa"/>
            <w:vAlign w:val="bottom"/>
          </w:tcPr>
          <w:p>
            <w:pPr>
              <w:spacing w:after="0"/>
              <w:rPr>
                <w:sz w:val="15"/>
                <w:szCs w:val="15"/>
                <w:color w:val="auto"/>
              </w:rPr>
            </w:pPr>
          </w:p>
        </w:tc>
        <w:tc>
          <w:tcPr>
            <w:tcW w:w="15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Of shares</w:t>
            </w:r>
          </w:p>
        </w:tc>
        <w:tc>
          <w:tcPr>
            <w:tcW w:w="220" w:type="dxa"/>
            <w:vAlign w:val="bottom"/>
          </w:tcPr>
          <w:p>
            <w:pPr>
              <w:spacing w:after="0"/>
              <w:rPr>
                <w:sz w:val="15"/>
                <w:szCs w:val="15"/>
                <w:color w:val="auto"/>
              </w:rPr>
            </w:pP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value</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capital</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earnings</w:t>
            </w:r>
          </w:p>
        </w:tc>
        <w:tc>
          <w:tcPr>
            <w:tcW w:w="420" w:type="dxa"/>
            <w:vAlign w:val="bottom"/>
          </w:tcPr>
          <w:p>
            <w:pPr>
              <w:spacing w:after="0"/>
              <w:rPr>
                <w:sz w:val="15"/>
                <w:szCs w:val="15"/>
                <w:color w:val="auto"/>
              </w:rPr>
            </w:pP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7"/>
              </w:rPr>
              <w:t>income</w:t>
            </w:r>
          </w:p>
        </w:tc>
        <w:tc>
          <w:tcPr>
            <w:tcW w:w="9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3760" w:type="dxa"/>
            <w:vAlign w:val="bottom"/>
          </w:tcPr>
          <w:p>
            <w:pPr>
              <w:spacing w:after="0"/>
              <w:rPr>
                <w:sz w:val="15"/>
                <w:szCs w:val="15"/>
                <w:color w:val="auto"/>
              </w:rPr>
            </w:pPr>
          </w:p>
        </w:tc>
        <w:tc>
          <w:tcPr>
            <w:tcW w:w="154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Thousands of Dollars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67"/>
        </w:trPr>
        <w:tc>
          <w:tcPr>
            <w:tcW w:w="3760" w:type="dxa"/>
            <w:vAlign w:val="bottom"/>
          </w:tcPr>
          <w:p>
            <w:pPr>
              <w:spacing w:after="0"/>
              <w:rPr>
                <w:sz w:val="20"/>
                <w:szCs w:val="20"/>
                <w:color w:val="auto"/>
              </w:rPr>
            </w:pPr>
            <w:r>
              <w:rPr>
                <w:rFonts w:ascii="Courier New" w:cs="Courier New" w:eastAsia="Courier New" w:hAnsi="Courier New"/>
                <w:sz w:val="16"/>
                <w:szCs w:val="16"/>
                <w:color w:val="auto"/>
              </w:rPr>
              <w:t>Balance, January 1, 1997</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14,629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146</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$ 26,983</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$ 21,581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$ 48,710</w:t>
            </w:r>
          </w:p>
        </w:tc>
      </w:tr>
      <w:tr>
        <w:trPr>
          <w:trHeight w:val="183"/>
        </w:trPr>
        <w:tc>
          <w:tcPr>
            <w:tcW w:w="376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6,670</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6,670</w:t>
            </w:r>
          </w:p>
        </w:tc>
      </w:tr>
      <w:tr>
        <w:trPr>
          <w:trHeight w:val="183"/>
        </w:trPr>
        <w:tc>
          <w:tcPr>
            <w:tcW w:w="3760" w:type="dxa"/>
            <w:vAlign w:val="bottom"/>
          </w:tcPr>
          <w:p>
            <w:pPr>
              <w:ind w:left="280"/>
              <w:spacing w:after="0"/>
              <w:rPr>
                <w:sz w:val="20"/>
                <w:szCs w:val="20"/>
                <w:color w:val="auto"/>
              </w:rPr>
            </w:pPr>
            <w:r>
              <w:rPr>
                <w:rFonts w:ascii="Courier New" w:cs="Courier New" w:eastAsia="Courier New" w:hAnsi="Courier New"/>
                <w:sz w:val="16"/>
                <w:szCs w:val="16"/>
                <w:color w:val="auto"/>
              </w:rPr>
              <w:t>Dividends</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(3,520)</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(3,520)</w:t>
            </w:r>
          </w:p>
        </w:tc>
      </w:tr>
      <w:tr>
        <w:trPr>
          <w:trHeight w:val="183"/>
        </w:trPr>
        <w:tc>
          <w:tcPr>
            <w:tcW w:w="3760" w:type="dxa"/>
            <w:vAlign w:val="bottom"/>
          </w:tcPr>
          <w:p>
            <w:pPr>
              <w:ind w:left="280"/>
              <w:spacing w:after="0"/>
              <w:rPr>
                <w:sz w:val="20"/>
                <w:szCs w:val="20"/>
                <w:color w:val="auto"/>
              </w:rPr>
            </w:pPr>
            <w:r>
              <w:rPr>
                <w:rFonts w:ascii="Courier New" w:cs="Courier New" w:eastAsia="Courier New" w:hAnsi="Courier New"/>
                <w:sz w:val="16"/>
                <w:szCs w:val="16"/>
                <w:color w:val="auto"/>
              </w:rPr>
              <w:t>Stock options exercised</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361</w:t>
            </w:r>
          </w:p>
        </w:tc>
        <w:tc>
          <w:tcPr>
            <w:tcW w:w="220" w:type="dxa"/>
            <w:vAlign w:val="bottom"/>
          </w:tcPr>
          <w:p>
            <w:pPr>
              <w:spacing w:after="0"/>
              <w:rPr>
                <w:sz w:val="15"/>
                <w:szCs w:val="15"/>
                <w:color w:val="auto"/>
              </w:rPr>
            </w:pP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2,918</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2,922</w:t>
            </w:r>
          </w:p>
        </w:tc>
      </w:tr>
      <w:tr>
        <w:trPr>
          <w:trHeight w:val="183"/>
        </w:trPr>
        <w:tc>
          <w:tcPr>
            <w:tcW w:w="3760" w:type="dxa"/>
            <w:vAlign w:val="bottom"/>
          </w:tcPr>
          <w:p>
            <w:pPr>
              <w:ind w:left="380"/>
              <w:spacing w:after="0"/>
              <w:rPr>
                <w:sz w:val="20"/>
                <w:szCs w:val="20"/>
                <w:color w:val="auto"/>
              </w:rPr>
            </w:pPr>
            <w:r>
              <w:rPr>
                <w:rFonts w:ascii="Courier New" w:cs="Courier New" w:eastAsia="Courier New" w:hAnsi="Courier New"/>
                <w:sz w:val="16"/>
                <w:szCs w:val="16"/>
                <w:color w:val="auto"/>
              </w:rPr>
              <w:t>Stock repurchased</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(186)</w:t>
            </w:r>
          </w:p>
        </w:tc>
        <w:tc>
          <w:tcPr>
            <w:tcW w:w="220" w:type="dxa"/>
            <w:vAlign w:val="bottom"/>
          </w:tcPr>
          <w:p>
            <w:pPr>
              <w:spacing w:after="0"/>
              <w:rPr>
                <w:sz w:val="15"/>
                <w:szCs w:val="15"/>
                <w:color w:val="auto"/>
              </w:rPr>
            </w:pPr>
          </w:p>
        </w:tc>
        <w:tc>
          <w:tcPr>
            <w:tcW w:w="9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(2,123)</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(2,124)</w:t>
            </w:r>
          </w:p>
        </w:tc>
      </w:tr>
      <w:tr>
        <w:trPr>
          <w:trHeight w:val="183"/>
        </w:trPr>
        <w:tc>
          <w:tcPr>
            <w:tcW w:w="3760" w:type="dxa"/>
            <w:vAlign w:val="bottom"/>
          </w:tcPr>
          <w:p>
            <w:pPr>
              <w:ind w:left="380"/>
              <w:spacing w:after="0"/>
              <w:rPr>
                <w:sz w:val="20"/>
                <w:szCs w:val="20"/>
                <w:color w:val="auto"/>
              </w:rPr>
            </w:pPr>
            <w:r>
              <w:rPr>
                <w:rFonts w:ascii="Courier New" w:cs="Courier New" w:eastAsia="Courier New" w:hAnsi="Courier New"/>
                <w:sz w:val="16"/>
                <w:szCs w:val="16"/>
                <w:color w:val="auto"/>
              </w:rPr>
              <w:t>Other comprehensive income (loss)</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3760" w:type="dxa"/>
            <w:vAlign w:val="bottom"/>
          </w:tcPr>
          <w:p>
            <w:pPr>
              <w:spacing w:after="0"/>
              <w:rPr>
                <w:sz w:val="15"/>
                <w:szCs w:val="15"/>
                <w:color w:val="auto"/>
              </w:rPr>
            </w:pP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760" w:type="dxa"/>
            <w:vAlign w:val="bottom"/>
          </w:tcPr>
          <w:p>
            <w:pPr>
              <w:spacing w:after="0"/>
              <w:rPr>
                <w:sz w:val="20"/>
                <w:szCs w:val="20"/>
                <w:color w:val="auto"/>
              </w:rPr>
            </w:pPr>
            <w:r>
              <w:rPr>
                <w:rFonts w:ascii="Courier New" w:cs="Courier New" w:eastAsia="Courier New" w:hAnsi="Courier New"/>
                <w:sz w:val="16"/>
                <w:szCs w:val="16"/>
                <w:color w:val="auto"/>
              </w:rPr>
              <w:t>Balance, September 30, 1997</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14,804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149</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$ 27,778</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$ 24,731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$ 52,617</w:t>
            </w:r>
          </w:p>
        </w:tc>
      </w:tr>
      <w:tr>
        <w:trPr>
          <w:trHeight w:val="183"/>
        </w:trPr>
        <w:tc>
          <w:tcPr>
            <w:tcW w:w="3760" w:type="dxa"/>
            <w:vAlign w:val="bottom"/>
          </w:tcPr>
          <w:p>
            <w:pPr>
              <w:spacing w:after="0"/>
              <w:rPr>
                <w:sz w:val="15"/>
                <w:szCs w:val="15"/>
                <w:color w:val="auto"/>
              </w:rPr>
            </w:pP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760" w:type="dxa"/>
            <w:vAlign w:val="bottom"/>
          </w:tcPr>
          <w:p>
            <w:pPr>
              <w:spacing w:after="0"/>
              <w:rPr>
                <w:sz w:val="15"/>
                <w:szCs w:val="15"/>
                <w:color w:val="auto"/>
              </w:rPr>
            </w:pP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760" w:type="dxa"/>
            <w:vAlign w:val="bottom"/>
          </w:tcPr>
          <w:p>
            <w:pPr>
              <w:spacing w:after="0"/>
              <w:rPr>
                <w:sz w:val="20"/>
                <w:szCs w:val="20"/>
                <w:color w:val="auto"/>
              </w:rPr>
            </w:pPr>
            <w:r>
              <w:rPr>
                <w:rFonts w:ascii="Courier New" w:cs="Courier New" w:eastAsia="Courier New" w:hAnsi="Courier New"/>
                <w:sz w:val="16"/>
                <w:szCs w:val="16"/>
                <w:color w:val="auto"/>
              </w:rPr>
              <w:t>Balance, January 1, 1998</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14,804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149</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$ 27,902</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$ 25,387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$ 52,971</w:t>
            </w:r>
          </w:p>
        </w:tc>
      </w:tr>
      <w:tr>
        <w:trPr>
          <w:trHeight w:val="183"/>
        </w:trPr>
        <w:tc>
          <w:tcPr>
            <w:tcW w:w="37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6,116</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6,116</w:t>
            </w:r>
          </w:p>
        </w:tc>
      </w:tr>
      <w:tr>
        <w:trPr>
          <w:trHeight w:val="183"/>
        </w:trPr>
        <w:tc>
          <w:tcPr>
            <w:tcW w:w="3760" w:type="dxa"/>
            <w:vAlign w:val="bottom"/>
          </w:tcPr>
          <w:p>
            <w:pPr>
              <w:ind w:left="180"/>
              <w:spacing w:after="0"/>
              <w:rPr>
                <w:sz w:val="20"/>
                <w:szCs w:val="20"/>
                <w:color w:val="auto"/>
              </w:rPr>
            </w:pPr>
            <w:r>
              <w:rPr>
                <w:rFonts w:ascii="Courier New" w:cs="Courier New" w:eastAsia="Courier New" w:hAnsi="Courier New"/>
                <w:sz w:val="16"/>
                <w:szCs w:val="16"/>
                <w:color w:val="auto"/>
              </w:rPr>
              <w:t>Dividends  paid</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(3,553)</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(3,553)</w:t>
            </w:r>
          </w:p>
        </w:tc>
      </w:tr>
      <w:tr>
        <w:trPr>
          <w:trHeight w:val="183"/>
        </w:trPr>
        <w:tc>
          <w:tcPr>
            <w:tcW w:w="376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203</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203</w:t>
            </w:r>
          </w:p>
        </w:tc>
      </w:tr>
      <w:tr>
        <w:trPr>
          <w:trHeight w:val="183"/>
        </w:trPr>
        <w:tc>
          <w:tcPr>
            <w:tcW w:w="3760" w:type="dxa"/>
            <w:vAlign w:val="bottom"/>
          </w:tcPr>
          <w:p>
            <w:pPr>
              <w:spacing w:after="0"/>
              <w:rPr>
                <w:sz w:val="15"/>
                <w:szCs w:val="15"/>
                <w:color w:val="auto"/>
              </w:rPr>
            </w:pP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760" w:type="dxa"/>
            <w:vAlign w:val="bottom"/>
          </w:tcPr>
          <w:p>
            <w:pPr>
              <w:spacing w:after="0"/>
              <w:rPr>
                <w:sz w:val="20"/>
                <w:szCs w:val="20"/>
                <w:color w:val="auto"/>
              </w:rPr>
            </w:pPr>
            <w:r>
              <w:rPr>
                <w:rFonts w:ascii="Courier New" w:cs="Courier New" w:eastAsia="Courier New" w:hAnsi="Courier New"/>
                <w:sz w:val="16"/>
                <w:szCs w:val="16"/>
                <w:color w:val="auto"/>
              </w:rPr>
              <w:t>Balance, September 30, 1998</w:t>
            </w: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14,804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149</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$ 27,902</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$ 27,950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(264)</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$ 55,737</w:t>
            </w:r>
          </w:p>
        </w:tc>
      </w:tr>
      <w:tr>
        <w:trPr>
          <w:trHeight w:val="183"/>
        </w:trPr>
        <w:tc>
          <w:tcPr>
            <w:tcW w:w="3760" w:type="dxa"/>
            <w:vAlign w:val="bottom"/>
          </w:tcPr>
          <w:p>
            <w:pPr>
              <w:spacing w:after="0"/>
              <w:rPr>
                <w:sz w:val="15"/>
                <w:szCs w:val="15"/>
                <w:color w:val="auto"/>
              </w:rPr>
            </w:pP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760" w:type="dxa"/>
            <w:vAlign w:val="bottom"/>
          </w:tcPr>
          <w:p>
            <w:pPr>
              <w:spacing w:after="0"/>
              <w:rPr>
                <w:sz w:val="15"/>
                <w:szCs w:val="15"/>
                <w:color w:val="auto"/>
              </w:rPr>
            </w:pPr>
          </w:p>
        </w:tc>
        <w:tc>
          <w:tcPr>
            <w:tcW w:w="15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65" w:right="139" w:bottom="1440" w:gutter="0" w:footer="0" w:header="0"/>
        </w:sectPr>
      </w:pPr>
    </w:p>
    <w:bookmarkStart w:id="5" w:name="page6"/>
    <w:bookmarkEnd w:id="5"/>
    <w:p>
      <w:pPr>
        <w:ind w:left="2200" w:right="4779" w:firstLine="564"/>
        <w:spacing w:after="0" w:line="259" w:lineRule="auto"/>
        <w:tabs>
          <w:tab w:leader="none" w:pos="305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Condensed Statements of Cash Flows</w:t>
      </w:r>
    </w:p>
    <w:p>
      <w:pPr>
        <w:ind w:left="33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Nine Months Ended</w:t>
            </w:r>
          </w:p>
        </w:tc>
      </w:tr>
      <w:tr>
        <w:trPr>
          <w:trHeight w:val="183"/>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September 30,</w:t>
            </w:r>
          </w:p>
        </w:tc>
      </w:tr>
      <w:tr>
        <w:trPr>
          <w:trHeight w:val="183"/>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7"/>
              </w:rPr>
              <w:t>Thousands of</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Dollars</w:t>
            </w:r>
          </w:p>
        </w:tc>
      </w:tr>
      <w:tr>
        <w:trPr>
          <w:trHeight w:val="367"/>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6,116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6,670</w:t>
            </w:r>
          </w:p>
        </w:tc>
      </w:tr>
      <w:tr>
        <w:trPr>
          <w:trHeight w:val="183"/>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5000" w:type="dxa"/>
            <w:vAlign w:val="bottom"/>
          </w:tcPr>
          <w:p>
            <w:pPr>
              <w:ind w:left="380"/>
              <w:spacing w:after="0"/>
              <w:rPr>
                <w:sz w:val="20"/>
                <w:szCs w:val="20"/>
                <w:color w:val="auto"/>
              </w:rPr>
            </w:pPr>
            <w:r>
              <w:rPr>
                <w:rFonts w:ascii="Courier New" w:cs="Courier New" w:eastAsia="Courier New" w:hAnsi="Courier New"/>
                <w:sz w:val="16"/>
                <w:szCs w:val="16"/>
                <w:color w:val="auto"/>
              </w:rPr>
              <w:t>Depreciation</w:t>
            </w:r>
          </w:p>
        </w:tc>
        <w:tc>
          <w:tcPr>
            <w:tcW w:w="34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3,550</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3,164</w:t>
            </w:r>
          </w:p>
        </w:tc>
      </w:tr>
      <w:tr>
        <w:trPr>
          <w:trHeight w:val="183"/>
        </w:trPr>
        <w:tc>
          <w:tcPr>
            <w:tcW w:w="5000" w:type="dxa"/>
            <w:vAlign w:val="bottom"/>
          </w:tcPr>
          <w:p>
            <w:pPr>
              <w:ind w:left="3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500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w:t>
            </w:r>
          </w:p>
        </w:tc>
        <w:tc>
          <w:tcPr>
            <w:tcW w:w="3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(165)</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3,392</w:t>
            </w:r>
          </w:p>
        </w:tc>
      </w:tr>
      <w:tr>
        <w:trPr>
          <w:trHeight w:val="183"/>
        </w:trPr>
        <w:tc>
          <w:tcPr>
            <w:tcW w:w="5000" w:type="dxa"/>
            <w:vAlign w:val="bottom"/>
          </w:tcPr>
          <w:p>
            <w:pPr>
              <w:ind w:left="580"/>
              <w:spacing w:after="0"/>
              <w:rPr>
                <w:sz w:val="20"/>
                <w:szCs w:val="20"/>
                <w:color w:val="auto"/>
              </w:rPr>
            </w:pPr>
            <w:r>
              <w:rPr>
                <w:rFonts w:ascii="Courier New" w:cs="Courier New" w:eastAsia="Courier New" w:hAnsi="Courier New"/>
                <w:sz w:val="16"/>
                <w:szCs w:val="16"/>
                <w:color w:val="auto"/>
              </w:rPr>
              <w:t>Inventories</w:t>
            </w:r>
          </w:p>
        </w:tc>
        <w:tc>
          <w:tcPr>
            <w:tcW w:w="3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(1,857)</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(380)</w:t>
            </w:r>
          </w:p>
        </w:tc>
      </w:tr>
      <w:tr>
        <w:trPr>
          <w:trHeight w:val="183"/>
        </w:trPr>
        <w:tc>
          <w:tcPr>
            <w:tcW w:w="5000" w:type="dxa"/>
            <w:vAlign w:val="bottom"/>
          </w:tcPr>
          <w:p>
            <w:pPr>
              <w:ind w:left="580"/>
              <w:spacing w:after="0"/>
              <w:rPr>
                <w:sz w:val="20"/>
                <w:szCs w:val="20"/>
                <w:color w:val="auto"/>
              </w:rPr>
            </w:pPr>
            <w:r>
              <w:rPr>
                <w:rFonts w:ascii="Courier New" w:cs="Courier New" w:eastAsia="Courier New" w:hAnsi="Courier New"/>
                <w:sz w:val="16"/>
                <w:szCs w:val="16"/>
                <w:color w:val="auto"/>
              </w:rPr>
              <w:t>Income taxes</w:t>
            </w:r>
          </w:p>
        </w:tc>
        <w:tc>
          <w:tcPr>
            <w:tcW w:w="34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335</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r>
      <w:tr>
        <w:trPr>
          <w:trHeight w:val="183"/>
        </w:trPr>
        <w:tc>
          <w:tcPr>
            <w:tcW w:w="5000" w:type="dxa"/>
            <w:vAlign w:val="bottom"/>
          </w:tcPr>
          <w:p>
            <w:pPr>
              <w:ind w:left="580"/>
              <w:spacing w:after="0"/>
              <w:rPr>
                <w:sz w:val="20"/>
                <w:szCs w:val="20"/>
                <w:color w:val="auto"/>
              </w:rPr>
            </w:pPr>
            <w:r>
              <w:rPr>
                <w:rFonts w:ascii="Courier New" w:cs="Courier New" w:eastAsia="Courier New" w:hAnsi="Courier New"/>
                <w:sz w:val="16"/>
                <w:szCs w:val="16"/>
                <w:color w:val="auto"/>
              </w:rPr>
              <w:t>Other current assets</w:t>
            </w:r>
          </w:p>
        </w:tc>
        <w:tc>
          <w:tcPr>
            <w:tcW w:w="3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(82)</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(655)</w:t>
            </w:r>
          </w:p>
        </w:tc>
      </w:tr>
      <w:tr>
        <w:trPr>
          <w:trHeight w:val="183"/>
        </w:trPr>
        <w:tc>
          <w:tcPr>
            <w:tcW w:w="500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w:t>
            </w:r>
          </w:p>
        </w:tc>
        <w:tc>
          <w:tcPr>
            <w:tcW w:w="34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96</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866</w:t>
            </w:r>
          </w:p>
        </w:tc>
      </w:tr>
      <w:tr>
        <w:trPr>
          <w:trHeight w:val="183"/>
        </w:trPr>
        <w:tc>
          <w:tcPr>
            <w:tcW w:w="5000" w:type="dxa"/>
            <w:vAlign w:val="bottom"/>
          </w:tcPr>
          <w:p>
            <w:pPr>
              <w:ind w:left="580"/>
              <w:spacing w:after="0"/>
              <w:rPr>
                <w:sz w:val="20"/>
                <w:szCs w:val="20"/>
                <w:color w:val="auto"/>
              </w:rPr>
            </w:pPr>
            <w:r>
              <w:rPr>
                <w:rFonts w:ascii="Courier New" w:cs="Courier New" w:eastAsia="Courier New" w:hAnsi="Courier New"/>
                <w:sz w:val="16"/>
                <w:szCs w:val="16"/>
                <w:color w:val="auto"/>
              </w:rPr>
              <w:t>Other liabilities</w:t>
            </w:r>
          </w:p>
        </w:tc>
        <w:tc>
          <w:tcPr>
            <w:tcW w:w="34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1,158</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ind w:left="8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4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9,992</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13,790</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Acquisition of plant, property, and equipment</w:t>
            </w:r>
          </w:p>
        </w:tc>
        <w:tc>
          <w:tcPr>
            <w:tcW w:w="3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(4,645)</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(6,888)</w:t>
            </w: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34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ind w:left="860"/>
              <w:spacing w:after="0"/>
              <w:rPr>
                <w:sz w:val="20"/>
                <w:szCs w:val="20"/>
                <w:color w:val="auto"/>
              </w:rPr>
            </w:pPr>
            <w:r>
              <w:rPr>
                <w:rFonts w:ascii="Courier New" w:cs="Courier New" w:eastAsia="Courier New" w:hAnsi="Courier New"/>
                <w:sz w:val="16"/>
                <w:szCs w:val="16"/>
                <w:color w:val="auto"/>
              </w:rPr>
              <w:t>Net cash used by investing activities</w:t>
            </w:r>
          </w:p>
        </w:tc>
        <w:tc>
          <w:tcPr>
            <w:tcW w:w="3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(4,645)</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(6,844)</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00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Payments under revolving credit facility</w:t>
            </w:r>
          </w:p>
        </w:tc>
        <w:tc>
          <w:tcPr>
            <w:tcW w:w="3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(1,480)</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(2,308)</w:t>
            </w: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3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(3,553)</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(3,520)</w:t>
            </w: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Stock options exercised</w:t>
            </w:r>
          </w:p>
        </w:tc>
        <w:tc>
          <w:tcPr>
            <w:tcW w:w="34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2,922</w:t>
            </w: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Stock repurchased</w:t>
            </w:r>
          </w:p>
        </w:tc>
        <w:tc>
          <w:tcPr>
            <w:tcW w:w="34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(2,124)</w:t>
            </w: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Cumulative effect of currency translation</w:t>
            </w:r>
          </w:p>
        </w:tc>
        <w:tc>
          <w:tcPr>
            <w:tcW w:w="34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203</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ind w:left="860"/>
              <w:spacing w:after="0"/>
              <w:rPr>
                <w:sz w:val="20"/>
                <w:szCs w:val="20"/>
                <w:color w:val="auto"/>
              </w:rPr>
            </w:pPr>
            <w:r>
              <w:rPr>
                <w:rFonts w:ascii="Courier New" w:cs="Courier New" w:eastAsia="Courier New" w:hAnsi="Courier New"/>
                <w:sz w:val="16"/>
                <w:szCs w:val="16"/>
                <w:color w:val="auto"/>
              </w:rPr>
              <w:t>Net cash (used) by financing activities</w:t>
            </w:r>
          </w:p>
        </w:tc>
        <w:tc>
          <w:tcPr>
            <w:tcW w:w="340" w:type="dxa"/>
            <w:vAlign w:val="bottom"/>
          </w:tcPr>
          <w:p>
            <w:pPr>
              <w:spacing w:after="0"/>
              <w:rPr>
                <w:sz w:val="15"/>
                <w:szCs w:val="15"/>
                <w:color w:val="auto"/>
              </w:rPr>
            </w:pPr>
          </w:p>
        </w:tc>
        <w:tc>
          <w:tcPr>
            <w:tcW w:w="12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(4,830)</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(5,071)</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00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340" w:type="dxa"/>
            <w:vAlign w:val="bottom"/>
          </w:tcPr>
          <w:p>
            <w:pPr>
              <w:spacing w:after="0"/>
              <w:rPr>
                <w:sz w:val="24"/>
                <w:szCs w:val="24"/>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517</w:t>
            </w:r>
          </w:p>
        </w:tc>
        <w:tc>
          <w:tcPr>
            <w:tcW w:w="14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1,875</w:t>
            </w:r>
          </w:p>
        </w:tc>
      </w:tr>
      <w:tr>
        <w:trPr>
          <w:trHeight w:val="183"/>
        </w:trPr>
        <w:tc>
          <w:tcPr>
            <w:tcW w:w="50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4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366</w:t>
            </w:r>
          </w:p>
        </w:tc>
        <w:tc>
          <w:tcPr>
            <w:tcW w:w="1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883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1,875</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7" w:right="1440" w:bottom="1440" w:gutter="0" w:footer="0" w:header="0"/>
        </w:sectPr>
      </w:pPr>
    </w:p>
    <w:bookmarkStart w:id="6" w:name="page7"/>
    <w:bookmarkEnd w:id="6"/>
    <w:p>
      <w:pPr>
        <w:ind w:left="2760"/>
        <w:spacing w:after="0"/>
        <w:rPr>
          <w:sz w:val="20"/>
          <w:szCs w:val="20"/>
          <w:color w:val="auto"/>
        </w:rPr>
      </w:pPr>
      <w:r>
        <w:rPr>
          <w:rFonts w:ascii="Courier New" w:cs="Courier New" w:eastAsia="Courier New" w:hAnsi="Courier New"/>
          <w:sz w:val="16"/>
          <w:szCs w:val="16"/>
          <w:color w:val="auto"/>
        </w:rPr>
        <w:t>NN Ball &amp; Roller, Inc.</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Interim Financial Statements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accompanying condensed financial statements of NN Ball &amp; Roller, Inc. have not been audited by independent accountants, except for the balance sheet at December 31, 1997. In the opinion of the Company's management, the financial statements reflect all adjustments necessary to present fairly the results of operations for the three and nine month periods ended September 30, 1998 and 1997, the Company's financial position at September 30, 1998 and December 31, 1997, and the cash flows for the nine month periods ended September 30, 1998 and 1997. These adjustments are of a normal recurring nature and are, in the opinion of management, necessary for fair presentation of the financial position and operating results for the interim periods.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June 1997, the FASB issued Statement No. 130 "Reporting Comprehensive Income" (FAS 130), which established standards for reporting and displaying comprehensive income and its components within an entity's financial statements. FAS 130, which is effective for the Company's 1998 first quarter financial reporting, defines the components of other comprehensive income to include foreign currency translation adjustments, unrealized gains and losses on marketable securities and minimum pension adjustments. Currently the Company's only component of comprehensive income is foreign currency translation which is presented before tax due to the Company's intention to indefinitely reinvest earnings of its subsidiary outside the United States.</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89"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The results for the first three quarters of 1998 are not necessarily indicative of future results.</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Inventories</w:t>
      </w:r>
    </w:p>
    <w:p>
      <w:pPr>
        <w:spacing w:after="0" w:line="188" w:lineRule="exact"/>
        <w:rPr>
          <w:sz w:val="20"/>
          <w:szCs w:val="20"/>
          <w:color w:val="auto"/>
        </w:rPr>
      </w:pPr>
    </w:p>
    <w:p>
      <w:pPr>
        <w:ind w:right="3539"/>
        <w:spacing w:after="0" w:line="239"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7"/>
              </w:rPr>
              <w:t>September 30,</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December 31,</w:t>
            </w:r>
          </w:p>
        </w:tc>
      </w:tr>
      <w:tr>
        <w:trPr>
          <w:trHeight w:val="18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(Unaudited)</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482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367"/>
        </w:trPr>
        <w:tc>
          <w:tcPr>
            <w:tcW w:w="482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2,939</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2,911</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32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2,729</w:t>
            </w:r>
          </w:p>
        </w:tc>
        <w:tc>
          <w:tcPr>
            <w:tcW w:w="32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2,793</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32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8,114</w:t>
            </w:r>
          </w:p>
        </w:tc>
        <w:tc>
          <w:tcPr>
            <w:tcW w:w="32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6,221</w:t>
            </w:r>
          </w:p>
        </w:tc>
      </w:tr>
      <w:tr>
        <w:trPr>
          <w:trHeight w:val="183"/>
        </w:trPr>
        <w:tc>
          <w:tcPr>
            <w:tcW w:w="482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13,782</w:t>
            </w:r>
          </w:p>
        </w:tc>
        <w:tc>
          <w:tcPr>
            <w:tcW w:w="32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11,925</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Less - Reserve for excess and obsolete inventory</w:t>
            </w:r>
          </w:p>
        </w:tc>
        <w:tc>
          <w:tcPr>
            <w:tcW w:w="32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w:t>
            </w:r>
          </w:p>
        </w:tc>
        <w:tc>
          <w:tcPr>
            <w:tcW w:w="32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w:t>
            </w:r>
          </w:p>
        </w:tc>
      </w:tr>
      <w:tr>
        <w:trPr>
          <w:trHeight w:val="183"/>
        </w:trPr>
        <w:tc>
          <w:tcPr>
            <w:tcW w:w="482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13,722</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11,865</w:t>
            </w:r>
          </w:p>
        </w:tc>
      </w:tr>
      <w:tr>
        <w:trPr>
          <w:trHeight w:val="183"/>
        </w:trPr>
        <w:tc>
          <w:tcPr>
            <w:tcW w:w="482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917"/>
        </w:trPr>
        <w:tc>
          <w:tcPr>
            <w:tcW w:w="4820" w:type="dxa"/>
            <w:vAlign w:val="bottom"/>
          </w:tcPr>
          <w:p>
            <w:pPr>
              <w:ind w:left="3720"/>
              <w:spacing w:after="0"/>
              <w:rPr>
                <w:sz w:val="20"/>
                <w:szCs w:val="20"/>
                <w:color w:val="auto"/>
              </w:rPr>
            </w:pPr>
            <w:r>
              <w:rPr>
                <w:rFonts w:ascii="Courier New" w:cs="Courier New" w:eastAsia="Courier New" w:hAnsi="Courier New"/>
                <w:sz w:val="16"/>
                <w:szCs w:val="16"/>
                <w:color w:val="auto"/>
              </w:rPr>
              <w:t>6</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20"/>
                <w:szCs w:val="20"/>
                <w:color w:val="auto"/>
              </w:rPr>
            </w:pPr>
            <w:r>
              <w:rPr>
                <w:rFonts w:ascii="Courier New" w:cs="Courier New" w:eastAsia="Courier New" w:hAnsi="Courier New"/>
                <w:sz w:val="16"/>
                <w:szCs w:val="16"/>
                <w:color w:val="auto"/>
              </w:rPr>
              <w:t>Note 3.  Net Income Per Share</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917"/>
        </w:trPr>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Three Months Ended</w:t>
            </w:r>
          </w:p>
        </w:tc>
        <w:tc>
          <w:tcPr>
            <w:tcW w:w="200" w:type="dxa"/>
            <w:vAlign w:val="bottom"/>
          </w:tcPr>
          <w:p>
            <w:pPr>
              <w:spacing w:after="0"/>
              <w:rPr>
                <w:sz w:val="24"/>
                <w:szCs w:val="24"/>
                <w:color w:val="auto"/>
              </w:rPr>
            </w:pPr>
          </w:p>
        </w:tc>
        <w:tc>
          <w:tcPr>
            <w:tcW w:w="248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Nine Months Ended</w:t>
            </w:r>
          </w:p>
        </w:tc>
      </w:tr>
      <w:tr>
        <w:trPr>
          <w:trHeight w:val="183"/>
        </w:trPr>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3"/>
          </w:tcPr>
          <w:p>
            <w:pPr>
              <w:jc w:val="right"/>
              <w:ind w:right="881"/>
              <w:spacing w:after="0"/>
              <w:rPr>
                <w:sz w:val="20"/>
                <w:szCs w:val="20"/>
                <w:color w:val="auto"/>
              </w:rPr>
            </w:pPr>
            <w:r>
              <w:rPr>
                <w:rFonts w:ascii="Courier New" w:cs="Courier New" w:eastAsia="Courier New" w:hAnsi="Courier New"/>
                <w:sz w:val="16"/>
                <w:szCs w:val="16"/>
                <w:color w:val="auto"/>
              </w:rPr>
              <w:t>September 30,</w:t>
            </w:r>
          </w:p>
        </w:tc>
        <w:tc>
          <w:tcPr>
            <w:tcW w:w="200" w:type="dxa"/>
            <w:vAlign w:val="bottom"/>
          </w:tcPr>
          <w:p>
            <w:pPr>
              <w:spacing w:after="0"/>
              <w:rPr>
                <w:sz w:val="15"/>
                <w:szCs w:val="15"/>
                <w:color w:val="auto"/>
              </w:rPr>
            </w:pPr>
          </w:p>
        </w:tc>
        <w:tc>
          <w:tcPr>
            <w:tcW w:w="2480" w:type="dxa"/>
            <w:vAlign w:val="bottom"/>
            <w:gridSpan w:val="3"/>
          </w:tcPr>
          <w:p>
            <w:pPr>
              <w:ind w:left="560"/>
              <w:spacing w:after="0"/>
              <w:rPr>
                <w:sz w:val="20"/>
                <w:szCs w:val="20"/>
                <w:color w:val="auto"/>
              </w:rPr>
            </w:pPr>
            <w:r>
              <w:rPr>
                <w:rFonts w:ascii="Courier New" w:cs="Courier New" w:eastAsia="Courier New" w:hAnsi="Courier New"/>
                <w:sz w:val="16"/>
                <w:szCs w:val="16"/>
                <w:color w:val="auto"/>
              </w:rPr>
              <w:t>September 30,</w:t>
            </w:r>
          </w:p>
        </w:tc>
      </w:tr>
      <w:tr>
        <w:trPr>
          <w:trHeight w:val="183"/>
        </w:trPr>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13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Thousands of</w:t>
            </w: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Dollars, Except</w:t>
            </w:r>
          </w:p>
        </w:tc>
        <w:tc>
          <w:tcPr>
            <w:tcW w:w="26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Share and Per Share Data</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1,299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6,670</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Adjustments to net income</w:t>
            </w:r>
          </w:p>
        </w:tc>
        <w:tc>
          <w:tcPr>
            <w:tcW w:w="34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8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1,299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6,670</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Basic shares outstanding</w:t>
            </w:r>
          </w:p>
        </w:tc>
        <w:tc>
          <w:tcPr>
            <w:tcW w:w="34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14,804,244</w:t>
            </w:r>
          </w:p>
        </w:tc>
        <w:tc>
          <w:tcPr>
            <w:tcW w:w="28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14,804,244</w:t>
            </w:r>
          </w:p>
        </w:tc>
        <w:tc>
          <w:tcPr>
            <w:tcW w:w="20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14,804,244</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14,804,244</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Effect of dilutive stock options</w:t>
            </w:r>
          </w:p>
        </w:tc>
        <w:tc>
          <w:tcPr>
            <w:tcW w:w="34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28,396</w:t>
            </w:r>
          </w:p>
        </w:tc>
        <w:tc>
          <w:tcPr>
            <w:tcW w:w="20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3,479</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10,289</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Dilutive shares outstanding</w:t>
            </w:r>
          </w:p>
        </w:tc>
        <w:tc>
          <w:tcPr>
            <w:tcW w:w="34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14,804,244</w:t>
            </w:r>
          </w:p>
        </w:tc>
        <w:tc>
          <w:tcPr>
            <w:tcW w:w="28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14,832,640</w:t>
            </w:r>
          </w:p>
        </w:tc>
        <w:tc>
          <w:tcPr>
            <w:tcW w:w="20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14,807,723</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14,814,533</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0.08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0.09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0.41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0.45</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0.08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0.09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0.41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0.45</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Excluded from the shares outstanding for the third quarter ended September 30, 1998 and 1997 were 501,375 and 74,500 antidilutive options, respectively, which had exercise prices ranging from $9.39 to $15.50 and $12.50 to $15.50, respectively. Excluded from the shares outstanding for the nine months ended September 30, 1998 and 1997 were 466,500 and 224,500 antidilutive options, respectively, which had exercise prices ranging from $10.44 to $15.50 and $11.92 to $15.50, respectively.</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48" w:right="1440" w:bottom="1440" w:gutter="0" w:footer="0" w:header="0"/>
        </w:sectPr>
      </w:pPr>
    </w:p>
    <w:bookmarkStart w:id="8" w:name="page9"/>
    <w:bookmarkEnd w:id="8"/>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Three Months Ended September 30, 1998 Compared to the Three Months Ended September 30, 1997</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Net Sales. Net sales decreased by approximately $442,000, or 2.6%, from $17.3 million for the third quarter of 1997 to $16.8 million for the third quarter of 1998. Foreign sales decreased $1.5 million , or 19.5 %, from $7.7 million in the third quarter of 1997 to $6.2 million during the third quarter of 1998. The decrease in foreign sales was due primarily to the financial crisis in Asia and the impact of the relative strength of the U.S. dollar against world currencies. Domestic sales increased $1.0 million, or 10.4%, from $9.6 million in the third quarter of 1997 to $10.6 million in the third quarter of 1998.</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Gross Profit. Gross profit decreased $218,000, or 4.5%, from $4.8 million for the third quarter of 1997 to $4.6 million for the third quarter of 1998. As a percentage of net sales, gross profit decreased from 28.1% in the third quarter of 1997 to 27.6% for the same period in 1998. This decrease in gross profit as a percentage of net sales was due primarily to decreased levels of volume in the third quarter of 1998 as compared to the third quarter of 1997 and to related capacity under-utilization at the Company's manufacturing facilities.</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slightly from $1.51 million in the third quarter of 1997 to $1.53 million in the third quarter of 1998. This increase was due primarily to increased expenses related to the Ireland facility, which began production in the fourth quarter of 1997, as well as planned increases to implement the Company's strategic plan. As a percentage of net sales, selling, general and administrative expenses increased from 8.8% for the third quarter of 1997 to 9.1% for the same period in 1998.</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Depreciation. Depreciation expense increased from $1.1 million for the third quarter of 1997 to $1.2 million for the same period in 1998. This increase was due primarily to purchases of capital equipment related to the new Ireland facility which began production in the fourth quarter of 1997. As a percentage of net sales, depreciation expense increased from 6.2% for in the third quarter of 1997 to 7.2% in the third quarter of 1998.</w:t>
      </w:r>
    </w:p>
    <w:p>
      <w:pPr>
        <w:spacing w:after="0" w:line="187"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Net Income. Net income decreased by $174,000, or 13.4%, from $1.3 million for the third quarter of 1997 to $1.1 million for the same period in 1998. As a percentage of net sales, net income decreased from 7.5% in the third quarter of 1997 to 6.7% for the third quarter of 1998.</w:t>
      </w:r>
    </w:p>
    <w:p>
      <w:pPr>
        <w:spacing w:after="0" w:line="372"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Nine Months Ended September 30, 1998 Compared to the Nine Months Ended September 30,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Net sales decreased by approximately $1.2 million, or 2.0%, from</w:t>
      </w:r>
    </w:p>
    <w:p>
      <w:pPr>
        <w:spacing w:after="0" w:line="5"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$58.5 million for the first nine months of 1997 to $57.3 million for the same period in 1998. Foreign sales decreased $1.7 million, or 6.2%, from $27.3 million in the first nine months of 1997 to $25.6 million during the same period of 1998. The decrease in foreign sales was due primarily to the financial crisis in Asia and the impact of the relative strength of the U.S. dollar against world currencies. Domestic sales increased $503,000, or 1.6 %, from $31.2 million in the first nine months of 1997 to $31.7 million in the same period of 1998.</w:t>
      </w:r>
    </w:p>
    <w:p>
      <w:pPr>
        <w:spacing w:after="0" w:line="174"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Gross Profit. Gross profit decreased $536,000, or 3.0%, from $18.0 million for the first nine months of 1997 to $17.4 million for the same period of 1998. As a percentage of net sales, gross profit decreased from 30.7% in the first nine months of 1997 to 30.4% in the same period of 1998. The decrease in gross profit as a percentage of sales was due primarily to decreased levels of volume during the first nine months of 1998 as compared to the first nine months of 1997 and related capacity under-utilization at the Company's manufacturing facilities.</w:t>
      </w: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5" w:right="1440" w:bottom="1440" w:gutter="0" w:footer="0" w:header="0"/>
        </w:sectPr>
      </w:pPr>
    </w:p>
    <w:bookmarkStart w:id="9" w:name="page10"/>
    <w:bookmarkEnd w:id="9"/>
    <w:p>
      <w:pPr>
        <w:ind w:right="2599"/>
        <w:spacing w:after="0" w:line="242"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$313,000, or 7.7%, from $4.1 million in the first nine months of 1997 to $4.4 million in the same period of 1998. This increase was due primarily to increased expenses related to the Ireland facility, which began production in the fourth quarter of 1997, as well as planned increases to implement the Company's strategic plan. As a percentage of net sales, selling, general and administrative expenses increased from 6.9% in the first nine months of 1997 to 7.6% for the same period in 1998.</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Depreciation. Depreciation expense increased from $3.2 million for the first nine months of 1997 to $3.6 million for the same period in 1998. This increase was due primarily to purchases of capital equipment related to the new Ireland facility which began production in the fourth quarter of 1997. As a percentage of net sales, depreciation expense increased from 5.4% for the first nine months of 1997 to 6.2% for the same period in 1998.</w:t>
      </w:r>
    </w:p>
    <w:p>
      <w:pPr>
        <w:spacing w:after="0" w:line="187"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Net Income. Net income decreased by $554,000, or 8.3%, from $6.7 million for the first nine months of 1997 to $6.1 million for the same period for 1998. As a percentage of net sales, net income decreased from 11.4% for the first nine months of 1997 to 10.6% for the same period for 1998.</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 July 1997, the Company terminated its $10.0 million revolving credit facility and entered into a loan agreement with First American National Bank ("First American"). This loan agreement provides for a revolving credit facility of up to $25 million, which will expire on June 30, 2000.</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contains customary financial covenants with respect to the Company, including a covenant that the Company's earnings will not decrease in any year by more than fifty percent of earnings in the Company's immediately preceding fiscal year. The Company is in compliance with all such covenants.</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Due to the continuing expansion of the Company's foreign sales, management believes that the Company's working capital requirements will increase as a result of longer payment terms provided to foreign customers.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the fourth quarter of 1997, upon commencement of production in its Kilkenny, Ireland facility, the Company began to bill and receive payment from some of its foreign customers in their own currency. Various strategies to manage this risk are under development and implementation, including a hedging program. In addition, a strengthening of the U.S. dollar against foreign currencies impairs the ability of the Company to compete with international competitors for foreign as well as domestic sales.</w:t>
      </w:r>
    </w:p>
    <w:p>
      <w:pPr>
        <w:spacing w:after="0" w:line="188"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5"/>
          <w:szCs w:val="15"/>
          <w:color w:val="auto"/>
        </w:rPr>
        <w:t>Working capital, which consists principally of cash and cash equivalents, accounts receivable and inventories was $20.4 million at September 30, 1998 as compared to $18.7 million at December 31, 1997. The ratio of current assets to current liabilities decreased slightly from 3.5:1 at December 31, 1997 to 3.4:1</w:t>
      </w: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7" w:right="1440" w:bottom="1440" w:gutter="0" w:footer="0" w:header="0"/>
        </w:sectPr>
      </w:pPr>
    </w:p>
    <w:bookmarkStart w:id="10" w:name="page11"/>
    <w:bookmarkEnd w:id="10"/>
    <w:p>
      <w:pPr>
        <w:ind w:right="2679"/>
        <w:spacing w:after="0" w:line="241" w:lineRule="auto"/>
        <w:rPr>
          <w:sz w:val="20"/>
          <w:szCs w:val="20"/>
          <w:color w:val="auto"/>
        </w:rPr>
      </w:pPr>
      <w:r>
        <w:rPr>
          <w:rFonts w:ascii="Courier New" w:cs="Courier New" w:eastAsia="Courier New" w:hAnsi="Courier New"/>
          <w:sz w:val="16"/>
          <w:szCs w:val="16"/>
          <w:color w:val="auto"/>
        </w:rPr>
        <w:t>at September 30, 1998. Cash flow from operations decreased from $13.8 million during the first nine months 1997 to $10.0 million during the first nine months of 1998. This decrease was primarily attributed to increases in accounts receivable and inventories of $165,000 and $1.9 million respectively and a decrease in net income of $554,000.</w:t>
      </w:r>
    </w:p>
    <w:p>
      <w:pPr>
        <w:spacing w:after="0" w:line="190"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During 1998, the Company plans to spend approximately $6.0 million on capital expenditures (of which $4.6 million had been spent through September 30, 1998) including the purchase of machinery and equipment for all four of the Company's facilities.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1998.</w:t>
      </w:r>
    </w:p>
    <w:p>
      <w:pPr>
        <w:spacing w:after="0" w:line="17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During September 1998, the Company experienced a fire at their Walterboro, South Carolina facility. Although production schedules were not significantly affected, damage to certain equipment and inventory and a portion of one building did occur. Initial estimates of the fire related damages totaled approximately $390,000. The Company believes this amount, less the applicable deductible, will be recovered from its insurance carrier prior to December 31, 1998 and the funds received will be used to repair all damaged assets to their original state. As a result, the Company has included in its September 30, 1998 balance sheet a receivable from its insurance carrier and a liability for planned fixed asset repairs in an amount equal to the anticipated insurance proceeds.</w:t>
      </w:r>
    </w:p>
    <w:p>
      <w:pPr>
        <w:spacing w:after="0" w:line="191"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On August 4, 1998 the Company's Board of Directors authorized the repurchase of up to 740,213 shares of its Common Stock, equaling 5% of the Company's issued and outstanding shares as of August 4, 1998. The program may be extended or discontinued at any time, and there is no assurance that the Company will purchase any or all of the full amount authorized. As of November 4, 1998, the Company had not repurchased any shares under this program.</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8"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5"/>
          <w:szCs w:val="15"/>
          <w:color w:val="auto"/>
        </w:rPr>
        <w:t>The Year 2000 issue is the result of computer programs written using two digits rather than four digits to identify a particular year. Without corrective action, programs with time-sensitive software could potentially act as if a date ending in "00" is the year 1900 rather than the year 2000. This could cause computer applications to create erroneous results or cause a system failure.</w:t>
      </w:r>
    </w:p>
    <w:p>
      <w:pPr>
        <w:spacing w:after="0" w:line="173"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has conducted a comprehensive evaluation of both its information technology systems and non-information technology systems to determine if there would be a Year 2000 problem with these systems. Prior to that evaluation, however, the Company had decided to upgrade its information technology systems. The systems the Company intends to install have been certified by the vendor to be Year 2000 compliant. The Company also evaluated its non-information technology systems and received certification by the manufacturers of that equipment that they are Year 2000 compliant.</w:t>
      </w:r>
    </w:p>
    <w:p>
      <w:pPr>
        <w:spacing w:after="0" w:line="189"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Company expects that it will have implemented these system upgrades by mid-1999. The Company has also developed contingency plans that it believes would permit it to continue operating without causing any material harm to the results of operations.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expects to spend approximately $800,000 to replace its information technology systems and train personnel. As of November 1, 1998, the Company had spent approximately $600,000 on this project. The Company's expenditures for evaluating the Year 2000 issue have not been material. The Company has assigned one employee to coordinate its Year 2000 efforts, and has relied on existing personnel to evaluate its Year 2000 readiness.</w:t>
      </w:r>
    </w:p>
    <w:p>
      <w:pPr>
        <w:spacing w:after="0" w:line="187"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Company relies on third party suppliers for raw materials and a variety of goods and services. Among its most important suppliers are those that provide the steel necessary to make quality balls and rollers. The Company has obtained written representation from approximately 70 percent of its suppliers and vendors</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and expects to receive responses from its remaining suppliers and</w:t>
      </w:r>
    </w:p>
    <w:p>
      <w:pPr>
        <w:spacing w:after="0" w:line="5"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vendors by the end of the year. So far, no supplier or vendor has indicated that the Year 2000 issue will affect its ability to provide goods and services to the Company. Despite these assurances, if the Company's suppliers are unable to meet its needs, there could be a material adverse effect on the results of operations, liquidity and financial condition of the Company.</w:t>
      </w:r>
    </w:p>
    <w:p>
      <w:pPr>
        <w:spacing w:after="0" w:line="190"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5"/>
          <w:szCs w:val="15"/>
          <w:color w:val="auto"/>
        </w:rPr>
        <w:t>The Company believes it is taking the necessary steps to resolve the Year 2000 issue in a comprehensive and timely manner. Nonetheless, should any unforeseen circumstance arise that would delay the replacement of its systems, the Company's ability to manufacture and ship its products, take orders, invoice customers, and collect payment could be adversely affected. This could have a material adverse effect on the Company's results of operations, liquidity and financial condition to a degree the Company has not determined.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June 1997, the FASB issued SFAS No. 131 "Disclosures about Segments of an Enterprise and Related Information" which requires companies to report selected information about operating segments and related disclosures about products and services, geographic areas and major customers. The Company will provide disclosures in accordance with this statement effective with its December 31, 1998 financial reporting.</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February 1998, the FASB issued SFAS No. 132 "Employers' Disclosures about Pensions and Other Postretirement Benefits" which revises the disclosure requirements for pensions and other postretirement benefits and is effective for the Company's December 31, 1998 financial reporting. The adoption of this standard by the Company is not expected to result in significant adjustments to existing financial reporting practices as the Company does not currently provide pension or postretirement benefits which are subject to the disclosure provisions of FAS 132.</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June 1998, the FASB issued SFAS No. 133 "Accounting for Derivative Instruments and Hedging Activities" which establishes accounting and reporting standards for derivative instruments and hedging activities and is effective for the Company's 2000 reporting cycle. The adoption of this standard by the Company is not expected to result in significant adjustments to existing accounting practices as the Company does not currently hold any derivative financial instruments or participate in hedging activities.</w:t>
      </w:r>
    </w:p>
    <w:p>
      <w:pPr>
        <w:spacing w:after="0" w:line="371"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5" w:right="1440" w:bottom="1440" w:gutter="0" w:footer="0" w:header="0"/>
        </w:sectPr>
      </w:pPr>
    </w:p>
    <w:bookmarkStart w:id="12" w:name="page13"/>
    <w:bookmarkEnd w:id="12"/>
    <w:p>
      <w:pPr>
        <w:ind w:right="2679"/>
        <w:spacing w:after="0" w:line="242" w:lineRule="auto"/>
        <w:rPr>
          <w:sz w:val="20"/>
          <w:szCs w:val="20"/>
          <w:color w:val="auto"/>
        </w:rPr>
      </w:pPr>
      <w:r>
        <w:rPr>
          <w:rFonts w:ascii="Courier New" w:cs="Courier New" w:eastAsia="Courier New" w:hAnsi="Courier New"/>
          <w:sz w:val="16"/>
          <w:szCs w:val="16"/>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91"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Rapid Growth. The Company has significantly expanded its production facilities and capacity over the last several years, and during the third quarter of 1997 purchased an additional manufacturing plant in Kilkenny, Ireland. The Company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91"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Dependence on Major Customers. During 1997, the Company's ten largest customers accounted for approximately 77% of its net sales. Sales to various US and foreign divisions of SKF, which is one of the largest bearing manufacturers in the world, accounted for approximately 37% of net sales in 1997, and sales to FAG accounted for approximately 10% of net sales. None of the Company's other customers accounted for more than 10% of its net sales in 1997, but sales to three of its customers each represented more than 5% of the Company's 1997 net sales. The loss of all or a substantial portion of sales to these customers would have a material adverse effect on the Company's business.</w:t>
      </w:r>
    </w:p>
    <w:p>
      <w:pPr>
        <w:spacing w:after="0" w:line="3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7" w:right="1440" w:bottom="1440" w:gutter="0" w:footer="0" w:header="0"/>
        </w:sectPr>
      </w:pPr>
    </w:p>
    <w:bookmarkStart w:id="13" w:name="page14"/>
    <w:bookmarkEnd w:id="13"/>
    <w:p>
      <w:pPr>
        <w:ind w:left="2582"/>
        <w:spacing w:after="0"/>
        <w:rPr>
          <w:sz w:val="20"/>
          <w:szCs w:val="20"/>
          <w:color w:val="auto"/>
        </w:rPr>
      </w:pPr>
      <w:r>
        <w:rPr>
          <w:rFonts w:ascii="Courier New" w:cs="Courier New" w:eastAsia="Courier New" w:hAnsi="Courier New"/>
          <w:sz w:val="16"/>
          <w:szCs w:val="16"/>
          <w:color w:val="auto"/>
        </w:rPr>
        <w:t>PART II. OTHER INFORMATION</w:t>
      </w:r>
    </w:p>
    <w:p>
      <w:pPr>
        <w:spacing w:after="0" w:line="369"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8" w:lineRule="exact"/>
        <w:rPr>
          <w:sz w:val="20"/>
          <w:szCs w:val="20"/>
          <w:color w:val="auto"/>
        </w:rPr>
      </w:pPr>
    </w:p>
    <w:p>
      <w:pPr>
        <w:ind w:left="482" w:right="5259" w:hanging="482"/>
        <w:spacing w:after="0" w:line="481"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by Item 601 of Regulation S-K 27 EDGAR Financial Data Schedules</w:t>
      </w:r>
    </w:p>
    <w:p>
      <w:pPr>
        <w:spacing w:after="0" w:line="7" w:lineRule="exact"/>
        <w:rPr>
          <w:rFonts w:ascii="Courier New" w:cs="Courier New" w:eastAsia="Courier New" w:hAnsi="Courier New"/>
          <w:sz w:val="16"/>
          <w:szCs w:val="16"/>
          <w:color w:val="auto"/>
        </w:rPr>
      </w:pPr>
    </w:p>
    <w:p>
      <w:pPr>
        <w:ind w:left="482" w:right="2779" w:hanging="482"/>
        <w:spacing w:after="0" w:line="239"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Quarter Ending September 30, 1998</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664" w:right="1440" w:bottom="1440" w:gutter="0" w:footer="0" w:header="0"/>
        </w:sectPr>
      </w:pPr>
    </w:p>
    <w:bookmarkStart w:id="14" w:name="page15"/>
    <w:bookmarkEnd w:id="14"/>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372" w:lineRule="exact"/>
        <w:rPr>
          <w:sz w:val="20"/>
          <w:szCs w:val="20"/>
          <w:color w:val="auto"/>
        </w:rPr>
      </w:pPr>
    </w:p>
    <w:p>
      <w:pPr>
        <w:jc w:val="both"/>
        <w:ind w:right="3359"/>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NN Ball &amp; Roller, Inc.</w:t>
      </w:r>
    </w:p>
    <w:p>
      <w:pPr>
        <w:spacing w:after="0" w:line="5"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65" w:right="1440" w:bottom="1440" w:gutter="0" w:footer="0" w:header="0"/>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6"/>
          <w:szCs w:val="16"/>
          <w:color w:val="auto"/>
        </w:rPr>
        <w:t>November 5, 1998</w:t>
      </w:r>
    </w:p>
    <w:p>
      <w:pPr>
        <w:spacing w:after="0" w:line="5"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 Roderick R. Baty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Roderick R. Baty,</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President and Chief Executive</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Officer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480" w:space="0"/>
            <w:col w:w="3080" w:space="720"/>
            <w:col w:w="5939"/>
          </w:cols>
          <w:pgMar w:left="240" w:top="66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6"/>
          <w:szCs w:val="16"/>
          <w:color w:val="auto"/>
        </w:rPr>
        <w:t>November 5, 1998</w:t>
      </w:r>
    </w:p>
    <w:p>
      <w:pPr>
        <w:spacing w:after="0" w:line="5"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 David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David Dyckman</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Chief Financial Officer</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(Principal Financial Officer)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480" w:space="0"/>
            <w:col w:w="3080" w:space="720"/>
            <w:col w:w="5939"/>
          </w:cols>
          <w:pgMar w:left="240" w:top="66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6"/>
          <w:szCs w:val="16"/>
          <w:color w:val="auto"/>
        </w:rPr>
        <w:t>November 5, 1998</w:t>
      </w:r>
    </w:p>
    <w:p>
      <w:pPr>
        <w:spacing w:after="0" w:line="5"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 William C. Kelly,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C. Kelly,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Assistant Secretary and</w:t>
      </w:r>
    </w:p>
    <w:p>
      <w:pPr>
        <w:spacing w:after="0" w:line="1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Chief Accounting Officer</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 Accounting Officer)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480" w:space="0"/>
            <w:col w:w="3080" w:space="720"/>
            <w:col w:w="5939"/>
          </w:cols>
          <w:pgMar w:left="240" w:top="665" w:right="1440" w:bottom="1440" w:gutter="0" w:footer="0" w:header="0"/>
          <w:type w:val="continuous"/>
        </w:sectPr>
      </w:pP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65" w:right="1440" w:bottom="1440" w:gutter="0" w:footer="0" w:header="0"/>
          <w:type w:val="continuous"/>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3-MOS</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DEC-31-1998</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JAN-01-1998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SEP-30-1998</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883</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12,929</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(315)</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13,722</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28,806</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63,479</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25,296</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66,989</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8,421</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149</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55,588</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66,989</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16,789</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16,789</w:t>
      </w:r>
    </w:p>
    <w:p>
      <w:pPr>
        <w:spacing w:after="0" w:line="2"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6"/>
          <w:szCs w:val="16"/>
          <w:color w:val="auto"/>
        </w:rPr>
        <w:t>12,162</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1,885</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22</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1,863</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738</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1,885</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1,125</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.08</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.08</w:t>
      </w:r>
    </w:p>
    <w:sectPr>
      <w:pgSz w:w="11900" w:h="16838" w:orient="portrait"/>
      <w:cols w:equalWidth="0" w:num="1">
        <w:col w:w="10119"/>
      </w:cols>
      <w:pgMar w:left="3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40"/>
    </w:lvl>
  </w:abstractNum>
  <w:abstractNum w:abstractNumId="4">
    <w:nsid w:val="507ED7AB"/>
    <w:multiLevelType w:val="hybridMultilevel"/>
    <w:lvl w:ilvl="0">
      <w:lvlJc w:val="left"/>
      <w:lvlText w:val="%1"/>
      <w:numFmt w:val="upperLetter"/>
      <w:start w:val="40"/>
    </w:lvl>
  </w:abstractNum>
  <w:abstractNum w:abstractNumId="5">
    <w:nsid w:val="2EB141F2"/>
    <w:multiLevelType w:val="hybridMultilevel"/>
    <w:lvl w:ilvl="0">
      <w:lvlJc w:val="left"/>
      <w:lvlText w:val="%1"/>
      <w:numFmt w:val="upperLetter"/>
      <w:start w:val="40"/>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2019-12-14T03:10:13Z</dcterms:created>
  <dcterms:modified xsi:type="dcterms:W3CDTF">2019-12-14T03:10:13Z</dcterms:modified>
</cp:coreProperties>
</file>