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DeByle Thomas D.</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03/23/2021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91"/>
        <w:spacing w:after="0"/>
        <w:rPr>
          <w:sz w:val="20"/>
          <w:szCs w:val="20"/>
          <w:color w:val="auto"/>
        </w:rPr>
      </w:pPr>
      <w:r>
        <w:rPr>
          <w:rFonts w:ascii="Arial" w:cs="Arial" w:eastAsia="Arial" w:hAnsi="Arial"/>
          <w:sz w:val="17"/>
          <w:szCs w:val="17"/>
          <w:color w:val="0000FF"/>
        </w:rPr>
        <w:t>Senior Vice President &amp; CFO</w:t>
      </w:r>
    </w:p>
    <w:p>
      <w:pPr>
        <w:spacing w:after="0" w:line="302"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03/23/2021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40,532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70,601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40"/>
              <w:spacing w:after="0"/>
              <w:rPr>
                <w:sz w:val="20"/>
                <w:szCs w:val="20"/>
                <w:color w:val="auto"/>
              </w:rPr>
            </w:pPr>
            <w:r>
              <w:rPr>
                <w:rFonts w:ascii="Arial" w:cs="Arial" w:eastAsia="Arial" w:hAnsi="Arial"/>
                <w:sz w:val="13"/>
                <w:szCs w:val="13"/>
                <w:color w:val="0000FF"/>
              </w:rPr>
              <w:t>03/23/2021</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33,428</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33,428</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33,428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23, 2022.</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jc w:val="both"/>
        <w:ind w:left="40" w:right="22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2021 and ending December 31, 2023. The performance rights granted represent the right to receive the target shares, and actual performance rights earned may be between 50% and 150% of the target shares.</w:t>
      </w:r>
    </w:p>
    <w:p>
      <w:pPr>
        <w:sectPr>
          <w:pgSz w:w="11900" w:h="16838" w:orient="portrait"/>
          <w:cols w:equalWidth="0" w:num="1">
            <w:col w:w="11080"/>
          </w:cols>
          <w:pgMar w:left="460" w:top="221"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0000FF"/>
        </w:rPr>
        <w:t>03/25/2021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968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2021-03-26T22:05:02Z</dcterms:created>
  <dcterms:modified xsi:type="dcterms:W3CDTF">2021-03-26T22:05:02Z</dcterms:modified>
</cp:coreProperties>
</file>