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429260</wp:posOffset>
            </wp:positionV>
            <wp:extent cx="814705" cy="780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4705"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2">
            <w:col w:w="7500" w:space="720"/>
            <w:col w:w="3200"/>
          </w:cols>
          <w:pgMar w:left="240" w:top="230" w:right="2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30" w:right="239" w:bottom="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7, 2017, there were 27,573,397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44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920" w:type="dxa"/>
            <w:vAlign w:val="bottom"/>
          </w:tcPr>
          <w:p>
            <w:pPr>
              <w:spacing w:after="0"/>
              <w:rPr>
                <w:sz w:val="17"/>
                <w:szCs w:val="17"/>
                <w:color w:val="auto"/>
              </w:rPr>
            </w:pPr>
          </w:p>
        </w:tc>
      </w:tr>
      <w:tr>
        <w:trPr>
          <w:trHeight w:val="515"/>
        </w:trPr>
        <w:tc>
          <w:tcPr>
            <w:tcW w:w="1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gridSpan w:val="4"/>
          </w:tcPr>
          <w:p>
            <w:pPr>
              <w:jc w:val="center"/>
              <w:ind w:right="1500"/>
              <w:spacing w:after="0"/>
              <w:rPr>
                <w:sz w:val="20"/>
                <w:szCs w:val="20"/>
                <w:color w:val="auto"/>
              </w:rPr>
            </w:pPr>
            <w:r>
              <w:rPr>
                <w:rFonts w:ascii="Arial" w:cs="Arial" w:eastAsia="Arial" w:hAnsi="Arial"/>
                <w:sz w:val="18"/>
                <w:szCs w:val="18"/>
                <w:b w:val="1"/>
                <w:bCs w:val="1"/>
                <w:color w:val="auto"/>
                <w:w w:val="95"/>
              </w:rPr>
              <w:t>NN, Inc.</w:t>
            </w:r>
          </w:p>
        </w:tc>
        <w:tc>
          <w:tcPr>
            <w:tcW w:w="192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94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rPr>
              <w:t>INDEX</w:t>
            </w:r>
          </w:p>
        </w:tc>
        <w:tc>
          <w:tcPr>
            <w:tcW w:w="1920" w:type="dxa"/>
            <w:vAlign w:val="bottom"/>
          </w:tcPr>
          <w:p>
            <w:pPr>
              <w:spacing w:after="0"/>
              <w:rPr>
                <w:sz w:val="20"/>
                <w:szCs w:val="20"/>
                <w:color w:val="auto"/>
              </w:rPr>
            </w:pPr>
          </w:p>
        </w:tc>
      </w:tr>
      <w:tr>
        <w:trPr>
          <w:trHeight w:val="419"/>
        </w:trPr>
        <w:tc>
          <w:tcPr>
            <w:tcW w:w="290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6540" w:type="dxa"/>
            <w:vAlign w:val="bottom"/>
            <w:gridSpan w:val="6"/>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82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822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6440" w:type="dxa"/>
            <w:vAlign w:val="bottom"/>
            <w:gridSpan w:val="5"/>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944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20" w:type="dxa"/>
            <w:vAlign w:val="bottom"/>
            <w:tcBorders>
              <w:top w:val="single" w:sz="8" w:color="0000EE"/>
            </w:tcBorders>
            <w:gridSpan w:val="2"/>
          </w:tcPr>
          <w:p>
            <w:pPr>
              <w:ind w:left="360"/>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20" w:type="dxa"/>
            <w:vAlign w:val="bottom"/>
            <w:tcBorders>
              <w:top w:val="single" w:sz="8" w:color="0000EE"/>
            </w:tcBorders>
          </w:tcPr>
          <w:p>
            <w:pPr>
              <w:spacing w:after="0"/>
              <w:rPr>
                <w:sz w:val="24"/>
                <w:szCs w:val="24"/>
                <w:color w:val="auto"/>
              </w:rPr>
            </w:pPr>
          </w:p>
        </w:tc>
        <w:tc>
          <w:tcPr>
            <w:tcW w:w="686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822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386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822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500" w:type="dxa"/>
            <w:vAlign w:val="bottom"/>
            <w:tcBorders>
              <w:top w:val="single" w:sz="8" w:color="0000EE"/>
            </w:tcBorders>
          </w:tcPr>
          <w:p>
            <w:pPr>
              <w:spacing w:after="0"/>
              <w:rPr>
                <w:sz w:val="24"/>
                <w:szCs w:val="24"/>
                <w:color w:val="auto"/>
              </w:rPr>
            </w:pPr>
          </w:p>
        </w:tc>
        <w:tc>
          <w:tcPr>
            <w:tcW w:w="594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690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822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22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5"/>
        </w:trPr>
        <w:tc>
          <w:tcPr>
            <w:tcW w:w="1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gridSpan w:val="13"/>
          </w:tcPr>
          <w:p>
            <w:pPr>
              <w:jc w:val="center"/>
              <w:ind w:left="2430"/>
              <w:spacing w:after="0"/>
              <w:rPr>
                <w:sz w:val="20"/>
                <w:szCs w:val="20"/>
                <w:color w:val="auto"/>
              </w:rPr>
            </w:pPr>
            <w:r>
              <w:rPr>
                <w:rFonts w:ascii="Arial" w:cs="Arial" w:eastAsia="Arial" w:hAnsi="Arial"/>
                <w:sz w:val="18"/>
                <w:szCs w:val="18"/>
                <w:color w:val="auto"/>
                <w:w w:val="99"/>
              </w:rPr>
              <w:t>2</w:t>
            </w:r>
          </w:p>
        </w:tc>
        <w:tc>
          <w:tcPr>
            <w:tcW w:w="176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2016</w:t>
            </w:r>
            <w:r>
              <w:rPr>
                <w:rFonts w:ascii="Arial" w:cs="Arial" w:eastAsia="Arial" w:hAnsi="Arial"/>
                <w:sz w:val="12"/>
                <w:szCs w:val="12"/>
                <w:b w:val="1"/>
                <w:bCs w:val="1"/>
                <w:color w:val="auto"/>
                <w:w w:val="95"/>
              </w:rPr>
              <w:t>(1)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5"/>
              </w:rPr>
              <w:t>2016</w:t>
            </w:r>
            <w:r>
              <w:rPr>
                <w:rFonts w:ascii="Arial" w:cs="Arial" w:eastAsia="Arial" w:hAnsi="Arial"/>
                <w:sz w:val="12"/>
                <w:szCs w:val="12"/>
                <w:b w:val="1"/>
                <w:bCs w:val="1"/>
                <w:color w:val="auto"/>
                <w:w w:val="95"/>
              </w:rPr>
              <w:t>(1)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148,156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146,714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463,658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443,310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110,836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107,185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339,345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12,739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39,916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Derivative payments on interest rate swap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(gain) on change in interest rate swap fair value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Loss from continuing operations before benefit for income taxes and share of net income from joint</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venture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(46,302)</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14,145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(28,018)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 (Note 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135,825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12,564</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132,895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118,561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700"/>
              <w:spacing w:after="0"/>
              <w:rPr>
                <w:sz w:val="20"/>
                <w:szCs w:val="20"/>
                <w:color w:val="auto"/>
              </w:rPr>
            </w:pPr>
            <w:r>
              <w:rPr>
                <w:rFonts w:ascii="Arial" w:cs="Arial" w:eastAsia="Arial" w:hAnsi="Arial"/>
                <w:sz w:val="18"/>
                <w:szCs w:val="18"/>
                <w:color w:val="auto"/>
              </w:rPr>
              <w:t>Change in fair value of interest rate swap</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adjustment for discontinued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700"/>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20,327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129,735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129,645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Net income per share</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26,973</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27,544</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27,403</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effects of discontinued operations (Note 2) and prior periods’ revisions (Note 1 and Note 15)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9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347,380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6,271</w:t>
            </w: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108,220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93,433</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76,641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67,137</w:t>
            </w: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9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872</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assets of discontinued operations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106,717</w:t>
            </w: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20,194</w:t>
            </w:r>
          </w:p>
        </w:tc>
        <w:tc>
          <w:tcPr>
            <w:tcW w:w="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6,997</w:t>
            </w: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281,427</w:t>
            </w: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238,809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230,580</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443,496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441,402</w:t>
            </w: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236,752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254,263</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37,739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36,008</w:t>
            </w: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20" w:type="dxa"/>
            <w:vAlign w:val="bottom"/>
          </w:tcPr>
          <w:p>
            <w:pPr>
              <w:spacing w:after="0"/>
              <w:rPr>
                <w:sz w:val="18"/>
                <w:szCs w:val="18"/>
                <w:color w:val="auto"/>
              </w:rPr>
            </w:pPr>
          </w:p>
        </w:tc>
        <w:tc>
          <w:tcPr>
            <w:tcW w:w="9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103,290</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9,602</w:t>
            </w:r>
          </w:p>
        </w:tc>
      </w:tr>
      <w:tr>
        <w:trPr>
          <w:trHeight w:val="223"/>
        </w:trPr>
        <w:tc>
          <w:tcPr>
            <w:tcW w:w="20" w:type="dxa"/>
            <w:vAlign w:val="bottom"/>
          </w:tcPr>
          <w:p>
            <w:pPr>
              <w:spacing w:after="0"/>
              <w:rPr>
                <w:sz w:val="19"/>
                <w:szCs w:val="19"/>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1,517,510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1,356,572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48,330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44,705</w:t>
            </w: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17,362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15,762</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65,989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21,090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12,751</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45,421</w:t>
            </w: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22,233</w:t>
            </w:r>
          </w:p>
        </w:tc>
        <w:tc>
          <w:tcPr>
            <w:tcW w:w="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20,849</w:t>
            </w: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139,488</w:t>
            </w: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96,316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96,069</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793,999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785,713</w:t>
            </w: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120" w:type="dxa"/>
            <w:vAlign w:val="bottom"/>
          </w:tcPr>
          <w:p>
            <w:pPr>
              <w:spacing w:after="0"/>
              <w:rPr>
                <w:sz w:val="18"/>
                <w:szCs w:val="18"/>
                <w:color w:val="auto"/>
              </w:rPr>
            </w:pPr>
          </w:p>
        </w:tc>
        <w:tc>
          <w:tcPr>
            <w:tcW w:w="9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11,960</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10,887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12,829</w:t>
            </w:r>
          </w:p>
        </w:tc>
      </w:tr>
      <w:tr>
        <w:trPr>
          <w:trHeight w:val="230"/>
        </w:trPr>
        <w:tc>
          <w:tcPr>
            <w:tcW w:w="20" w:type="dxa"/>
            <w:vAlign w:val="bottom"/>
          </w:tcPr>
          <w:p>
            <w:pPr>
              <w:spacing w:after="0"/>
              <w:rPr>
                <w:sz w:val="20"/>
                <w:szCs w:val="20"/>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1,076,206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1,046,059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441,304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310,513</w:t>
            </w:r>
          </w:p>
        </w:tc>
      </w:tr>
      <w:tr>
        <w:trPr>
          <w:trHeight w:val="223"/>
        </w:trPr>
        <w:tc>
          <w:tcPr>
            <w:tcW w:w="20" w:type="dxa"/>
            <w:vAlign w:val="bottom"/>
          </w:tcPr>
          <w:p>
            <w:pPr>
              <w:spacing w:after="0"/>
              <w:rPr>
                <w:sz w:val="19"/>
                <w:szCs w:val="19"/>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1,517,510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1,356,572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the effects of discontinued operations (Note 2) and prior periods’ revisions (Note 1 and Note 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and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72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Par</w:t>
            </w: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Additional</w:t>
            </w: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0"/>
                <w:szCs w:val="10"/>
                <w:color w:val="auto"/>
              </w:rPr>
            </w:pPr>
          </w:p>
        </w:tc>
        <w:tc>
          <w:tcPr>
            <w:tcW w:w="9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Non-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 in</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value</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interest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r>
              <w:rPr>
                <w:rFonts w:ascii="Arial" w:cs="Arial" w:eastAsia="Arial" w:hAnsi="Arial"/>
                <w:sz w:val="15"/>
                <w:szCs w:val="15"/>
                <w:color w:val="auto"/>
              </w:rPr>
              <w:t>(1)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27,249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$272</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$284,508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$310,513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7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118,561</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118,561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for option exercises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250</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Sale of PBC business (Note 2)</w:t>
            </w:r>
          </w:p>
        </w:tc>
        <w:tc>
          <w:tcPr>
            <w:tcW w:w="7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(9,275)</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Restricted shares forgiven for taxes</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forfeited</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7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20,327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Adoption of new accounting standard (Note 1)</w:t>
            </w:r>
          </w:p>
        </w:tc>
        <w:tc>
          <w:tcPr>
            <w:tcW w:w="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27,561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275</w:t>
            </w: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290,856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168,897</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441,304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effects of prior periods’ revisions (Note 1 and Note 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$ 118,561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5,215</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(used by) operating activities:</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38,432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38,411</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discontinued operations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w:t>
            </w: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Amortization of debt issuance costs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3,237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3,048</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Write-off of debt issuance costs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Gain on disposal of discontinued operations, net of tax and cost to sell</w:t>
            </w:r>
          </w:p>
        </w:tc>
        <w:tc>
          <w:tcPr>
            <w:tcW w:w="2400" w:type="dxa"/>
            <w:vAlign w:val="bottom"/>
            <w:gridSpan w:val="3"/>
          </w:tcPr>
          <w:p>
            <w:pPr>
              <w:jc w:val="right"/>
              <w:ind w:right="280"/>
              <w:spacing w:after="0"/>
              <w:rPr>
                <w:sz w:val="20"/>
                <w:szCs w:val="20"/>
                <w:color w:val="auto"/>
              </w:rPr>
            </w:pPr>
            <w:r>
              <w:rPr>
                <w:rFonts w:ascii="Arial" w:cs="Arial" w:eastAsia="Arial" w:hAnsi="Arial"/>
                <w:sz w:val="18"/>
                <w:szCs w:val="18"/>
                <w:color w:val="auto"/>
              </w:rPr>
              <w:t>(129,353)</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Compensation expense from issuance of share-based awards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w:t>
            </w: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Other</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2400" w:type="dxa"/>
            <w:vAlign w:val="bottom"/>
            <w:gridSpan w:val="3"/>
          </w:tcPr>
          <w:p>
            <w:pPr>
              <w:jc w:val="right"/>
              <w:ind w:right="280"/>
              <w:spacing w:after="0"/>
              <w:rPr>
                <w:sz w:val="20"/>
                <w:szCs w:val="20"/>
                <w:color w:val="auto"/>
              </w:rPr>
            </w:pPr>
            <w:r>
              <w:rPr>
                <w:rFonts w:ascii="Arial" w:cs="Arial" w:eastAsia="Arial" w:hAnsi="Arial"/>
                <w:sz w:val="18"/>
                <w:szCs w:val="18"/>
                <w:color w:val="auto"/>
              </w:rPr>
              <w:t>(15,094)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(24,422)</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Inventories</w:t>
            </w:r>
          </w:p>
        </w:tc>
        <w:tc>
          <w:tcPr>
            <w:tcW w:w="2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(10,764)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w:t>
            </w:r>
          </w:p>
        </w:tc>
      </w:tr>
      <w:tr>
        <w:trPr>
          <w:trHeight w:val="216"/>
        </w:trPr>
        <w:tc>
          <w:tcPr>
            <w:tcW w:w="20" w:type="dxa"/>
            <w:vAlign w:val="bottom"/>
          </w:tcPr>
          <w:p>
            <w:pPr>
              <w:spacing w:after="0"/>
              <w:rPr>
                <w:sz w:val="18"/>
                <w:szCs w:val="18"/>
                <w:color w:val="auto"/>
              </w:rPr>
            </w:pPr>
          </w:p>
        </w:tc>
        <w:tc>
          <w:tcPr>
            <w:tcW w:w="824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2400" w:type="dxa"/>
            <w:vAlign w:val="bottom"/>
            <w:gridSpan w:val="3"/>
          </w:tcPr>
          <w:p>
            <w:pPr>
              <w:jc w:val="right"/>
              <w:ind w:right="280"/>
              <w:spacing w:after="0"/>
              <w:rPr>
                <w:sz w:val="20"/>
                <w:szCs w:val="20"/>
                <w:color w:val="auto"/>
              </w:rPr>
            </w:pPr>
            <w:r>
              <w:rPr>
                <w:rFonts w:ascii="Arial" w:cs="Arial" w:eastAsia="Arial" w:hAnsi="Arial"/>
                <w:sz w:val="18"/>
                <w:szCs w:val="18"/>
                <w:color w:val="auto"/>
              </w:rPr>
              <w:t>(3,317)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taxes payable</w:t>
            </w:r>
          </w:p>
        </w:tc>
        <w:tc>
          <w:tcPr>
            <w:tcW w:w="2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(19,178)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(2,153)</w:t>
            </w:r>
          </w:p>
        </w:tc>
      </w:tr>
      <w:tr>
        <w:trPr>
          <w:trHeight w:val="216"/>
        </w:trPr>
        <w:tc>
          <w:tcPr>
            <w:tcW w:w="20" w:type="dxa"/>
            <w:vAlign w:val="bottom"/>
          </w:tcPr>
          <w:p>
            <w:pPr>
              <w:spacing w:after="0"/>
              <w:rPr>
                <w:sz w:val="18"/>
                <w:szCs w:val="18"/>
                <w:color w:val="auto"/>
              </w:rPr>
            </w:pPr>
          </w:p>
        </w:tc>
        <w:tc>
          <w:tcPr>
            <w:tcW w:w="8240" w:type="dxa"/>
            <w:vAlign w:val="bottom"/>
          </w:tcPr>
          <w:p>
            <w:pPr>
              <w:ind w:left="106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(1,674)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9,073</w:t>
            </w: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46,291</w:t>
            </w: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2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(31,674)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(32,166)</w:t>
            </w: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Proceeds from measurement period adjustments to previous acquisition</w:t>
            </w:r>
          </w:p>
        </w:tc>
        <w:tc>
          <w:tcPr>
            <w:tcW w:w="13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1,635</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Short term investment</w:t>
            </w:r>
          </w:p>
        </w:tc>
        <w:tc>
          <w:tcPr>
            <w:tcW w:w="2400" w:type="dxa"/>
            <w:vAlign w:val="bottom"/>
            <w:gridSpan w:val="3"/>
          </w:tcPr>
          <w:p>
            <w:pPr>
              <w:jc w:val="right"/>
              <w:ind w:right="280"/>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business, net of cash sold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240" w:type="dxa"/>
            <w:vAlign w:val="bottom"/>
          </w:tcPr>
          <w:p>
            <w:pPr>
              <w:ind w:left="1420"/>
              <w:spacing w:after="0"/>
              <w:rPr>
                <w:sz w:val="20"/>
                <w:szCs w:val="20"/>
                <w:color w:val="auto"/>
              </w:rPr>
            </w:pPr>
            <w:r>
              <w:rPr>
                <w:rFonts w:ascii="Arial" w:cs="Arial" w:eastAsia="Arial" w:hAnsi="Arial"/>
                <w:sz w:val="18"/>
                <w:szCs w:val="18"/>
                <w:color w:val="auto"/>
              </w:rPr>
              <w:t>Net cash provided by (used by) investing activities</w:t>
            </w:r>
          </w:p>
        </w:tc>
        <w:tc>
          <w:tcPr>
            <w:tcW w:w="1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332,401</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(30,165)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Debt issue costs paid</w:t>
            </w:r>
          </w:p>
        </w:tc>
        <w:tc>
          <w:tcPr>
            <w:tcW w:w="2400" w:type="dxa"/>
            <w:vAlign w:val="bottom"/>
            <w:gridSpan w:val="3"/>
          </w:tcPr>
          <w:p>
            <w:pPr>
              <w:jc w:val="right"/>
              <w:ind w:right="280"/>
              <w:spacing w:after="0"/>
              <w:rPr>
                <w:sz w:val="20"/>
                <w:szCs w:val="20"/>
                <w:color w:val="auto"/>
              </w:rPr>
            </w:pPr>
            <w:r>
              <w:rPr>
                <w:rFonts w:ascii="Arial" w:cs="Arial" w:eastAsia="Arial" w:hAnsi="Arial"/>
                <w:sz w:val="18"/>
                <w:szCs w:val="18"/>
                <w:color w:val="auto"/>
              </w:rPr>
              <w:t>(6,545)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(3,692)</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(5,764)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(5,677)</w:t>
            </w: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Proceeds from long-term debt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317,000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39,000</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2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(301,313)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(39,562)</w:t>
            </w: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Proceeds from (repayment of) short-term debt, net</w:t>
            </w:r>
          </w:p>
        </w:tc>
        <w:tc>
          <w:tcPr>
            <w:tcW w:w="2400" w:type="dxa"/>
            <w:vAlign w:val="bottom"/>
            <w:gridSpan w:val="3"/>
          </w:tcPr>
          <w:p>
            <w:pPr>
              <w:jc w:val="right"/>
              <w:ind w:right="280"/>
              <w:spacing w:after="0"/>
              <w:rPr>
                <w:sz w:val="20"/>
                <w:szCs w:val="20"/>
                <w:color w:val="auto"/>
              </w:rPr>
            </w:pPr>
            <w:r>
              <w:rPr>
                <w:rFonts w:ascii="Arial" w:cs="Arial" w:eastAsia="Arial" w:hAnsi="Arial"/>
                <w:sz w:val="18"/>
                <w:szCs w:val="18"/>
                <w:color w:val="auto"/>
              </w:rPr>
              <w:t>(3,968)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(4,101)</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Shares withheld to satisfy income tax withholding</w:t>
            </w:r>
          </w:p>
        </w:tc>
        <w:tc>
          <w:tcPr>
            <w:tcW w:w="2400" w:type="dxa"/>
            <w:vAlign w:val="bottom"/>
            <w:gridSpan w:val="3"/>
          </w:tcPr>
          <w:p>
            <w:pPr>
              <w:jc w:val="right"/>
              <w:ind w:right="28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leases</w:t>
            </w:r>
          </w:p>
        </w:tc>
        <w:tc>
          <w:tcPr>
            <w:tcW w:w="2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(2,855)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(3,465)</w:t>
            </w:r>
          </w:p>
        </w:tc>
      </w:tr>
      <w:tr>
        <w:trPr>
          <w:trHeight w:val="230"/>
        </w:trPr>
        <w:tc>
          <w:tcPr>
            <w:tcW w:w="20" w:type="dxa"/>
            <w:vAlign w:val="bottom"/>
          </w:tcPr>
          <w:p>
            <w:pPr>
              <w:spacing w:after="0"/>
              <w:rPr>
                <w:sz w:val="20"/>
                <w:szCs w:val="20"/>
                <w:color w:val="auto"/>
              </w:rPr>
            </w:pPr>
          </w:p>
        </w:tc>
        <w:tc>
          <w:tcPr>
            <w:tcW w:w="8240" w:type="dxa"/>
            <w:vAlign w:val="bottom"/>
          </w:tcPr>
          <w:p>
            <w:pPr>
              <w:ind w:left="1420"/>
              <w:spacing w:after="0"/>
              <w:rPr>
                <w:sz w:val="20"/>
                <w:szCs w:val="20"/>
                <w:color w:val="auto"/>
              </w:rPr>
            </w:pPr>
            <w:r>
              <w:rPr>
                <w:rFonts w:ascii="Arial" w:cs="Arial" w:eastAsia="Arial" w:hAnsi="Arial"/>
                <w:sz w:val="18"/>
                <w:szCs w:val="18"/>
                <w:color w:val="auto"/>
              </w:rPr>
              <w:t>Net cash used by financing activities</w:t>
            </w:r>
          </w:p>
        </w:tc>
        <w:tc>
          <w:tcPr>
            <w:tcW w:w="1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(15,103)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 flows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w:t>
            </w: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Net change in cash and cash equivalents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332,975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period</w:t>
            </w:r>
            <w:r>
              <w:rPr>
                <w:rFonts w:ascii="Arial" w:cs="Arial" w:eastAsia="Arial" w:hAnsi="Arial"/>
                <w:sz w:val="15"/>
                <w:szCs w:val="15"/>
                <w:color w:val="auto"/>
              </w:rPr>
              <w:t>(1)</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14,405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15,087</w:t>
            </w:r>
          </w:p>
        </w:tc>
      </w:tr>
      <w:tr>
        <w:trPr>
          <w:trHeight w:val="223"/>
        </w:trPr>
        <w:tc>
          <w:tcPr>
            <w:tcW w:w="20" w:type="dxa"/>
            <w:vAlign w:val="bottom"/>
          </w:tcPr>
          <w:p>
            <w:pPr>
              <w:spacing w:after="0"/>
              <w:rPr>
                <w:sz w:val="19"/>
                <w:szCs w:val="19"/>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1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347,380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8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Beginning balance for the nine-month period ended September 30, 2017, includes $8.1 million of cash that was included in current assets of discontinued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of dollars and shares,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As used in this Quarterly Report on Form 10-Q, the terms “NN,” the “Company,” “we,” “our,” or “us” refer to NN, Inc., and its subsidiaries. We have historically reported results of operations in three reportable segments: the Precision Bearing Components Group (“PBC”), the Precision Engineered Products Group (“PEP”), and the Autocam Precision Components Group (“APC”). On August 17, 2017, we sold our PBC business. Note 2 in these Notes to Condensed Consolidated Financial Statements provides further information on the sale of the PBC business. After the sale of the PBC business, we had 33 manufacturing facilities in North America, Europe, South America and China. We added three more North American manufacturing facilities in October 2017 (see Note 16 for information about our acquisition subsequent to September 30, 2017).</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accompanying condensed consolidated financial statements have not been audited, except that the Condensed Consolidated Balance Sheet as of December 31, 2016, was derived from the audited consolidated financial statements included in our Annual Report on Form 10-K for the year ended December 31, 2016 (the “2016 Annual Report”), which we filed with the U.S. Securities and Exchange Commission (the “SEC”), on March 16, 2017. Historical periods presented reflect reclassifications to reflect discontinued operations (see Note 2). Historical periods also reflect revisions that we disclosed in our Quarterly Report on Form 10-Q for the quarter ended June 30, 2017 (see Note 15). In management’s opinion, the accompanying unaudited condensed consolidated financial statements reflect all adjustments necessary to fairly state our results of operations for the three-month and nine-month periods ended September 30, 2017 and 2016; financial position as of September 30, 2017, and December 31, 2016; and cash flows for the nine months ended September 30, 2017 and 2016, on a basis consistent with our audited consolidated financial statements. These adjustments are of a normal recurring nature and are, in the opinion of management, necessary to present fairly the Company’s financial position and operating results for the interim periods.</w:t>
      </w:r>
    </w:p>
    <w:p>
      <w:pPr>
        <w:spacing w:after="0" w:line="16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Certain information and footnote disclosures normally included in the consolidated financial statements prepared in accordance with U.S. generally accepted accounting principles have been condensed or omitted from the interim financial statements presented in this Quarterly Report on Form 10-Q. These unaudited condensed consolidated financial statements should be read in conjunction with our audited consolidated financial statements and accompanying notes included in the 2016 Annual Report. The results for the nine months ended September 30, 2017, are not necessarily indicative of results for the year ending December 31, 2017, or any other future periods. Certain prior year amounts have been reclassified to conform to the current year’s presentation.</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for per share data or as otherwise indicated, all dollar amounts presented in the tables in these Notes to Condensed Consolidated Financial Statements are in thousands.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Periods’ Financial Statement Revision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connection with the preparation of condensed consolidated financial statements as of and for the three-month and six-month periods ended June 30, 2017, we identified misstatements in our previously issued financial statements related to the foreign currency translation of our investment in a China joint venture. We acquired a 49% investment in the joint venture as part of the acquisition of Autocam Corporation (“Autocam”) on August 29, 2014. We remeasured the investment in the joint venture to fair value at the time of the acquisition, and we have accounted for the investment under the equity method of accounting. Following the completion of the Autocam acquisition, we accounted for the investment in the joint venture in U.S. dollars whereas it should have been accounted for in the joint venture’s functional currency of the Chinese Renminbi in accordance with Accounting Standards Codification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As a result, we did not correctly account for the investment in the joint venture and the related currency translation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impacts.</w:t>
      </w:r>
    </w:p>
    <w:p>
      <w:pPr>
        <w:spacing w:after="0" w:line="19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previously corrected as out-of-period adjustments certain immaterial misstatements and reflected them in the prior period financial statements, where applicable. These immaterial previously recorded out-of-period adjustments were primarily due to misstatements related to the initial recording of deferred tax assets and liabilities and corresponding adjustments to goodwill as part of the purchase price allocations of the Autocam and PEP acquisitions in 2014 and 2015, the accounting for the goodwill balances from those acquisitions for multi-currency reporting through other comprehensive income, and the mark-to-market adjustments on our interest rate hedge, net of tax, through other comprehensive income.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We assessed the materiality of the misstatements on prior periods’ financial statements in accordance with SEC Staff Accounting Bulletin (“SAB”) Topic 1.M,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codified in ASC Topic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(“ASC 250”) and concluded that the misstatements were not material to any prior annual or interim periods. In accordance with ASC 250 (SAB Topic 1.N, </w:t>
      </w:r>
      <w:r>
        <w:rPr>
          <w:rFonts w:ascii="Arial" w:cs="Arial" w:eastAsia="Arial" w:hAnsi="Arial"/>
          <w:sz w:val="18"/>
          <w:szCs w:val="18"/>
          <w:i w:val="1"/>
          <w:iCs w:val="1"/>
          <w:color w:val="auto"/>
        </w:rPr>
        <w:t>Considering the Effects of Prior Year Misstatements when</w:t>
      </w:r>
      <w:r>
        <w:rPr>
          <w:rFonts w:ascii="Arial" w:cs="Arial" w:eastAsia="Arial" w:hAnsi="Arial"/>
          <w:sz w:val="18"/>
          <w:szCs w:val="18"/>
          <w:color w:val="auto"/>
        </w:rPr>
        <w:t xml:space="preserve"> </w:t>
      </w:r>
      <w:r>
        <w:rPr>
          <w:rFonts w:ascii="Arial" w:cs="Arial" w:eastAsia="Arial" w:hAnsi="Arial"/>
          <w:sz w:val="18"/>
          <w:szCs w:val="18"/>
          <w:i w:val="1"/>
          <w:iCs w:val="1"/>
          <w:color w:val="auto"/>
        </w:rPr>
        <w:t>Quantifying Misstatements in Current Year Financial Statements</w:t>
      </w:r>
      <w:r>
        <w:rPr>
          <w:rFonts w:ascii="Arial" w:cs="Arial" w:eastAsia="Arial" w:hAnsi="Arial"/>
          <w:sz w:val="18"/>
          <w:szCs w:val="18"/>
          <w:color w:val="auto"/>
        </w:rPr>
        <w:t>), we have corrected these misstatements for all prior periods presented by revising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and other consolidated financial information included herein. We have revised, and will revise for annual and interim periods in future filings, certain amounts in the consolidated financial statements to correct these misstatements. See Note 15 for additional information on the revision.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Standards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March 2016, the Financial Accounting Standards Board (the “FASB”) issued Accounting Standards Update (“ASU”) 2016-09, </w:t>
      </w:r>
      <w:r>
        <w:rPr>
          <w:rFonts w:ascii="Arial" w:cs="Arial" w:eastAsia="Arial" w:hAnsi="Arial"/>
          <w:sz w:val="16"/>
          <w:szCs w:val="16"/>
          <w:i w:val="1"/>
          <w:iCs w:val="1"/>
          <w:color w:val="auto"/>
        </w:rPr>
        <w:t>Improvements to 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Share-Based Payment Accounting. </w:t>
      </w:r>
      <w:r>
        <w:rPr>
          <w:rFonts w:ascii="Arial" w:cs="Arial" w:eastAsia="Arial" w:hAnsi="Arial"/>
          <w:sz w:val="16"/>
          <w:szCs w:val="16"/>
          <w:color w:val="auto"/>
        </w:rPr>
        <w:t>The new standard changes how companies account for certain aspects of share-based payments to employees.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must recognize the income tax effects of awards in the statement of operations when the awards vest or are settled (i.e., additional paid-in capital pools were eliminated). The guidance changed regarding employers’ accounting for an employee’s use of shares to satisfy the employer’s statutory income tax withholding obligation and for forfeitures. The guidance was effective for public business entities for fiscal years beginning after December 15, 2016, and interim periods within those fiscal years. As of January 1, 2017, we adopted ASU 2016-09, and the effects of the standard are reflected in the three-month and nine-month periods ended September 30, 2017, balances. Upon adoption, we reclassified $0.7 million in historical tax benefits from deferred taxes to retained earnings. We will recognize prospective tax benefits in income tax expense. Tax payments in respect of shares withheld for taxes are now classified in the financing section of the statement of cash flows. The calculation of diluted earnings per share now excludes tax benefits that would have generated more dilutive shares. The effects of the adoption were not material to the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New Accounting Standards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In May 2014, the FASB issued a new standard that provides a single, comprehensive revenue recognition model for all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supersedes most of the existing revenue recognition requirements. Under the new guidance, revenue is recognized when a customer obtains control of promised goods or services in an amount that reflects the consideration the entity expects to receive in exchange for those goods or services. The standard also requires disclosure of the nature, amount, timing and uncertainty of revenue and cash flows arising from contracts with customers. Factors that will affect pre-and post-implementation include, but are not limited to, identifying all the contracts that exist and whether incidental obligations or marketing incentives included in some of those contracts are performance obligations. Additionally, we are evaluating the transfer of control of certain consignment contracts which may impact the timing of revenue recognition under the new standard.</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standard will be effective for us beginning January 1, 2018. We intend to adopt the standard utilizing the modified retrospective transition method. Under this transition method, we will recognize the cumulative effect of initially applying the new standard as an adjustment to the opening balance of retained earnings as of January 1, 2018, and will apply the new standard beginning with the most current period presented to contracts that are not completed at the date of initial application. We continue to evaluate the adoption method throughout each phase of implementation.</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our ability to adopt the standard using the modified retrospective method depends on system readiness and completing our analysis of information necessary to present required footnote disclosures in the consolidated financial statements, the implementation project remains on schedule. We have completed a diagnostic accounting assessment, including an analysis of a representative sample of contracts, to identify areas that will be most significantly impacted by implementation of the new standard. We have also completed initial training to educate contract managers of the technical aspects of the new standard. We are in the process of concluding on and documenting our assessments related to the standard as well as potential system and procedural changes. We are evaluating the impact the new standard will have on our financial condition, results of operations and cash flows. We expect to complete our final evaluation of the impact of adopting the new standard during 2017.</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xml:space="preserve"> Leases</w:t>
      </w:r>
      <w:r>
        <w:rPr>
          <w:rFonts w:ascii="Arial" w:cs="Arial" w:eastAsia="Arial" w:hAnsi="Arial"/>
          <w:sz w:val="18"/>
          <w:szCs w:val="18"/>
          <w:color w:val="auto"/>
        </w:rPr>
        <w:t>. ASU 2016-02 creates Topic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in the ASC and supersedes ASC 840,</w:t>
      </w:r>
      <w:r>
        <w:rPr>
          <w:rFonts w:ascii="Arial" w:cs="Arial" w:eastAsia="Arial" w:hAnsi="Arial"/>
          <w:sz w:val="18"/>
          <w:szCs w:val="18"/>
          <w:i w:val="1"/>
          <w:iCs w:val="1"/>
          <w:color w:val="auto"/>
        </w:rPr>
        <w:t xml:space="preserve"> Leases. </w:t>
      </w:r>
      <w:r>
        <w:rPr>
          <w:rFonts w:ascii="Arial" w:cs="Arial" w:eastAsia="Arial" w:hAnsi="Arial"/>
          <w:sz w:val="18"/>
          <w:szCs w:val="18"/>
          <w:color w:val="auto"/>
        </w:rPr>
        <w:t>Entities that hold numerous equipment and real estate leases, in particular those with numerous operating leases, will be most affected by the new guidance. The lease accounting standard is effective for NN beginning January 1, 2019, with modified retrospective adoption required and early adoption permitted. The amendments in ASU 2016-02 are expected to impact balance sheets at many companies by adding lease-related assets and liabilities. This may affect compliance with contractual agreements and loan covenants. We have performed inquiries within segment locations and compiled information on operating and capital leases. We are currently evaluating the impacts of the lease accounting standard on our financial position, results of operations, and related disclosures.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Statement of Cash Flows. </w:t>
      </w:r>
      <w:r>
        <w:rPr>
          <w:rFonts w:ascii="Arial" w:cs="Arial" w:eastAsia="Arial" w:hAnsi="Arial"/>
          <w:sz w:val="16"/>
          <w:szCs w:val="16"/>
          <w:color w:val="auto"/>
        </w:rPr>
        <w:t>In August 2016, the FASB issued ASU 2016-15,</w:t>
      </w:r>
      <w:r>
        <w:rPr>
          <w:rFonts w:ascii="Arial" w:cs="Arial" w:eastAsia="Arial" w:hAnsi="Arial"/>
          <w:sz w:val="16"/>
          <w:szCs w:val="16"/>
          <w:i w:val="1"/>
          <w:iCs w:val="1"/>
          <w:color w:val="auto"/>
        </w:rPr>
        <w:t xml:space="preserve"> Classification of Certain Cash Receipts and Cash Payments</w:t>
      </w:r>
      <w:r>
        <w:rPr>
          <w:rFonts w:ascii="Arial" w:cs="Arial" w:eastAsia="Arial" w:hAnsi="Arial"/>
          <w:sz w:val="16"/>
          <w:szCs w:val="16"/>
          <w:color w:val="auto"/>
        </w:rPr>
        <w:t>. This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clarification on how certain cash receipts and cash payments are presented and classified on the statement of cash flows. The standard is effective for</w:t>
      </w:r>
    </w:p>
    <w:p>
      <w:pPr>
        <w:ind w:right="20" w:firstLine="8"/>
        <w:spacing w:after="0" w:line="295" w:lineRule="auto"/>
        <w:tabs>
          <w:tab w:leader="none" w:pos="305" w:val="left"/>
        </w:tabs>
        <w:numPr>
          <w:ilvl w:val="0"/>
          <w:numId w:val="7"/>
        </w:numPr>
        <w:rPr>
          <w:rFonts w:ascii="Arial" w:cs="Arial" w:eastAsia="Arial" w:hAnsi="Arial"/>
          <w:sz w:val="16"/>
          <w:szCs w:val="16"/>
          <w:color w:val="auto"/>
        </w:rPr>
      </w:pPr>
      <w:r>
        <w:rPr>
          <w:rFonts w:ascii="Arial" w:cs="Arial" w:eastAsia="Arial" w:hAnsi="Arial"/>
          <w:sz w:val="16"/>
          <w:szCs w:val="16"/>
          <w:color w:val="auto"/>
        </w:rPr>
        <w:t>beginning January 1, 2018, and is required to be adopted using a retrospective approach if practicable, with early adoption permitted. We are in the process of assessing the effects of the standard on prior periods. We expect to complete our final evaluation of the impact of adopting the new standard during 2017. Although our analysis of the effects on prior periods is not yet complete, we have identified $31.6 million of cash paid for debt prepayment in April 2017 that is currently classified as an operating cash outflow. Under the new guidance, this $31.6 million will be classified as a financing cash outflow.</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 xml:space="preserve"> Intangibles – Goodwill and Other (Topic 350): Simplifying the Test for Goodwill Impairment, </w:t>
      </w:r>
      <w:r>
        <w:rPr>
          <w:rFonts w:ascii="Arial" w:cs="Arial" w:eastAsia="Arial" w:hAnsi="Arial"/>
          <w:sz w:val="18"/>
          <w:szCs w:val="18"/>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test). The standard is effective for NN beginning with impairment tests performed on or after January 1, 2020, with early adoption permitted. We are currently evaluating the impact this new guidance is expected to have on our financial position or results of operations and related disclosures.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17, 2017, we completed the sale of our PBC business to Tsubaki Nakashima, Co, Ltd. for a base purchase price of $375.0 million in cash, subject to certain adjustments. We expect to finalize purchase price adjustments in accordance with the purchase agreement.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PBC reportable segment disclosed in our historical financial statements. Under the terms of a transition services agreement, we will provide certain support services for twelve months from the closing date of the sale.</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received cash proceeds of $387.6 million and recorded an estimated after-tax gain on sale of $129.4 million, which is included in the “Income from discontinued operations, net of tax” line on the Condensed Consolidated Statements of Operations and Comprehensive Income for the three-month and nine-month periods ended September 30, 2017. The net amount of cash proceeds and gain are subject to change due to the finalization of working capital adjustments. The gain includes the effects of $9.3 million in cumulative foreign currency translation gain and non-controlling interest attributable to the PBC business as of August 17, 2017.</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accordance with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xml:space="preserve"> the operating results of PBC are classified as discontinued operations. The presentation of discontinued operations includes revenues and expenses of the discontinued operations and gain on the disposition of the business, net of tax, as one line item on the Condensed Consolidated Statements of Operations and Comprehensive Income. All Condensed Consolidated Statements of Operations and Comprehensive Income presented have been revised to reflect this presentation. Accordingly, results of the PBC business have been excluded from continuing operations and segment results for all periods presented in the condensed consolidated financial statements and the accompanying notes unless otherwise stated.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line items included in the results of operations of the discontinued operations.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$ 31,600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$58,247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$168,287</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$188,149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w w:val="98"/>
              </w:rPr>
              <w:t>Cost of products sold (exclusive of depreciation and amortization shown separately</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below)</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26,070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45,353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130,554</w:t>
            </w:r>
          </w:p>
        </w:tc>
        <w:tc>
          <w:tcPr>
            <w:tcW w:w="4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2,466</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4,146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1,611</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2,956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7,723</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215,280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215,280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(98)</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(265)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discontinued operations before provision (benefit) for income</w:t>
            </w: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216,674</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233,009</w:t>
            </w:r>
          </w:p>
        </w:tc>
        <w:tc>
          <w:tcPr>
            <w:tcW w:w="4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(80,849)</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(1,981)</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(86,430)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135,825</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146,579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right"/>
              <w:ind w:right="1090"/>
              <w:spacing w:after="0"/>
              <w:rPr>
                <w:sz w:val="20"/>
                <w:szCs w:val="20"/>
                <w:color w:val="auto"/>
              </w:rPr>
            </w:pPr>
            <w:r>
              <w:rPr>
                <w:rFonts w:ascii="Arial" w:cs="Arial" w:eastAsia="Arial" w:hAnsi="Arial"/>
                <w:sz w:val="18"/>
                <w:szCs w:val="18"/>
                <w:color w:val="auto"/>
              </w:rPr>
              <w:t>10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carrying amounts of major classes of assets and liabilities of discontinued operations for each of the periods presented.</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40" w:type="dxa"/>
            <w:vAlign w:val="bottom"/>
            <w:gridSpan w:val="3"/>
          </w:tcPr>
          <w:p>
            <w:pPr>
              <w:ind w:left="960"/>
              <w:spacing w:after="0"/>
              <w:rPr>
                <w:sz w:val="20"/>
                <w:szCs w:val="20"/>
                <w:color w:val="auto"/>
              </w:rPr>
            </w:pPr>
            <w:r>
              <w:rPr>
                <w:rFonts w:ascii="Arial" w:cs="Arial" w:eastAsia="Arial" w:hAnsi="Arial"/>
                <w:sz w:val="14"/>
                <w:szCs w:val="14"/>
                <w:b w:val="1"/>
                <w:bCs w:val="1"/>
                <w:color w:val="auto"/>
                <w:w w:val="89"/>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current assets</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 of discontinued operations</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Intangible assets, net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Total non-current assets of discontinued operations</w:t>
            </w: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 of discontinued operations</w:t>
            </w:r>
          </w:p>
        </w:tc>
        <w:tc>
          <w:tcPr>
            <w:tcW w:w="11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benefits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taxes payable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Total current liabilities of discontinued operations</w:t>
            </w: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Accrued post-employment benefits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Total non-current liabilities of discontinued operations</w:t>
            </w: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of discontinued operations</w:t>
            </w:r>
          </w:p>
        </w:tc>
        <w:tc>
          <w:tcPr>
            <w:tcW w:w="11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cash paid for capital expenditures of discontinued operations for each period presented.</w:t>
      </w:r>
    </w:p>
    <w:p>
      <w:pPr>
        <w:spacing w:after="0" w:line="267"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Nine Months Ended</w:t>
      </w:r>
    </w:p>
    <w:p>
      <w:pPr>
        <w:jc w:val="center"/>
        <w:ind w:left="70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74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60" w:type="dxa"/>
            <w:vAlign w:val="bottom"/>
            <w:shd w:val="clear" w:color="auto" w:fill="CCEEFF"/>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10,024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14,015</w:t>
            </w:r>
          </w:p>
        </w:tc>
        <w:tc>
          <w:tcPr>
            <w:tcW w:w="60" w:type="dxa"/>
            <w:vAlign w:val="bottom"/>
          </w:tcPr>
          <w:p>
            <w:pPr>
              <w:spacing w:after="0"/>
              <w:rPr>
                <w:sz w:val="20"/>
                <w:szCs w:val="20"/>
                <w:color w:val="auto"/>
              </w:rPr>
            </w:pPr>
          </w:p>
        </w:tc>
      </w:tr>
      <w:tr>
        <w:trPr>
          <w:trHeight w:val="350"/>
        </w:trPr>
        <w:tc>
          <w:tcPr>
            <w:tcW w:w="3740" w:type="dxa"/>
            <w:vAlign w:val="bottom"/>
          </w:tcPr>
          <w:p>
            <w:pPr>
              <w:spacing w:after="0"/>
              <w:rPr>
                <w:sz w:val="24"/>
                <w:szCs w:val="24"/>
                <w:color w:val="auto"/>
              </w:rPr>
            </w:pPr>
          </w:p>
        </w:tc>
        <w:tc>
          <w:tcPr>
            <w:tcW w:w="3300" w:type="dxa"/>
            <w:vAlign w:val="bottom"/>
          </w:tcPr>
          <w:p>
            <w:pPr>
              <w:jc w:val="right"/>
              <w:ind w:right="253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36,081</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24,535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22,644</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16,853</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6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67,137</w:t>
            </w: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Inventories are stated at the lower of cost or net realizable value. Cost is determined using the average cost method. The inventory valuations above were developed using normalized production capacities for each manufacturing location. Any costs from abnormal excess capacity or underutilization of fixed production overheads are expensed in the period incurred and are not included as a component of inventory valuation.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Share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135,825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146,579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132,895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118,561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27,159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Diluted shares outstanding</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27,322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from continuing operations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Basic income from discontinued operations per share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Diluted income (loss) from continuing operations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from discontinued operations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calculations of diluted income from continuing operations per share for the three-month periods ended September 30, 2017 and 2016, exclude 0.8 million and 0.6 million potentially dilutive stock options, which had the effect of being anti-dilutive. The calculations of diluted income from continuing operations per share for the nine-month periods ended September 30, 2017 and 2016, exclude 0.8 million and 0.8 million potentially dilutive stock options, which had the effect of being anti-dilutive. Given the loss from continuing operations for the three-month and nine-month periods ended September 30, 2017, and for the nine-month period ended September 30, 2016, all options are considered anti-dilutive and were excluded from the calculation of diluted loss from continuing operations per share.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segment information and the accounting policies of each segment are the same as those described in the Notes to Consolidated Financial Statements entitled “Segment Information” and “Summary of Significant Accounting Policies and Practices,” respectively, included in our 2016 Annual Report. Our business has historically been aggregated into three reportable segments: PBC, APC, and PEP. See Note 2 for information regarding the sale of the PBC business on August 17, 2017. The results of the PBC business are classified as discontinued operations for all periods in the condensed consolidated financial statements and accompanying notes unless otherwise stated. Accordingly, results of the PBC business are not included in the tabular presentation below.</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Within our APC segment, we manufacture highly engineered, difficult-to-manufacture precision metal components and sub-assemblies for the automotive and industrial end markets.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Within our PEP segment, we combine materials science expertise with advanced engineering and production capabilities to design and manufacture a broad range of high-precision metal and plastic components, assemblies, and finished devices for the medical, electrical, automotive and aerospace end markets.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results of continuing operations for each reportable segment. There were no significant inter-segment transactions during the three-month and nine-month periods ended September 30, 2017 and 2016.</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Autocam</w:t>
            </w: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Precision</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Precision</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Engineered</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Products</w:t>
            </w:r>
          </w:p>
        </w:tc>
        <w:tc>
          <w:tcPr>
            <w:tcW w:w="120" w:type="dxa"/>
            <w:vAlign w:val="bottom"/>
          </w:tcPr>
          <w:p>
            <w:pPr>
              <w:spacing w:after="0"/>
              <w:rPr>
                <w:sz w:val="12"/>
                <w:szCs w:val="12"/>
                <w:color w:val="auto"/>
              </w:rPr>
            </w:pPr>
          </w:p>
        </w:tc>
        <w:tc>
          <w:tcPr>
            <w:tcW w:w="10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Group</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Three Months Ended September 30, 2017</w:t>
            </w: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81,664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66,492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148,156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Nine Months Ended September 30, 2017</w:t>
            </w: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254,768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208,890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463,658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28,088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29,436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(25,230)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32,294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Three Months Ended September 30, 2016</w:t>
            </w:r>
          </w:p>
        </w:tc>
        <w:tc>
          <w:tcPr>
            <w:tcW w:w="9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80,492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66,222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Nine Months Ended September 30, 2016</w:t>
            </w: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247,473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195,837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443,310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22,761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26,116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(19,420)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29,457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ind w:left="9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September 30, 2017, and December 31, 2016.</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82"/>
        </w:trPr>
        <w:tc>
          <w:tcPr>
            <w:tcW w:w="6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$545.0 million Senior Secured Term Loan B (“Senior Secured Term Loan”)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bearing interest at the greater of 0.75% or one-month LIBOR (1.23% at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2017), plus an applicable margin of 4.25% at September 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 expiring October 19, 2022</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539,250</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543,563</w:t>
            </w:r>
          </w:p>
        </w:tc>
        <w:tc>
          <w:tcPr>
            <w:tcW w:w="60" w:type="dxa"/>
            <w:vAlign w:val="bottom"/>
            <w:shd w:val="clear" w:color="auto" w:fill="CCEEFF"/>
          </w:tcPr>
          <w:p>
            <w:pPr>
              <w:spacing w:after="0"/>
              <w:rPr>
                <w:sz w:val="20"/>
                <w:szCs w:val="20"/>
                <w:color w:val="auto"/>
              </w:rPr>
            </w:pP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rPr>
              <w:t>$300.0 million Incremental Term Loan (“Incremental Term Loan”) bearing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interest at the greater of 0.75% or one-month LIBOR (1.23% at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September 30, 2017), plus an applicable margin of 3.75% at September 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2017, expiring April 3, 2021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294,000</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$143.0 million Senior Secured Revolver (“Senior Secured Revolver”) bearing</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at one-month LIBOR (1.23% at September 30, 2017) plus an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applicable margin of 3.5% at September 30, 2017, expiring October 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27,977</w:t>
            </w:r>
          </w:p>
        </w:tc>
        <w:tc>
          <w:tcPr>
            <w:tcW w:w="60" w:type="dxa"/>
            <w:vAlign w:val="bottom"/>
            <w:shd w:val="clear" w:color="auto" w:fill="CCEEFF"/>
          </w:tcPr>
          <w:p>
            <w:pPr>
              <w:spacing w:after="0"/>
              <w:rPr>
                <w:sz w:val="20"/>
                <w:szCs w:val="20"/>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$250.0 million Senior Notes (“Senior Notes”) bearing interest at 10.25%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French Safeguard Obligations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Brazilian lines of credit and equipment notes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Chinese line of credit, bearing interest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6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836,992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825,090</w:t>
            </w:r>
          </w:p>
        </w:tc>
        <w:tc>
          <w:tcPr>
            <w:tcW w:w="6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21,090</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6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Principal, net of current portion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815,902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812,339</w:t>
            </w:r>
          </w:p>
        </w:tc>
        <w:tc>
          <w:tcPr>
            <w:tcW w:w="6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21,903</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6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793,999</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785,713</w:t>
            </w:r>
          </w:p>
        </w:tc>
        <w:tc>
          <w:tcPr>
            <w:tcW w:w="6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April 3, 2017, we redeemed the Senior Notes for $281.6 million resulting in a loss on debt extinguishment of $36.3 million, including $31.6 million cash paid for the call premium and a $4.7 million non-cash write-off of unamortized debt issuance costs. The Senior Notes were redeemed and the call premium was paid with the proceeds of a new $300.0 million Incremental Term Loan that was added by amendment to the existing credit facility. The Incremental Term Loan bears interest at the lower of 0.75% or the one-month London Interbank Offered Rate (“LIBOR”), plus 3.75%, and matures on April 3, 2021, with payments of $3.0 million due quarterly. The amendment also reduced the Senior Secured Revolver from $143.0 million to $100.0 million until such time as a leverage ratio covenant threshold has been met for four consecutive fiscal quarters. Upon satisfaction of the ratio threshold, the Senior Secured Revolver may be restored to $143.0 million. In connection with the amendment, we paid $6.5 million in debt issuance costs of which we recorded $4.0 million as a direct reduction to the carrying amount of the associated debt and $2.5 million as a loss on modification of the Senior Secured Term Loan. Debt issuance costs related to the amendment were paid with proceeds from the Incremental Term Loan. Also in connection with the amendment, we wrote off $0.8 million of unamortized debt issuance costs related to the modification of the Senior Secured Revolver.</w:t>
      </w:r>
    </w:p>
    <w:p>
      <w:pPr>
        <w:spacing w:after="0" w:line="16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used cash generated from operations and a portion of the cash proceeds from the sale of the PBC business to pay down the Senior Secured Revolver on August 17, 2017, which had a $33.2 million outstanding balance at that time. We continue to utilize the Senior Secured Revolver for daily working capital needs.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assumed certain foreign credit facilities as part of the Autocam acquisition. These facilities relate to local borrowings in France, Brazil, and China. These facilities are with financial institutions in the countries in which foreign plants operate and are used to fund working capital and equipment purchases in those countries. Our 2016 Annual Report includes descriptions of these foreign credit facilities.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goodwill, net, for the nine months ended September 30, 2017.</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Autocam</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Precision</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Precision</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Engineered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Components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Products</w:t>
            </w:r>
          </w:p>
        </w:tc>
        <w:tc>
          <w:tcPr>
            <w:tcW w:w="48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Group</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Group</w:t>
            </w:r>
          </w:p>
        </w:tc>
        <w:tc>
          <w:tcPr>
            <w:tcW w:w="4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70,717</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$ 370,685</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$441,402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Currency impacts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736</w:t>
            </w:r>
          </w:p>
        </w:tc>
        <w:tc>
          <w:tcPr>
            <w:tcW w:w="700" w:type="dxa"/>
            <w:vAlign w:val="bottom"/>
          </w:tcPr>
          <w:p>
            <w:pPr>
              <w:jc w:val="right"/>
              <w:spacing w:after="0"/>
              <w:rPr>
                <w:sz w:val="20"/>
                <w:szCs w:val="20"/>
                <w:color w:val="auto"/>
              </w:rPr>
            </w:pPr>
            <w:r>
              <w:rPr>
                <w:rFonts w:ascii="Arial" w:cs="Arial" w:eastAsia="Arial" w:hAnsi="Arial"/>
                <w:sz w:val="18"/>
                <w:szCs w:val="18"/>
                <w:color w:val="auto"/>
              </w:rPr>
              <w:t>1,358</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71,453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$ 372,043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443,496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Goodwill is tested for impairment on an annual basis during the fourth quarter and more often if a triggering event occurs. As of September 30, 2017, there were no indications of impairment at the reporting units with goodwill balances.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 for the nine months ended September 30, 2017.</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Autocam</w:t>
            </w:r>
          </w:p>
        </w:tc>
        <w:tc>
          <w:tcPr>
            <w:tcW w:w="20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Precision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Precision</w:t>
            </w: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Engineered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Components</w:t>
            </w:r>
          </w:p>
        </w:tc>
        <w:tc>
          <w:tcPr>
            <w:tcW w:w="20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Products</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Group</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$ 211,335</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$254,263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(2,616)</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(14,900)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(17,516)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Balance as of September 30, 2017</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40,317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$ 196,435</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236,752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Intangible assets are tested for impairment when changes in circumstances indicate the carrying value of those assets may not be recoverable. As of September 30, 2017, there were no indications of impairment at the reporting units with intangible asset balances.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Shared-Based Compensation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lists the components of share-based compensation expense for the three-month and nine-month periods ended September 30, 2017 and 2016, by type of award.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5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50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$ 1,102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1,628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2,120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w:t>
            </w: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$ 3,985</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3,559</w:t>
            </w:r>
          </w:p>
        </w:tc>
        <w:tc>
          <w:tcPr>
            <w:tcW w:w="6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the sale of the PBC business, our board of directors approved the acceleration of vesting of share-based awards to 19 members of PBC executive management in recognition of their service to the Company. The vesting date was accelerated to August 17, 2017, and the term was changed to two years for 58,094 option awards. The vesting date for 25,564 restricted stock awards was accelerated to August 17, 2017. We accounted for the acceleration of vesting as a modification of share-based awards. Accordingly, we recognized in discontinued operations approximately $0.8 million of incremental share-based compensation expense.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During the nine months ended September 30, 2017, we granted 125,700 option awards to officers and certain other key employees. The weighted average grant date fair value of options granted during the nine months ended September 30, 2017, was $11.84 per share. The fair value of these options cannot be determined by market value because the options are not traded in an open market. Accordingly, we utilized the Black Scholes financial pricing model to estimate the fair value. The following table shows the weighted average assumptions relevant to determining the fair value of the 2017 stock option grants.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Stock Option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Awards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64"/>
              <w:spacing w:after="0"/>
              <w:rPr>
                <w:sz w:val="20"/>
                <w:szCs w:val="20"/>
                <w:color w:val="auto"/>
              </w:rPr>
            </w:pPr>
            <w:r>
              <w:rPr>
                <w:rFonts w:ascii="Arial" w:cs="Arial" w:eastAsia="Arial" w:hAnsi="Arial"/>
                <w:sz w:val="18"/>
                <w:szCs w:val="18"/>
                <w:color w:val="auto"/>
                <w:w w:val="84"/>
              </w:rPr>
              <w:t>6 years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6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56.56%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76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60" w:type="dxa"/>
            <w:vAlign w:val="bottom"/>
            <w:gridSpan w:val="9"/>
          </w:tcPr>
          <w:p>
            <w:pPr>
              <w:jc w:val="right"/>
              <w:ind w:right="360"/>
              <w:spacing w:after="0"/>
              <w:rPr>
                <w:sz w:val="20"/>
                <w:szCs w:val="20"/>
                <w:color w:val="auto"/>
              </w:rPr>
            </w:pPr>
            <w:r>
              <w:rPr>
                <w:rFonts w:ascii="Arial" w:cs="Arial" w:eastAsia="Arial" w:hAnsi="Arial"/>
                <w:sz w:val="18"/>
                <w:szCs w:val="18"/>
                <w:color w:val="auto"/>
                <w:w w:val="91"/>
              </w:rPr>
              <w:t>The following table provides a reconciliation of option activity for the nine months ended September 30, 2017.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4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 w:type="dxa"/>
            <w:vAlign w:val="bottom"/>
            <w:vMerge w:val="restart"/>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Options</w:t>
            </w:r>
          </w:p>
        </w:tc>
        <w:tc>
          <w:tcPr>
            <w:tcW w:w="5160" w:type="dxa"/>
            <w:vAlign w:val="bottom"/>
            <w:gridSpan w:val="2"/>
            <w:vMerge w:val="restart"/>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160" w:type="dxa"/>
            <w:vAlign w:val="bottom"/>
            <w:gridSpan w:val="2"/>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Shares (000)</w:t>
            </w:r>
          </w:p>
        </w:tc>
        <w:tc>
          <w:tcPr>
            <w:tcW w:w="6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Term (years)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160" w:type="dxa"/>
            <w:vAlign w:val="bottom"/>
            <w:gridSpan w:val="2"/>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Forfeited or expired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6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14.32</w:t>
            </w: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11,246(1)</w:t>
            </w:r>
          </w:p>
        </w:tc>
        <w:tc>
          <w:tcPr>
            <w:tcW w:w="0" w:type="dxa"/>
            <w:vAlign w:val="bottom"/>
          </w:tcPr>
          <w:p>
            <w:pPr>
              <w:spacing w:after="0"/>
              <w:rPr>
                <w:sz w:val="1"/>
                <w:szCs w:val="1"/>
                <w:color w:val="auto"/>
              </w:rPr>
            </w:pPr>
          </w:p>
        </w:tc>
      </w:tr>
      <w:tr>
        <w:trPr>
          <w:trHeight w:val="20"/>
        </w:trPr>
        <w:tc>
          <w:tcPr>
            <w:tcW w:w="6120" w:type="dxa"/>
            <w:vAlign w:val="bottom"/>
            <w:gridSpan w:val="4"/>
            <w:vMerge w:val="restart"/>
          </w:tcPr>
          <w:p>
            <w:pPr>
              <w:ind w:left="460"/>
              <w:spacing w:after="0"/>
              <w:rPr>
                <w:sz w:val="20"/>
                <w:szCs w:val="20"/>
                <w:color w:val="auto"/>
              </w:rPr>
            </w:pPr>
            <w:r>
              <w:rPr>
                <w:rFonts w:ascii="Arial" w:cs="Arial" w:eastAsia="Arial" w:hAnsi="Arial"/>
                <w:sz w:val="18"/>
                <w:szCs w:val="18"/>
                <w:color w:val="auto"/>
              </w:rPr>
              <w:t>Exercisable at September 30, 2017</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line="20" w:lineRule="exact"/>
              <w:rPr>
                <w:sz w:val="1"/>
                <w:szCs w:val="1"/>
                <w:color w:val="auto"/>
              </w:rPr>
            </w:pPr>
          </w:p>
        </w:tc>
      </w:tr>
      <w:tr>
        <w:trPr>
          <w:trHeight w:val="210"/>
        </w:trPr>
        <w:tc>
          <w:tcPr>
            <w:tcW w:w="6120" w:type="dxa"/>
            <w:vAlign w:val="bottom"/>
            <w:gridSpan w:val="4"/>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6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2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September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nine months ended September 30, 2017, we granted 85,393 restricted stock awards to non-executive directors, officers and certain other key employees. The shares of restricted stock granted during the nine months ended September 30, 2017, vest pro-rata over three years for officers and certain other key employees and over one year for non-executive directors. We determined the fair value of the shares issued by using the closing price of our common stock as of the date of grant. The weighted average grant date value of restricted stock granted in the nine months ended September 30, 2017, was $24.29 per share.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nine months ended September 30, 2017, we granted 98,618 performance share units to officers and certain other key employees. The performance share units granted will be satisfied in the form of shares of common stock during 2020 if certain performance and/or market conditions are met. We recognize the compensation expense over the three-year period in which the performance and market conditions are measured. We determined the fair value per share of the performance share units issued by using the grant date closing price of our common stock for the units with a performance condition, or $24.20, and a Monte Carlo valuation model for the units that have a market condition, or $29.84.</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effective tax rate from continuing operations was 26% and 31% for the three-month and nine-month periods ended September 30, 2017, respectively, and 93% and 51% for the three-month and nine-month periods ended September 30, 2016, respectively. The loss on extinguishment of Senior Notes impacted the 2017 tax rate and was treated as a discrete item during the second quarter of 2017. The 2016 effective rate was impacted by changes in forecasted income and loss and driven by the application of the three- and nine-month results against the permanent book to tax differences. The effective tax rates for 2017 and 2016 differ from the U.S. federal statutory tax rate of 35% due primarily to earnings outside the United States that are indefinitely reinvested and taxed at rates lower than the U.S. federal statutory rate.</w:t>
      </w:r>
    </w:p>
    <w:p>
      <w:pPr>
        <w:spacing w:after="0" w:line="19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Management believes that it is reasonably possible that the amount of unrecognized income tax benefits and interest may decrease during the next 12 months by approximately $0.6 million related to the expiration of the statutes of limitations, of which $0.5 million would reduce income tax expense.</w:t>
      </w:r>
    </w:p>
    <w:p>
      <w:pPr>
        <w:spacing w:after="0" w:line="14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third quarter of 2017, the Internal Revenue Service commenced an examination of the federal tax return for the pre-acquisition period of January 1, 2015 through October 19, 2015 for Precision Engineered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Prior to the Autocam acquisition,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7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September 30, 2017, for this matter. There was no material change in the status of this matter from December 31, 2016 to September 30, 2017.</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Investment in Joint Venture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own a 49% investment in a joint venture located in Wuxi, China, with an unrelated entity called Wuxi Weifu Autocam Precision Machinery Company, Ltd. (the “JV”). The JV is jointly controlled and managed, and we account for it under the equity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our investment in the JV for the nine months ended September 30, 2017.</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Our share of cumulative earnings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by joint venture</w:t>
            </w: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Balance as of September 30, 2017</w:t>
            </w:r>
          </w:p>
        </w:tc>
        <w:tc>
          <w:tcPr>
            <w:tcW w:w="1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37,739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3780"/>
              <w:spacing w:after="0"/>
              <w:rPr>
                <w:sz w:val="20"/>
                <w:szCs w:val="20"/>
                <w:color w:val="auto"/>
              </w:rPr>
            </w:pPr>
            <w:r>
              <w:rPr>
                <w:rFonts w:ascii="Arial" w:cs="Arial" w:eastAsia="Arial" w:hAnsi="Arial"/>
                <w:sz w:val="18"/>
                <w:szCs w:val="18"/>
                <w:color w:val="auto"/>
              </w:rPr>
              <w:t>17</w:t>
            </w:r>
          </w:p>
        </w:tc>
        <w:tc>
          <w:tcPr>
            <w:tcW w:w="1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balance sheet information of the JV itself.</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Non-current assets</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70,543</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26,746</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26,746</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recognized sales to the JV of less than $0.1 million and approximately $0.2 million during the three-month and nine-month periods ended September 30, 2017. Amounts due to us from the JV were less than $0.1 million as of September 30, 2017, and are included in accounts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2016 Annual Report.</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and long-term debt. As of September 30, 2017, the carrying values of these financial instruments approximated fair value. The fair value of floating-rate debt approximates the carrying amount because the interest rates paid are based on short-term maturities. As of September 30, 2017, we had no fixed-rate debt outstanding.</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assets and liabilities measured at fair value on a recurring basis for the interest rate swap derivative financial instrument:</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at September 30, 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00" w:type="dxa"/>
            <w:vAlign w:val="bottom"/>
          </w:tcPr>
          <w:p>
            <w:pPr>
              <w:spacing w:after="0"/>
              <w:rPr>
                <w:sz w:val="10"/>
                <w:szCs w:val="10"/>
                <w:color w:val="auto"/>
              </w:rPr>
            </w:pPr>
          </w:p>
        </w:tc>
        <w:tc>
          <w:tcPr>
            <w:tcW w:w="190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3"/>
              </w:rPr>
              <w:t>Significant Other</w:t>
            </w: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September 30,</w:t>
            </w: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7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700" w:type="dxa"/>
            <w:vAlign w:val="bottom"/>
          </w:tcPr>
          <w:p>
            <w:pPr>
              <w:spacing w:after="0"/>
              <w:rPr>
                <w:sz w:val="12"/>
                <w:szCs w:val="12"/>
                <w:color w:val="auto"/>
              </w:rPr>
            </w:pPr>
          </w:p>
        </w:tc>
        <w:tc>
          <w:tcPr>
            <w:tcW w:w="19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(Level 2)</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25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 - current</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Derivative asset - noncurrent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 current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(1,479)</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Derivative liability - noncurrent</w:t>
            </w:r>
          </w:p>
        </w:tc>
        <w:tc>
          <w:tcPr>
            <w:tcW w:w="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(1,469)</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vMerge w:val="restart"/>
          </w:tcPr>
          <w:p>
            <w:pPr>
              <w:jc w:val="right"/>
              <w:ind w:right="410"/>
              <w:spacing w:after="0"/>
              <w:rPr>
                <w:sz w:val="20"/>
                <w:szCs w:val="20"/>
                <w:color w:val="auto"/>
              </w:rPr>
            </w:pPr>
            <w:r>
              <w:rPr>
                <w:rFonts w:ascii="Arial" w:cs="Arial" w:eastAsia="Arial" w:hAnsi="Arial"/>
                <w:sz w:val="18"/>
                <w:szCs w:val="18"/>
                <w:color w:val="auto"/>
                <w:w w:val="79"/>
              </w:rPr>
              <w:t>18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7"/>
          </w:tcPr>
          <w:p>
            <w:pPr>
              <w:jc w:val="center"/>
              <w:ind w:left="635"/>
              <w:spacing w:after="0"/>
              <w:rPr>
                <w:sz w:val="20"/>
                <w:szCs w:val="20"/>
                <w:color w:val="auto"/>
              </w:rPr>
            </w:pPr>
            <w:r>
              <w:rPr>
                <w:rFonts w:ascii="Arial" w:cs="Arial" w:eastAsia="Arial" w:hAnsi="Arial"/>
                <w:sz w:val="14"/>
                <w:szCs w:val="14"/>
                <w:b w:val="1"/>
                <w:bCs w:val="1"/>
                <w:color w:val="auto"/>
                <w:w w:val="92"/>
              </w:rPr>
              <w:t>Fair Value Measurements at December 31, 2016</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700" w:type="dxa"/>
            <w:vAlign w:val="bottom"/>
          </w:tcPr>
          <w:p>
            <w:pPr>
              <w:spacing w:after="0"/>
              <w:rPr>
                <w:sz w:val="10"/>
                <w:szCs w:val="10"/>
                <w:color w:val="auto"/>
              </w:rPr>
            </w:pPr>
          </w:p>
        </w:tc>
        <w:tc>
          <w:tcPr>
            <w:tcW w:w="15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7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700" w:type="dxa"/>
            <w:vAlign w:val="bottom"/>
          </w:tcPr>
          <w:p>
            <w:pPr>
              <w:spacing w:after="0"/>
              <w:rPr>
                <w:sz w:val="12"/>
                <w:szCs w:val="12"/>
                <w:color w:val="auto"/>
              </w:rPr>
            </w:pPr>
          </w:p>
        </w:tc>
        <w:tc>
          <w:tcPr>
            <w:tcW w:w="15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40" w:type="dxa"/>
            <w:vAlign w:val="bottom"/>
          </w:tcPr>
          <w:p>
            <w:pPr>
              <w:spacing w:after="0"/>
              <w:rPr>
                <w:sz w:val="12"/>
                <w:szCs w:val="12"/>
                <w:color w:val="auto"/>
              </w:rPr>
            </w:pP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 - current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asset - noncurrent</w:t>
            </w:r>
          </w:p>
        </w:tc>
        <w:tc>
          <w:tcPr>
            <w:tcW w:w="1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 current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liability - noncurrent</w:t>
            </w:r>
          </w:p>
        </w:tc>
        <w:tc>
          <w:tcPr>
            <w:tcW w:w="1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interest rate swaps to exchange the difference between fixed and variable interest amounts.</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management believes carry only a minimal risk of nonperformance.</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elected to present the derivative contracts on a gross basis in the Condensed Consolidated Balance Sheets included within other current assets, other non-current assets, other current liabilities and other non-current liabilities. If the derivative contract were presented on a net basis, the derivative would reflect in a net liability position of $1.5 million as of September 30, 2017. We do not have any cash collateral due under such agreements.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September 30, 2017, we had no gains or losses in accumulated other comprehensive income related to the interest rate swap. Additionally, during the nine months ended September 30, 2016, when the interest rate swap was accounted for in accordance with hedge accounting, the periodic settlements and related reclassification of other comprehensive income was $1.4 million of net hedging losses on the interest rate swap in the interest expense line on the Condensed Consolidated Statements of Operations and Comprehensive Income. The “Derivative loss (gain) on change in interest rate swap fair value” line on the Condensed Consolidated Statements of Operations and Comprehensive Income includes interest rate swap settlements of $0.3 million and $1.3 million for the three-month and nine-month periods ended September 30, 2017, and $0.6 million for the three-month and nine-month periods ended September 30, 2016. Effective October 27, 2017, we terminated our interest rate swap with a cash payment of $1.3 million. Therefore, we classified all amounts related to the interest rate swap as current assets and current liabilities on our balance sheet as of September 30,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and Integration</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recognized restructuring and integration costs totaling $0.3 million and $0.4 million in the three-month and nine-month periods ended September 30, 2017. We recognized restructuring and integration costs totaling $0.6 million and $4.9 million in the three-month and nine-month periods ended September 30, 2016.</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Within APC, certain restructuring programs that included the closure of one facility, the Wheeling Plant, resulted in a charge of $0.3 million and $0.4 million for the three-month and nine-month periods ended September 30, 2017, and $0.3 million and $3.9 million for the three-month and nine-month periods ended September 30, 2016.</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Within PEP, initiatives resulted in integration, site closure and employee costs of $0.3 million and $1.0 million for the three-month and nine-month periods ended September 30, 2016. There were no charges in the three-month and nine-month periods ended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summarizes restructuring and integration activity related to actions incurred for the three-month and nine-month periods ended September 30, 2017 and 2016.</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98"/>
              <w:spacing w:after="0" w:line="142" w:lineRule="exact"/>
              <w:rPr>
                <w:sz w:val="20"/>
                <w:szCs w:val="20"/>
                <w:color w:val="auto"/>
              </w:rPr>
            </w:pPr>
            <w:r>
              <w:rPr>
                <w:rFonts w:ascii="Arial" w:cs="Arial" w:eastAsia="Arial" w:hAnsi="Arial"/>
                <w:sz w:val="14"/>
                <w:szCs w:val="14"/>
                <w:b w:val="1"/>
                <w:bCs w:val="1"/>
                <w:color w:val="auto"/>
                <w:w w:val="89"/>
              </w:rPr>
              <w:t>2017</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2016</w:t>
            </w:r>
          </w:p>
        </w:tc>
        <w:tc>
          <w:tcPr>
            <w:tcW w:w="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other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345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378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345</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362</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Paid in</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Charges</w:t>
            </w:r>
          </w:p>
        </w:tc>
        <w:tc>
          <w:tcPr>
            <w:tcW w:w="7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costs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$(1,017)</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(730)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362</w:t>
            </w:r>
          </w:p>
        </w:tc>
        <w:tc>
          <w:tcPr>
            <w:tcW w:w="7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(1,747)</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are still identifying restructuring and impairment costs at our segments; therefore, we are not able to estimate the ultimate costs at this time. Future filings will include updates to these activities along with a reconciliation of beginning and ending liabilities. We expect to pay $1.0 million of the reserve balance remaining at September 30, 2017, within the next twelve months. The remaining reserve of $0.2 million is expected to be paid in 2018 and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Prior Periods’ Financial Statement Revision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Note 1 in these Notes to Condensed Consolidated Financial Statements, we corrected misstatements for all prior periods presented by revising the Condensed Consolidated Financial Statements and other financial information included herein. We have not revised Consolidated Statements of Cash Flows for any periods. The amounts presented below for prior periods were reported before the PBC business qualified as discontinued operations and therefore include the results of the PBC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of the revision on the Condensed Consolidated Statements of Operations.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 2016</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As Previously</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Reported</w:t>
            </w:r>
          </w:p>
        </w:tc>
        <w:tc>
          <w:tcPr>
            <w:tcW w:w="134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80,266</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80,229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59,400</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59,437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3,089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Income (loss) before provision (benefit) for income</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taxes and share of net income from joint venture</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(7,309)</w:t>
            </w:r>
          </w:p>
        </w:tc>
        <w:tc>
          <w:tcPr>
            <w:tcW w:w="22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(9,313)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7,942</w:t>
            </w:r>
          </w:p>
        </w:tc>
        <w:tc>
          <w:tcPr>
            <w:tcW w:w="2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90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1900" w:type="dxa"/>
            <w:vAlign w:val="bottom"/>
            <w:gridSpan w:val="2"/>
          </w:tcPr>
          <w:p>
            <w:pPr>
              <w:ind w:left="178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350"/>
        </w:trPr>
        <w:tc>
          <w:tcPr>
            <w:tcW w:w="4200" w:type="dxa"/>
            <w:vAlign w:val="bottom"/>
          </w:tcPr>
          <w:p>
            <w:pPr>
              <w:spacing w:after="0"/>
              <w:rPr>
                <w:sz w:val="24"/>
                <w:szCs w:val="24"/>
                <w:color w:val="auto"/>
              </w:rPr>
            </w:pPr>
          </w:p>
        </w:tc>
        <w:tc>
          <w:tcPr>
            <w:tcW w:w="1780" w:type="dxa"/>
            <w:vAlign w:val="bottom"/>
          </w:tcPr>
          <w:p>
            <w:pPr>
              <w:jc w:val="right"/>
              <w:ind w:right="10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6"/>
              </w:rPr>
              <w:t>Nine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0"/>
              </w:rPr>
              <w:t>September 30, 2016</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0"/>
              </w:rPr>
              <w:t>September 30, 2016</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320" w:type="dxa"/>
            <w:vAlign w:val="bottom"/>
          </w:tcPr>
          <w:p>
            <w:pPr>
              <w:spacing w:after="0"/>
              <w:rPr>
                <w:sz w:val="10"/>
                <w:szCs w:val="10"/>
                <w:color w:val="auto"/>
              </w:rPr>
            </w:pPr>
          </w:p>
        </w:tc>
        <w:tc>
          <w:tcPr>
            <w:tcW w:w="10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0"/>
              </w:rPr>
              <w:t>Adjustment</w:t>
            </w:r>
          </w:p>
        </w:tc>
        <w:tc>
          <w:tcPr>
            <w:tcW w:w="8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As Previously</w:t>
            </w:r>
          </w:p>
        </w:tc>
        <w:tc>
          <w:tcPr>
            <w:tcW w:w="32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4"/>
              </w:rPr>
              <w:t>Reported</w:t>
            </w:r>
          </w:p>
        </w:tc>
        <w:tc>
          <w:tcPr>
            <w:tcW w:w="3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4"/>
              </w:rPr>
              <w:t>Reported</w:t>
            </w:r>
          </w:p>
        </w:tc>
        <w:tc>
          <w:tcPr>
            <w:tcW w:w="3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18,347</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18,347</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60,651</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18,727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18,727</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47,304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47,813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15,871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48,924</w:t>
            </w:r>
          </w:p>
        </w:tc>
        <w:tc>
          <w:tcPr>
            <w:tcW w:w="0" w:type="dxa"/>
            <w:vAlign w:val="bottom"/>
          </w:tcPr>
          <w:p>
            <w:pPr>
              <w:spacing w:after="0"/>
              <w:rPr>
                <w:sz w:val="1"/>
                <w:szCs w:val="1"/>
                <w:color w:val="auto"/>
              </w:rPr>
            </w:pP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w w:val="95"/>
              </w:rPr>
              <w:t>Income (loss) before provision (benefit) for income taxes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60" w:type="dxa"/>
            <w:vAlign w:val="bottom"/>
          </w:tcPr>
          <w:p>
            <w:pPr>
              <w:ind w:left="180"/>
              <w:spacing w:after="0"/>
              <w:rPr>
                <w:sz w:val="20"/>
                <w:szCs w:val="20"/>
                <w:color w:val="auto"/>
              </w:rPr>
            </w:pPr>
            <w:r>
              <w:rPr>
                <w:rFonts w:ascii="Arial" w:cs="Arial" w:eastAsia="Arial" w:hAnsi="Arial"/>
                <w:sz w:val="18"/>
                <w:szCs w:val="18"/>
                <w:color w:val="auto"/>
              </w:rPr>
              <w:t>share of net income from joint venture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(5,760)</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4,147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4,879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6"/>
              </w:rPr>
              <w:t>March 31, 2016</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Reported</w:t>
            </w:r>
          </w:p>
        </w:tc>
        <w:tc>
          <w:tcPr>
            <w:tcW w:w="4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11,874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11,784</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Loss before benefit for income taxes and share of net income from joint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(3,419)</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365"/>
        </w:trPr>
        <w:tc>
          <w:tcPr>
            <w:tcW w:w="5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473"/>
              <w:spacing w:after="0"/>
              <w:rPr>
                <w:sz w:val="20"/>
                <w:szCs w:val="20"/>
                <w:color w:val="auto"/>
              </w:rPr>
            </w:pPr>
            <w:r>
              <w:rPr>
                <w:rFonts w:ascii="Arial" w:cs="Arial" w:eastAsia="Arial" w:hAnsi="Arial"/>
                <w:sz w:val="14"/>
                <w:szCs w:val="14"/>
                <w:b w:val="1"/>
                <w:bCs w:val="1"/>
                <w:color w:val="auto"/>
                <w:w w:val="92"/>
              </w:rPr>
              <w:t>Year Ended December 31, 2015</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Reported</w:t>
            </w:r>
          </w:p>
        </w:tc>
        <w:tc>
          <w:tcPr>
            <w:tcW w:w="4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51,745</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26,797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26,760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18,673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6"/>
              </w:rPr>
              <w:t>Income (loss) before provision (benefit) for income taxes and share of net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income from joint venture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(22,950)</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(23,487)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(11,698)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(7,431)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50"/>
        </w:trPr>
        <w:tc>
          <w:tcPr>
            <w:tcW w:w="5660" w:type="dxa"/>
            <w:vAlign w:val="bottom"/>
          </w:tcPr>
          <w:p>
            <w:pPr>
              <w:ind w:left="470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of the revision on the Condensed Consolidated Statements of Comprehensive Income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9"/>
          </w:tcPr>
          <w:p>
            <w:pPr>
              <w:jc w:val="center"/>
              <w:ind w:right="317"/>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jc w:val="center"/>
              <w:ind w:left="83"/>
              <w:spacing w:after="0"/>
              <w:rPr>
                <w:sz w:val="20"/>
                <w:szCs w:val="20"/>
                <w:color w:val="auto"/>
              </w:rPr>
            </w:pPr>
            <w:r>
              <w:rPr>
                <w:rFonts w:ascii="Arial" w:cs="Arial" w:eastAsia="Arial" w:hAnsi="Arial"/>
                <w:sz w:val="14"/>
                <w:szCs w:val="14"/>
                <w:b w:val="1"/>
                <w:bCs w:val="1"/>
                <w:color w:val="auto"/>
                <w:w w:val="94"/>
              </w:rPr>
              <w:t>March 31, 2017</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7"/>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12,113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3"/>
          </w:tcPr>
          <w:p>
            <w:pPr>
              <w:jc w:val="center"/>
              <w:ind w:left="191"/>
              <w:spacing w:after="0"/>
              <w:rPr>
                <w:sz w:val="20"/>
                <w:szCs w:val="20"/>
                <w:color w:val="auto"/>
              </w:rPr>
            </w:pPr>
            <w:r>
              <w:rPr>
                <w:rFonts w:ascii="Arial" w:cs="Arial" w:eastAsia="Arial" w:hAnsi="Arial"/>
                <w:sz w:val="14"/>
                <w:szCs w:val="14"/>
                <w:b w:val="1"/>
                <w:bCs w:val="1"/>
                <w:color w:val="auto"/>
                <w:w w:val="92"/>
              </w:rPr>
              <w:t>Year Ended December 31, 2016</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7"/>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8"/>
              </w:rPr>
              <w:t>(8,984)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(5,969)</w:t>
            </w:r>
          </w:p>
        </w:tc>
        <w:tc>
          <w:tcPr>
            <w:tcW w:w="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(1,848)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(7,817)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w w:val="94"/>
              </w:rPr>
              <w:t>September 30, 2016</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1"/>
              </w:rPr>
              <w:t>September 30, 2016</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As Previously</w:t>
            </w:r>
          </w:p>
        </w:tc>
        <w:tc>
          <w:tcPr>
            <w:tcW w:w="360" w:type="dxa"/>
            <w:vAlign w:val="bottom"/>
          </w:tcPr>
          <w:p>
            <w:pPr>
              <w:spacing w:after="0"/>
              <w:rPr>
                <w:sz w:val="10"/>
                <w:szCs w:val="10"/>
                <w:color w:val="auto"/>
              </w:rPr>
            </w:pPr>
          </w:p>
        </w:tc>
        <w:tc>
          <w:tcPr>
            <w:tcW w:w="10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w w:val="90"/>
              </w:rPr>
              <w:t>Adjustment</w:t>
            </w:r>
          </w:p>
        </w:tc>
        <w:tc>
          <w:tcPr>
            <w:tcW w:w="100" w:type="dxa"/>
            <w:vAlign w:val="bottom"/>
          </w:tcPr>
          <w:p>
            <w:pPr>
              <w:spacing w:after="0"/>
              <w:rPr>
                <w:sz w:val="10"/>
                <w:szCs w:val="10"/>
                <w:color w:val="auto"/>
              </w:rPr>
            </w:pPr>
          </w:p>
        </w:tc>
        <w:tc>
          <w:tcPr>
            <w:tcW w:w="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 Revised</w:t>
            </w:r>
          </w:p>
        </w:tc>
        <w:tc>
          <w:tcPr>
            <w:tcW w:w="300" w:type="dxa"/>
            <w:vAlign w:val="bottom"/>
          </w:tcPr>
          <w:p>
            <w:pPr>
              <w:spacing w:after="0"/>
              <w:rPr>
                <w:sz w:val="10"/>
                <w:szCs w:val="10"/>
                <w:color w:val="auto"/>
              </w:rPr>
            </w:pPr>
          </w:p>
        </w:tc>
        <w:tc>
          <w:tcPr>
            <w:tcW w:w="8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9"/>
              </w:rPr>
              <w:t>As Previously</w:t>
            </w:r>
          </w:p>
        </w:tc>
        <w:tc>
          <w:tcPr>
            <w:tcW w:w="320" w:type="dxa"/>
            <w:vAlign w:val="bottom"/>
          </w:tcPr>
          <w:p>
            <w:pPr>
              <w:spacing w:after="0"/>
              <w:rPr>
                <w:sz w:val="10"/>
                <w:szCs w:val="10"/>
                <w:color w:val="auto"/>
              </w:rPr>
            </w:pPr>
          </w:p>
        </w:tc>
        <w:tc>
          <w:tcPr>
            <w:tcW w:w="9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0"/>
                <w:szCs w:val="10"/>
                <w:color w:val="auto"/>
              </w:rPr>
            </w:pP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7"/>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w w:val="94"/>
              </w:rPr>
              <w:t>Reported</w:t>
            </w:r>
          </w:p>
        </w:tc>
        <w:tc>
          <w:tcPr>
            <w:tcW w:w="3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7"/>
              </w:rPr>
              <w:t>Reported</w:t>
            </w:r>
          </w:p>
        </w:tc>
        <w:tc>
          <w:tcPr>
            <w:tcW w:w="32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Change in fair value of interest rate hedge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3,130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7,306</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(3,507)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12,185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(3,171)</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5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Reported</w:t>
            </w:r>
          </w:p>
        </w:tc>
        <w:tc>
          <w:tcPr>
            <w:tcW w:w="5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6,719</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4,418</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20" w:type="dxa"/>
            <w:vAlign w:val="bottom"/>
            <w:vMerge w:val="restart"/>
          </w:tcPr>
          <w:p>
            <w:pPr>
              <w:jc w:val="right"/>
              <w:ind w:right="91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2015</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22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(25,011)</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(2,128)</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(26,648)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(31,951)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 (33,436)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2014</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22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(18,599)</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(18,872)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 (10,655)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of the revision on the Condensed Consolidated Balance Sheets.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As of March 31, 2017</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8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Reported</w:t>
            </w:r>
          </w:p>
        </w:tc>
        <w:tc>
          <w:tcPr>
            <w:tcW w:w="4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7"/>
              </w:rPr>
              <w:t>(4,388)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1,391,043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1,386,655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(24,804)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327,879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323,491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1,391,043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1,386,655</w:t>
            </w:r>
          </w:p>
        </w:tc>
        <w:tc>
          <w:tcPr>
            <w:tcW w:w="0" w:type="dxa"/>
            <w:vAlign w:val="bottom"/>
          </w:tcPr>
          <w:p>
            <w:pPr>
              <w:spacing w:after="0"/>
              <w:rPr>
                <w:sz w:val="1"/>
                <w:szCs w:val="1"/>
                <w:color w:val="auto"/>
              </w:rPr>
            </w:pPr>
          </w:p>
        </w:tc>
      </w:tr>
      <w:tr>
        <w:trPr>
          <w:trHeight w:val="365"/>
        </w:trPr>
        <w:tc>
          <w:tcPr>
            <w:tcW w:w="3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As of December 31, 2016</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8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Reported</w:t>
            </w:r>
          </w:p>
        </w:tc>
        <w:tc>
          <w:tcPr>
            <w:tcW w:w="4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40,694</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7"/>
              </w:rPr>
              <w:t>(4,686)</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1,360,386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1,355,700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(25,122)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315,199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310,513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1,360,386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1,355,700</w:t>
            </w:r>
          </w:p>
        </w:tc>
        <w:tc>
          <w:tcPr>
            <w:tcW w:w="0" w:type="dxa"/>
            <w:vAlign w:val="bottom"/>
          </w:tcPr>
          <w:p>
            <w:pPr>
              <w:spacing w:after="0"/>
              <w:rPr>
                <w:sz w:val="1"/>
                <w:szCs w:val="1"/>
                <w:color w:val="auto"/>
              </w:rPr>
            </w:pPr>
          </w:p>
        </w:tc>
      </w:tr>
      <w:tr>
        <w:trPr>
          <w:trHeight w:val="365"/>
        </w:trPr>
        <w:tc>
          <w:tcPr>
            <w:tcW w:w="3900" w:type="dxa"/>
            <w:vAlign w:val="bottom"/>
          </w:tcPr>
          <w:p>
            <w:pPr>
              <w:spacing w:after="0"/>
              <w:rPr>
                <w:sz w:val="24"/>
                <w:szCs w:val="24"/>
                <w:color w:val="auto"/>
              </w:rPr>
            </w:pP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4"/>
              </w:rPr>
              <w:t>As of December 31, 2015</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3"/>
              </w:rPr>
              <w:t>Adjustment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3,707</w:t>
            </w:r>
          </w:p>
        </w:tc>
        <w:tc>
          <w:tcPr>
            <w:tcW w:w="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10,403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280,181</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3,707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283,888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318,968</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318,639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449,898</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5,072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454,970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38,462</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1,380,567</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6,238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1,386,805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benefits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21,125</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5,350</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44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133,351</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133,095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117,459</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8,176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125,635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4,746</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1,066,686</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8,098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1,074,784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277,582</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277,917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55,151</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643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55,794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(19,153)</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(2,839)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(21,992)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313,881</w:t>
            </w:r>
          </w:p>
        </w:tc>
        <w:tc>
          <w:tcPr>
            <w:tcW w:w="1780" w:type="dxa"/>
            <w:vAlign w:val="bottom"/>
            <w:gridSpan w:val="3"/>
          </w:tcPr>
          <w:p>
            <w:pPr>
              <w:jc w:val="right"/>
              <w:ind w:right="520"/>
              <w:spacing w:after="0"/>
              <w:rPr>
                <w:sz w:val="20"/>
                <w:szCs w:val="20"/>
                <w:color w:val="auto"/>
              </w:rPr>
            </w:pPr>
            <w:r>
              <w:rPr>
                <w:rFonts w:ascii="Arial" w:cs="Arial" w:eastAsia="Arial" w:hAnsi="Arial"/>
                <w:sz w:val="18"/>
                <w:szCs w:val="18"/>
                <w:color w:val="auto"/>
              </w:rPr>
              <w:t>(1,861)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312,020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1,380,567</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6,238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1,386,805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effect of the revision on our Condensed Consolidated Statements of Changes in Stockholders’ Equity.</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As Previously</w:t>
            </w:r>
          </w:p>
        </w:tc>
        <w:tc>
          <w:tcPr>
            <w:tcW w:w="30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Reported</w:t>
            </w:r>
          </w:p>
        </w:tc>
        <w:tc>
          <w:tcPr>
            <w:tcW w:w="3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 of and for the year ended December 31, 2014</w:t>
            </w:r>
          </w:p>
        </w:tc>
        <w:tc>
          <w:tcPr>
            <w:tcW w:w="1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Change in fair value of interest rate hedge</w:t>
            </w:r>
          </w:p>
        </w:tc>
        <w:tc>
          <w:tcPr>
            <w:tcW w:w="720" w:type="dxa"/>
            <w:vAlign w:val="bottom"/>
            <w:tcBorders>
              <w:top w:val="single" w:sz="8" w:color="CCEEFF"/>
            </w:tcBorders>
            <w:gridSpan w:val="2"/>
          </w:tcPr>
          <w:p>
            <w:pPr>
              <w:spacing w:after="0"/>
              <w:rPr>
                <w:sz w:val="18"/>
                <w:szCs w:val="18"/>
                <w:color w:val="auto"/>
              </w:rPr>
            </w:pPr>
          </w:p>
        </w:tc>
        <w:tc>
          <w:tcPr>
            <w:tcW w:w="1640" w:type="dxa"/>
            <w:vAlign w:val="bottom"/>
            <w:tcBorders>
              <w:top w:val="single" w:sz="8" w:color="CCEEFF"/>
            </w:tcBorders>
            <w:gridSpan w:val="2"/>
          </w:tcPr>
          <w:p>
            <w:pPr>
              <w:ind w:left="154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(431)</w:t>
            </w:r>
          </w:p>
        </w:tc>
        <w:tc>
          <w:tcPr>
            <w:tcW w:w="48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(18,599)</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 (loss)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173,699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172,989</w:t>
            </w:r>
          </w:p>
        </w:tc>
        <w:tc>
          <w:tcPr>
            <w:tcW w:w="0" w:type="dxa"/>
            <w:vAlign w:val="bottom"/>
          </w:tcPr>
          <w:p>
            <w:pPr>
              <w:spacing w:after="0"/>
              <w:rPr>
                <w:sz w:val="1"/>
                <w:szCs w:val="1"/>
                <w:color w:val="auto"/>
              </w:rPr>
            </w:pPr>
          </w:p>
        </w:tc>
      </w:tr>
      <w:tr>
        <w:trPr>
          <w:trHeight w:val="176"/>
        </w:trPr>
        <w:tc>
          <w:tcPr>
            <w:tcW w:w="44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As of and for the year ended December 31, 2015</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(7,431)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Change in fair value of interest rate hedge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(2,584)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(25,011)</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(19,153)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(21,992)</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277,582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277,917</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313,881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312,020</w:t>
            </w:r>
          </w:p>
        </w:tc>
        <w:tc>
          <w:tcPr>
            <w:tcW w:w="0" w:type="dxa"/>
            <w:vAlign w:val="bottom"/>
          </w:tcPr>
          <w:p>
            <w:pPr>
              <w:spacing w:after="0"/>
              <w:rPr>
                <w:sz w:val="1"/>
                <w:szCs w:val="1"/>
                <w:color w:val="auto"/>
              </w:rPr>
            </w:pPr>
          </w:p>
        </w:tc>
      </w:tr>
      <w:tr>
        <w:trPr>
          <w:trHeight w:val="196"/>
        </w:trPr>
        <w:tc>
          <w:tcPr>
            <w:tcW w:w="4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of and for the year ended December 31, 2016</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720" w:type="dxa"/>
            <w:vAlign w:val="bottom"/>
            <w:tcBorders>
              <w:top w:val="single" w:sz="8" w:color="CCEEFF"/>
            </w:tcBorders>
            <w:gridSpan w:val="2"/>
          </w:tcPr>
          <w:p>
            <w:pPr>
              <w:spacing w:after="0"/>
              <w:rPr>
                <w:sz w:val="18"/>
                <w:szCs w:val="18"/>
                <w:color w:val="auto"/>
              </w:rPr>
            </w:pPr>
          </w:p>
        </w:tc>
        <w:tc>
          <w:tcPr>
            <w:tcW w:w="1640" w:type="dxa"/>
            <w:vAlign w:val="bottom"/>
            <w:tcBorders>
              <w:top w:val="single" w:sz="8" w:color="CCEEFF"/>
            </w:tcBorders>
            <w:gridSpan w:val="2"/>
          </w:tcPr>
          <w:p>
            <w:pPr>
              <w:ind w:left="154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7,942</w:t>
            </w: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(643)</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fair value of interest rate hedge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Foreign currency translation loss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(8,984)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(9,727)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(25,122)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(29,808)</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315,199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310,513</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As of and for the three months ended March 31, 2017</w:t>
            </w:r>
          </w:p>
        </w:tc>
        <w:tc>
          <w:tcPr>
            <w:tcW w:w="3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Foreign currency translation gain</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4,706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(24,804)</w:t>
            </w: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327,879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323,491</w:t>
            </w:r>
          </w:p>
        </w:tc>
        <w:tc>
          <w:tcPr>
            <w:tcW w:w="0" w:type="dxa"/>
            <w:vAlign w:val="bottom"/>
          </w:tcPr>
          <w:p>
            <w:pPr>
              <w:spacing w:after="0"/>
              <w:rPr>
                <w:sz w:val="1"/>
                <w:szCs w:val="1"/>
                <w:color w:val="auto"/>
              </w:rPr>
            </w:pPr>
          </w:p>
        </w:tc>
      </w:tr>
      <w:tr>
        <w:trPr>
          <w:trHeight w:val="350"/>
        </w:trPr>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DRT Medical Acquisition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October 2, 2017, we acquired 100% of the membership interests of DRT Medical, LLC, (“DRT Medical”) for $38.6 million in cash, subject to certain post-closing adjustments. DRT Medical is a supplier of precision manufactured medical instruments and orthopedic implants with locations in Ohio and Pennsylvania. Operating results of DRT Medical will be reported prospectively in our PEP segment. The effects of this acquisition are not reflected in the condensed consolidated financial statements presented in this Quarterly Report on Form 10-Q because the acquisition occurred subsequent to September 30, 2017. We are in the process of analyzing the opening balance sheet and purchase price allocation. We incurred approximately $0.6 million in acquisition related costs, primarily with respect to DRT Medical, during the three-month and nine-month periods ended September 30,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27, 2017, we terminated our interest rate swap with a cash payment of $1.3 million.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NN, Inc., a diversified industrial company, combines advanced engineering and production capabilities with in-depth materials science expertise to design and manufacture high-precision components and assemblies for a variety of markets on a global basis. As used in this Quarterly Report on Form 10-Q, the terms “NN,” the “Company,” “we,” “our,” or “us” refer to NN, Inc., and its subsidiaries. We have historically reported results of operations in three reportable segments: the Precision Bearing Components Group (“PBC”), the Precision Engineered Products Group (“PEP”), and the Autocam Precision Components Group (“APC”). On August 17, 2017, we sold our PBC business. The Results of Operations section below and Note 2 in these Notes to Condensed Consolidated Financial Statements provide further information on the sale of the PBC business. After the sale, we had 33 manufacturing facilities in North America, Europe, South America and China. We added three more North American manufacturing facilities in October 2017 (see the subsequent event described in the “Results of Operations” section below for more information about our acquisition subsequent to September 30,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additional information concerning such risk factors and cautionary statements, please see the section titled “Item 1A. Risk Factors” in our 2016 Annual Report on Form 10-K for the fiscal year ended December 31, 2016, which we filed with the SEC on March 16, 2017 (the “2016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paragraphs describe factors that have influenced results of operations for the three-month and nine-month periods ended September 30, 2017, that management believes are important to provide an understanding of the business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August 17, 2017, we completed the sale of our PBC business to Tsubaki Nakashima, Co, Ltd. for a base purchase price of $375.0 million in cash, subject to certain adjustments. We expect to finalize purchase price adjustments in accordance with the purchase agreement. The PBC business included all our facilities that were engaged in the production of precision steel balls, steel rollers, and metal retainers and automotive specialty products used primarily in the bearing industry. The PBC business represented all of the PBC reportable segment disclosed in our historical financial statements.</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sale of the PBC business furthers management’s long-term strategy to build a diversified industrial business with a comprehensive geographic footprint in attractive high-growth market segments. We intend to deploy the proceeds into higher-growth, higher-margin end markets, while also accelerating our focus on paying down debt.</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received cash proceeds of $387.6 million and recorded an estimated after-tax gain on sale of $129.4 million, which is included in the “Income from discontinued operations, net of tax” line on the Condensed Consolidated Statements of Operations and Comprehensive Income for the three-month and nine-month periods ended September 30, 2017. The net amount of cash proceeds and gain are subject to change due to the finalization of working capital adjustments.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accordance with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xml:space="preserve"> the operating results of PBC are classified as discontinued operations. The presentation of discontinued operations includes revenues and expenses of the discontinued operations and gain on the disposition of the business, net of tax, as one line item on the Condensed Consolidated Statements of Operations and Comprehensive Income. All Condensed Consolidated Statements of Operations and Comprehensive Income presented have been revised to reflect this presentation. Accordingly, results of the PBC business have been excluded from continuing operations and segment results for all periods presented in the condensed consolidated financial statements and the accompanying notes unless otherwise stated. Refer to Note 2 in the Notes to Condensed Consolidated Financial Statements for more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Refinancing</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April 3, 2017, we redeemed the Senior Notes for $281.6 million resulting in a loss on debt extinguishment of $36.3 million, including $31.6 million cash paid for the call premium and a $4.7 million non-cash write-off of unamortized debt issuance costs. The Senior Notes were redeemed and the call premium was paid with the proceeds of a new $300.0 million Incremental Term Loan that was added by amendment to the existing credit facility. The Incremental Term Loan bears interest at the lower of 0.75% or one-month LIBOR, plus 3.75%, and matures on April 3, 2021, with payments of $3.0 million due quarterly. The amendment also reduced the Senior Secured Revolver from $143.0 million to $100.0 million until such time as a leverage ratio covenant threshold has been met for four consecutive fiscal quarters. Upon satisfaction of the ratio threshold, the Senior Secured Revolver may be restored to $143.0 million. In connection with the amendment, we paid $6.5 million in debt issuance costs of which we recorded $4.0 million as a direct reduction to the carrying amount of the associated debt and $2.5 million as a loss on modification of the Senior Secured Term Loan. Debt issuance costs related to the amendment were paid with proceeds from the Incremental Term Loan. Also in connection with the amendment, we wrote off $0.8 million of unamortized debt issuance costs related to the modification of the Senior Secured Revolver.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Periods’ Financial Statement Revision</w:t>
      </w:r>
    </w:p>
    <w:p>
      <w:pPr>
        <w:spacing w:after="0" w:line="117"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Certain prior period amounts have been revised to reflect the impact of adjustments made to our joint venture investment and to correct the timing of previously recorded out-of-period adjustments. Refer to Note 1 and Note 15 in the Notes to Condensed Consolidated Financial Statements for more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DRT Medical Acquisition. </w:t>
      </w:r>
      <w:r>
        <w:rPr>
          <w:rFonts w:ascii="Arial" w:cs="Arial" w:eastAsia="Arial" w:hAnsi="Arial"/>
          <w:sz w:val="16"/>
          <w:szCs w:val="16"/>
          <w:color w:val="auto"/>
        </w:rPr>
        <w:t>On October 2, 2017, we acquired 100% of the membership interests of DRT Medical, LLC, (“DRT Medical”) for $38.6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subject to certain post-closing adjustments. DRT Medical is a supplier of precision manufactured medical instruments and orthopedic implants with locations in Ohio and Pennsylvania. Operating results of DRT Medical will be reported prospectively in our PEP segment. The effects of this acquisition are not reflected in the condensed consolidated financial statements presented in this Quarterly Report on Form 10-Q because the acquisition occurred subsequent to September 30, 2017. We are in the process of analyzing the opening balance sheet and purchase price allocation. We incurred approximately $0.6 million in acquisition related costs, primarily with respect to DRT Medical, during the three-month and nine-month periods ended September 30,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Rate Swap. </w:t>
      </w:r>
      <w:r>
        <w:rPr>
          <w:rFonts w:ascii="Arial" w:cs="Arial" w:eastAsia="Arial" w:hAnsi="Arial"/>
          <w:sz w:val="18"/>
          <w:szCs w:val="18"/>
          <w:color w:val="auto"/>
        </w:rPr>
        <w:t>Effective October 27, 2017, we terminated our interest rate swap with a cash payment of $1.3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2017, Compared to the Three Months Ended September 30,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 Consolidated Results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$148,156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$146,714</w:t>
            </w:r>
          </w:p>
        </w:tc>
        <w:tc>
          <w:tcPr>
            <w:tcW w:w="4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  1,442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  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i w:val="1"/>
                <w:iCs w:val="1"/>
                <w:color w:val="auto"/>
              </w:rPr>
              <w:t>Price/material inflation pass-through/mix</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Cost of products sold (exclusive of depreciation and amortization shown separately</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110,836</w:t>
            </w:r>
          </w:p>
        </w:tc>
        <w:tc>
          <w:tcPr>
            <w:tcW w:w="4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107,185</w:t>
            </w: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3,651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projects/other</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16,985</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14,201</w:t>
            </w: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9"/>
              </w:rPr>
              <w:t>Acquisition related costs excluded from selling, general and administrative expense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13,075</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11,737</w:t>
            </w: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w:t>
            </w:r>
          </w:p>
        </w:tc>
        <w:tc>
          <w:tcPr>
            <w:tcW w:w="400" w:type="dxa"/>
            <w:vAlign w:val="bottom"/>
          </w:tcPr>
          <w:p>
            <w:pPr>
              <w:spacing w:after="0"/>
              <w:rPr>
                <w:sz w:val="18"/>
                <w:szCs w:val="18"/>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12,739</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15,801</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2,589</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Derivative payments (receipts) on interest rate swap</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609</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(gain) on change in interest rate swap fair value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3,130</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(848)</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(263)</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continuing operations before benefit for income taxes and share of net</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joint venture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(8,881)</w:t>
            </w: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1,436</w:t>
            </w:r>
          </w:p>
        </w:tc>
        <w:tc>
          <w:tcPr>
            <w:tcW w:w="40" w:type="dxa"/>
            <w:vAlign w:val="bottom"/>
          </w:tcPr>
          <w:p>
            <w:pPr>
              <w:spacing w:after="0"/>
              <w:rPr>
                <w:sz w:val="18"/>
                <w:szCs w:val="18"/>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8,246</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1,202</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1,427</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135,825</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3,663</w:t>
            </w: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132,895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4,455</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128,440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during the third quarter of 2017 from the third quarter of 2016, principally due to foreign exchange effects of the Brazilian real</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euro, each of which appreciated compared to the dollar. Overall, sales were ahead of the prior year by $1.2 million for APC and $0.3 million for PEP as demand for automotive products related to Corporate Average Fuel Economy (“CAFE”) efforts continued to rise.</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Cost of Products Sold. </w:t>
      </w:r>
      <w:r>
        <w:rPr>
          <w:rFonts w:ascii="Arial" w:cs="Arial" w:eastAsia="Arial" w:hAnsi="Arial"/>
          <w:sz w:val="18"/>
          <w:szCs w:val="18"/>
          <w:color w:val="auto"/>
        </w:rPr>
        <w:t>The increase in cost of products sold was primarily due to a shift in product mix toward products using higher cost raw materials.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demand for CAFE products and start-up costs for certain new products also contributed to the increase in cost of products sold. Additionally, increases were partially offset by cost savings from production process improvement projects.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 majority of the increase for the third quarter of 2017 from the third quarter of 2016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staffing costs incurred related to our strategic initiatives, including a global implementation of an enterprise resource planning (“ERP”) system.</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Expense. </w:t>
      </w:r>
      <w:r>
        <w:rPr>
          <w:rFonts w:ascii="Arial" w:cs="Arial" w:eastAsia="Arial" w:hAnsi="Arial"/>
          <w:sz w:val="18"/>
          <w:szCs w:val="18"/>
          <w:color w:val="auto"/>
        </w:rPr>
        <w:t>Acquisition related costs are primarily third party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consulting and investment banking advisory fees incurred related to the DRT Medical acquisition.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$3.1 million primarily due to the redemption of the Senior Notes at the beginning of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with the proceeds of the Incremental Term Loan, which bears a lower interest rate based on LIBOR.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2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$11,591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rate swaps settlements</w:t>
            </w:r>
          </w:p>
        </w:tc>
        <w:tc>
          <w:tcPr>
            <w:tcW w:w="22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Capital lease interest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 (1)</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interest expense</w:t>
            </w:r>
          </w:p>
        </w:tc>
        <w:tc>
          <w:tcPr>
            <w:tcW w:w="2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15,801</w:t>
            </w:r>
          </w:p>
        </w:tc>
        <w:tc>
          <w:tcPr>
            <w:tcW w:w="12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issuance costs write-off</w:t>
            </w:r>
          </w:p>
        </w:tc>
        <w:tc>
          <w:tcPr>
            <w:tcW w:w="2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2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Capitalized interest primarily relates to equipment construction efforts at various plants.</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 xml:space="preserve">Loss on Extinguishment of Debt and Write-off of Unamortized Debt Issuance Costs. </w:t>
      </w:r>
      <w:r>
        <w:rPr>
          <w:rFonts w:ascii="Arial" w:cs="Arial" w:eastAsia="Arial" w:hAnsi="Arial"/>
          <w:sz w:val="17"/>
          <w:szCs w:val="17"/>
          <w:color w:val="auto"/>
        </w:rPr>
        <w:t>In September 2016, we amended and restated our credit facility,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consequently we wrote off a total of $2.6 million in debt issuance costs related to the modification and extinguishment of debt.</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Derivative Loss (Gain) on Change in Interest Rate Swap Fair Value. </w:t>
      </w:r>
      <w:r>
        <w:rPr>
          <w:rFonts w:ascii="Arial" w:cs="Arial" w:eastAsia="Arial" w:hAnsi="Arial"/>
          <w:sz w:val="18"/>
          <w:szCs w:val="18"/>
          <w:color w:val="auto"/>
        </w:rPr>
        <w:t>During the third quarter of 2016, we chose to discontinue hedge accounting.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all amounts of accumulated other comprehensive income were reclassified to earnings.</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 xml:space="preserve">Benefit for Income Taxes. </w:t>
      </w:r>
      <w:r>
        <w:rPr>
          <w:rFonts w:ascii="Arial" w:cs="Arial" w:eastAsia="Arial" w:hAnsi="Arial"/>
          <w:sz w:val="17"/>
          <w:szCs w:val="17"/>
          <w:color w:val="auto"/>
        </w:rPr>
        <w:t>Our effective tax rate from continuing operations was 26% in the third quarter of 2017 compared to 93% in the third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Note 10 in the Notes to Condensed Consolidated Financial Statements describes effective tax rates for each period presented.</w:t>
      </w:r>
    </w:p>
    <w:p>
      <w:pPr>
        <w:spacing w:after="0" w:line="147"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i w:val="1"/>
          <w:iCs w:val="1"/>
          <w:color w:val="auto"/>
        </w:rPr>
        <w:t xml:space="preserve">Income (Loss) from Continuing Operations. </w:t>
      </w:r>
      <w:r>
        <w:rPr>
          <w:rFonts w:ascii="Arial" w:cs="Arial" w:eastAsia="Arial" w:hAnsi="Arial"/>
          <w:sz w:val="16"/>
          <w:szCs w:val="16"/>
          <w:color w:val="auto"/>
        </w:rPr>
        <w:t>The $6.7 million decrease in income from operations was the primary reason for the $3.7 million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from continuing operations in the third quarter of 2017. In addition, the increase in net sales was offset by increases in cost of products sold and selling, general and administrative expense as described above. Also, acquisition related costs, primarily with respect to DRT Medical, accounted for</w:t>
      </w:r>
    </w:p>
    <w:p>
      <w:pPr>
        <w:spacing w:after="0" w:line="261" w:lineRule="auto"/>
        <w:rPr>
          <w:sz w:val="20"/>
          <w:szCs w:val="20"/>
          <w:color w:val="auto"/>
        </w:rPr>
      </w:pPr>
      <w:r>
        <w:rPr>
          <w:rFonts w:ascii="Arial" w:cs="Arial" w:eastAsia="Arial" w:hAnsi="Arial"/>
          <w:sz w:val="18"/>
          <w:szCs w:val="18"/>
          <w:color w:val="auto"/>
        </w:rPr>
        <w:t>$0.6 million of the decrease in income from operations compared to the third quarter of 2016. This decrease in income from operations was partially offset by a $3.1 million reduction in interest expense.</w:t>
      </w:r>
    </w:p>
    <w:p>
      <w:pPr>
        <w:spacing w:after="0" w:line="18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Income from Discontinued Operations, Net of Tax. </w:t>
      </w:r>
      <w:r>
        <w:rPr>
          <w:rFonts w:ascii="Arial" w:cs="Arial" w:eastAsia="Arial" w:hAnsi="Arial"/>
          <w:sz w:val="18"/>
          <w:szCs w:val="18"/>
          <w:color w:val="auto"/>
        </w:rPr>
        <w:t>The largest component of income from discontinued operations in the third quarter of 2017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$129.4 million gain on sale of our PBC business, net of tax. Note 2 in the Notes to Condensed Consolidated Financial Statements provides details of the results of discontinued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AUTOCAM PRECISION COMPONENTS GROUP</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Within our APC segment, we manufacture highly engineered, difficult-to-manufacture precision metal components and sub-assemblies for the automotive, and industrial end markets.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r>
      <w:tr>
        <w:trPr>
          <w:trHeight w:val="142"/>
        </w:trPr>
        <w:tc>
          <w:tcPr>
            <w:tcW w:w="7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81,664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80,492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$ 1,172</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$1,049</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652</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(529)</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8,464</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sales increased during the third quarter of 2017 from the third quarter of 2016 due to industrial market demand improvements in the US and China and new automotive program launches in the US, China and Brazil. We are realizing the indirect benefits of our customers taking an increasing portion of market share in a key general industrial market. Also, as the Brazilian economy rebounds, demand for automotive products is increasing. During the third quarter of 2017, 63% of APC sales were in the US, 12% of APC sales were in China, and 11% of APC sales were in Brazil.</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Income from operations decreased due to various factors including an increase in cost of products sold of $1.2 million, consistent with the increase in sales and due to a shift in product mix toward products using higher cost raw materials. We incurred start-up costs related to new product launches during the third quarter of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PRECISION ENGINEERED PRODUCTS GROUP</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Within our PEP segment, we combine materials science expertise with advanced engineering and production capabilities to design and manufacture a broad range of high-precision metal and plastic components, assemblies, and finished devices for the medical, electrical, automotive and aerospace end markets.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Three Months Ended September 30,</w:t>
            </w:r>
          </w:p>
        </w:tc>
      </w:tr>
      <w:tr>
        <w:trPr>
          <w:trHeight w:val="142"/>
        </w:trPr>
        <w:tc>
          <w:tcPr>
            <w:tcW w:w="52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66,492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66,222</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   270</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$(735)</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93</w:t>
            </w: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912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9,913</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increased during the third quarter of 2017 from the third quarter of 2016 primarily due to the overall improvement in demand across the medical end market, which resulted in a favorable sales mix.</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decrease in income from operations was primarily due to a shift in product mix toward higher cost raw materials and new program setup costs for certain products sold into the aerospace end market.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2017, Compared to the Nine Months Ended September 30,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 Consolidated Results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$463,658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$443,310</w:t>
            </w:r>
          </w:p>
        </w:tc>
        <w:tc>
          <w:tcPr>
            <w:tcW w:w="4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6"/>
              </w:rPr>
              <w:t>$ 20,348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$20,520</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425</w:t>
            </w: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Price/material inflation pass-through/mix</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(597)</w:t>
            </w: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products sold (exclusive of depreciation and amortization</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shown separately below)</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339,345</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323,660</w:t>
            </w: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15,685</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13,145</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639</w:t>
            </w: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4,987</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2,009</w:t>
            </w: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projects/other</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(5,095)</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52,606</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46,931</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5,675</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rPr>
              <w:t>Acquisition related costs excluded from selling, general and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administrative expense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38,432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38,411</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4,851</w:t>
            </w:r>
          </w:p>
        </w:tc>
        <w:tc>
          <w:tcPr>
            <w:tcW w:w="400" w:type="dxa"/>
            <w:vAlign w:val="bottom"/>
          </w:tcPr>
          <w:p>
            <w:pPr>
              <w:spacing w:after="0"/>
              <w:rPr>
                <w:sz w:val="19"/>
                <w:szCs w:val="19"/>
                <w:color w:val="auto"/>
              </w:rPr>
            </w:pPr>
          </w:p>
        </w:tc>
        <w:tc>
          <w:tcPr>
            <w:tcW w:w="1700" w:type="dxa"/>
            <w:vAlign w:val="bottom"/>
            <w:gridSpan w:val="2"/>
          </w:tcPr>
          <w:p>
            <w:pPr>
              <w:jc w:val="right"/>
              <w:ind w:right="940"/>
              <w:spacing w:after="0"/>
              <w:rPr>
                <w:sz w:val="20"/>
                <w:szCs w:val="20"/>
                <w:color w:val="auto"/>
              </w:rPr>
            </w:pPr>
            <w:r>
              <w:rPr>
                <w:rFonts w:ascii="Arial" w:cs="Arial" w:eastAsia="Arial" w:hAnsi="Arial"/>
                <w:sz w:val="18"/>
                <w:szCs w:val="18"/>
                <w:color w:val="auto"/>
              </w:rPr>
              <w:t>(4,489)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29,457</w:t>
            </w:r>
          </w:p>
        </w:tc>
        <w:tc>
          <w:tcPr>
            <w:tcW w:w="4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39,916</w:t>
            </w:r>
          </w:p>
        </w:tc>
        <w:tc>
          <w:tcPr>
            <w:tcW w:w="10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48,708</w:t>
            </w:r>
          </w:p>
        </w:tc>
        <w:tc>
          <w:tcPr>
            <w:tcW w:w="1700" w:type="dxa"/>
            <w:vAlign w:val="bottom"/>
            <w:gridSpan w:val="2"/>
          </w:tcPr>
          <w:p>
            <w:pPr>
              <w:jc w:val="right"/>
              <w:ind w:right="940"/>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extinguishment of debt and write-off of unamortized</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39,639</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37,050</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Derivative payments (receipts) on interest rate swap</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609</w:t>
            </w:r>
          </w:p>
        </w:tc>
        <w:tc>
          <w:tcPr>
            <w:tcW w:w="1700" w:type="dxa"/>
            <w:vAlign w:val="bottom"/>
            <w:gridSpan w:val="2"/>
          </w:tcPr>
          <w:p>
            <w:pPr>
              <w:jc w:val="right"/>
              <w:ind w:right="94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(gain) on change in interest rate swap fair value</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(3,144)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(945)</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(2,297)</w:t>
            </w: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continuing operations before benefit for income</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and share of net income from joint venture</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(46,302)</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(23,282)</w:t>
            </w: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(23,020)</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14,145</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11,763</w:t>
            </w:r>
          </w:p>
        </w:tc>
        <w:tc>
          <w:tcPr>
            <w:tcW w:w="40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(7,349)</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(20,669)</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146,579</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12,564</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134,015</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118,561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5,215</w:t>
            </w: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113,346</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the first nine months of 2017 from the first nine months of 2016, principally due to higher volumes. The higher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were primarily due to demand improvements within the medical end market, the automotive end market and the industrial end market. Overall, sales were ahead of the prior year by $7.3 million for APC and $13.1 million for PEP.</w:t>
      </w:r>
    </w:p>
    <w:p>
      <w:pPr>
        <w:spacing w:after="0" w:line="181"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i w:val="1"/>
          <w:iCs w:val="1"/>
          <w:color w:val="auto"/>
        </w:rPr>
        <w:t xml:space="preserve">Cost of Products Sold. </w:t>
      </w:r>
      <w:r>
        <w:rPr>
          <w:rFonts w:ascii="Arial" w:cs="Arial" w:eastAsia="Arial" w:hAnsi="Arial"/>
          <w:sz w:val="16"/>
          <w:szCs w:val="16"/>
          <w:color w:val="auto"/>
        </w:rPr>
        <w:t>The increase in cost of products sold was primarily due to the increase in demand and production volumes as well as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mix and start-up costs for certain new products. Increases were partially offset by cost savings from production process improvement projects.</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 majority of the increase during the first nine months of 2017 from the first nine months of 2016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staffing costs incurred related to our strategic initiatives, including a global implementation of an enterprise resource planning (“ERP”) system.</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Expense. </w:t>
      </w:r>
      <w:r>
        <w:rPr>
          <w:rFonts w:ascii="Arial" w:cs="Arial" w:eastAsia="Arial" w:hAnsi="Arial"/>
          <w:sz w:val="18"/>
          <w:szCs w:val="18"/>
          <w:color w:val="auto"/>
        </w:rPr>
        <w:t>Acquisition related costs are primarily third party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consulting and investment banking advisory fees incurred related to the DRT Medical acquisition.</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slight increase in depreciation and amortization during the first nine months of 2017 from the first nine months of 2016</w:t>
      </w:r>
      <w:r>
        <w:rPr>
          <w:rFonts w:ascii="Arial" w:cs="Arial" w:eastAsia="Arial" w:hAnsi="Arial"/>
          <w:sz w:val="17"/>
          <w:szCs w:val="17"/>
          <w:i w:val="1"/>
          <w:iCs w:val="1"/>
          <w:color w:val="auto"/>
        </w:rPr>
        <w:t xml:space="preserve"> </w:t>
      </w:r>
      <w:r>
        <w:rPr>
          <w:rFonts w:ascii="Arial" w:cs="Arial" w:eastAsia="Arial" w:hAnsi="Arial"/>
          <w:sz w:val="17"/>
          <w:szCs w:val="17"/>
          <w:color w:val="auto"/>
        </w:rPr>
        <w:t>was consistent with additions to property, plant and equipment. The expected increase was partially offset by the absence in 2017 of $2.5 million of amortization of backlog and unfavorable leasehold intangibles which became fully amortized during the first quarter of 2016.</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Restructuring and Integration Expense. </w:t>
      </w:r>
      <w:r>
        <w:rPr>
          <w:rFonts w:ascii="Arial" w:cs="Arial" w:eastAsia="Arial" w:hAnsi="Arial"/>
          <w:sz w:val="18"/>
          <w:szCs w:val="18"/>
          <w:color w:val="auto"/>
        </w:rPr>
        <w:t>The decrease in restructuring and integration expense was primarily due to limited spending on site closure costs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nine months of 2017 compared to the first nine months of 2016. The first nine months of 2016 included $3.9 million of cost incurred to close the Wheeling Plant.</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$8.8 million due to the redemption of the Senior Notes at the beginning of the second quarter of 2017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Incremental Term Loan, which bears a lower interest rate based on LIBOR. Further interest savings resulted from the refinancing of the Senior Secured Term Loan and Senior Secured Revolver in the third quarter of 2016.</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7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44,824</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Interest rate swaps settlements</w:t>
            </w:r>
          </w:p>
        </w:tc>
        <w:tc>
          <w:tcPr>
            <w:tcW w:w="8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Capital lease interest</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 (1)</w:t>
            </w: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interest expense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39,916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48,708</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Capitalized interest primarily relates to the equipment construction efforts at the various plants.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Loss on Extinguishment of Debt and Write-off of Unamortized Debt Issuance Costs</w:t>
      </w:r>
      <w:r>
        <w:rPr>
          <w:rFonts w:ascii="Arial" w:cs="Arial" w:eastAsia="Arial" w:hAnsi="Arial"/>
          <w:sz w:val="18"/>
          <w:szCs w:val="18"/>
          <w:color w:val="auto"/>
        </w:rPr>
        <w:t>. We wrote off $39.6 million in 2017 as a result of the extinguishment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Senior Notes and modification of the credit facility.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Derivative Loss (Gain) on Change in Interest Rate Swap Fair Value. </w:t>
      </w:r>
      <w:r>
        <w:rPr>
          <w:rFonts w:ascii="Arial" w:cs="Arial" w:eastAsia="Arial" w:hAnsi="Arial"/>
          <w:sz w:val="18"/>
          <w:szCs w:val="18"/>
          <w:color w:val="auto"/>
        </w:rPr>
        <w:t>During the third quarter of 2016, we chose to discontinue hedge accounting.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all amounts of accumulated other comprehensive income were reclassified to earnings.</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from continuing operations was 31% for the nine-month period ended September 30, 2017, compared to 51%</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nine-month period ended September 30, 2016. Note 10 in the Notes to Condensed Consolidated Financial Statements describes effective tax rates for each period presented.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Loss from Continuing Operations. </w:t>
      </w:r>
      <w:r>
        <w:rPr>
          <w:rFonts w:ascii="Arial" w:cs="Arial" w:eastAsia="Arial" w:hAnsi="Arial"/>
          <w:sz w:val="17"/>
          <w:szCs w:val="17"/>
          <w:color w:val="auto"/>
        </w:rPr>
        <w:t>Income from operations of $32.3 million for the first nine months of 2017 was more than offset by the loss on</w:t>
      </w:r>
      <w:r>
        <w:rPr>
          <w:rFonts w:ascii="Arial" w:cs="Arial" w:eastAsia="Arial" w:hAnsi="Arial"/>
          <w:sz w:val="17"/>
          <w:szCs w:val="17"/>
          <w:i w:val="1"/>
          <w:iCs w:val="1"/>
          <w:color w:val="auto"/>
        </w:rPr>
        <w:t xml:space="preserve"> </w:t>
      </w:r>
      <w:r>
        <w:rPr>
          <w:rFonts w:ascii="Arial" w:cs="Arial" w:eastAsia="Arial" w:hAnsi="Arial"/>
          <w:sz w:val="17"/>
          <w:szCs w:val="17"/>
          <w:color w:val="auto"/>
        </w:rPr>
        <w:t>extinguishment of debt and write-off of unamortized debt issuance cost and interest expense. In addition, the increase in net sales was offset by increases in cost of products sold and selling, general and administrative expense as described above. Also, acquisition related costs accounted for a $0.6 million reduction in income from operations compared to 2016. The loss was partially offset by an $8.8 million reduction in interest expense. Significant components of the changes in income from operations and interest expense were presented in the preceding paragraphs.</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Income from Discontinued Operations, Net of Tax. </w:t>
      </w:r>
      <w:r>
        <w:rPr>
          <w:rFonts w:ascii="Arial" w:cs="Arial" w:eastAsia="Arial" w:hAnsi="Arial"/>
          <w:sz w:val="18"/>
          <w:szCs w:val="18"/>
          <w:color w:val="auto"/>
        </w:rPr>
        <w:t>The largest component of income from discontinued operations in the first nine months of 2017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$129.4 million gain on sale of our PBC business, net of tax. Note 2 in the Notes to Condensed Consolidated Financial Statements provides details of the results of discontinued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AUTOCAM PRECISION COMPONENTS GROUP</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1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254,768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247,473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87"/>
              </w:rPr>
              <w:t>$7,295</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$ 7,727</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1,066</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(1,498)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22,761</w:t>
            </w:r>
          </w:p>
        </w:tc>
        <w:tc>
          <w:tcPr>
            <w:tcW w:w="160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$5,327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increased during the first nine months of 2017 from the first nine months of 2016 due to industrial market demand improvements in the US and China and new automotive program launches in the US, China and Brazil. We are realizing the indirect benefits of our customers taking an increasing portion of market share. Also, as the Brazilian economy rebounds, demand for automotive products is increasing.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net sales contributed to the increase in income from operations. Cost reduction projects resulted in savings in cost of products sold of approximately $1.2 million over the first nine months of 2017 compared to the same period in 2016. Overall, cost of products sold increased by $3.2 million. Restructuring costs decreased by $3.6 million compared to the first nine months of 2016, primarily related to the closure of the Wheeling Plant in the prior year. These factors that increased income from operations were slightly offset by start-up costs for new products and a $1.7 million increase in depreciation and amortization consistent with recent capital expenditure activity.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PRECISION ENGINEERED PRODUCTS GROUP</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left="262"/>
              <w:spacing w:after="0" w:line="142"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208,890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$195,837</w:t>
            </w:r>
          </w:p>
        </w:tc>
        <w:tc>
          <w:tcPr>
            <w:tcW w:w="3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86"/>
              </w:rPr>
              <w:t>$13,053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$12,793</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(641)</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901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29,436</w:t>
            </w:r>
          </w:p>
        </w:tc>
        <w:tc>
          <w:tcPr>
            <w:tcW w:w="1020" w:type="dxa"/>
            <w:vAlign w:val="bottom"/>
            <w:gridSpan w:val="2"/>
            <w:shd w:val="clear" w:color="auto" w:fill="CCEEFF"/>
          </w:tcPr>
          <w:p>
            <w:pPr>
              <w:jc w:val="center"/>
              <w:ind w:left="262"/>
              <w:spacing w:after="0"/>
              <w:rPr>
                <w:sz w:val="20"/>
                <w:szCs w:val="20"/>
                <w:color w:val="auto"/>
              </w:rPr>
            </w:pPr>
            <w:r>
              <w:rPr>
                <w:rFonts w:ascii="Arial" w:cs="Arial" w:eastAsia="Arial" w:hAnsi="Arial"/>
                <w:sz w:val="18"/>
                <w:szCs w:val="18"/>
                <w:color w:val="auto"/>
                <w:w w:val="96"/>
              </w:rPr>
              <w:t>$ 26,116</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3"/>
              </w:rPr>
              <w:t>$ 3,320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Net sales increased during the first nine months of 2017 from the first nine months of 2016 primarily due to the overall improvement in demand across the medical end market and sales to new customers within the aerospace market. In addition to overall medical market improvement, we have achieved increases in market share for certain medical devices. We have also benefited from the introduction of new products for the aerospace end market.</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net sales contributed to the increase in income from operations. Cost of products sold increased at a rate consistent with net sales. We also experienced a shift in product mix toward higher cost raw materials and incurred new program setup costs for certain products sold into the aerospace end market. Additionally, during the first quarter of 2016 we recognized $2.5 million of amortization expense related to backlog and unfavorable leasehold intangibles which was fully amortized in 2016 and therefore did not impact 2017. Likewise, $0.9 million of restructuring cost was incurred in 2016 related to restructuring after the 2015 acquisition of PEP.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2016 to September 30, 2017</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From December 31, 2016 to September 30, 2017, total assets increased by $160.9 million. Cash proceeds of $387.6 million from the sale of the PBC business was the primary contributor to the increase in assets. We also experienced increases in accounts receivable at APC and PEP as sales grew. Days inventory outstanding increased slightly by approximately four days due to normal seasonal inventory building activity as we prepare for fourth quarter sales. The increases in cash, accounts receivable, and inventory were partially offset by the carrying value of current assets of discontinued operations and noncurrent assets of discontinued operations as of December 31, 2016, which were sold in the sale of the PBC business and are therefore no longer a component of total assets as of September 30, 2017. Accordingly, current assets decreased by $106.7 million and noncurrent assets decreased by $103.3 million compared to December 31, 2016, due to the sale of the PBC business. Also offsetting the increase in cash was a $17.5 million decrease in intangible assets due to normal amortization. Foreign exchange translation impacted total assets in comparing changes in account balances from December 31, 2016, to September 30, 2017, by increasing total assets by $7.0 million, of which $2.5 million related to current assets.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From December 31, 2016 to September 30, 2017, total liabilities increased by $30.1 million. Total debt increased by $16.6 million as a result of the redemption of our Senior Notes with the proceeds of a new $300.0 million Incremental Term Loan in April 2017, net of the effect of paying down the Senior Secured Revolver using cash generated from operations and a portion of the cash proceeds from the sale of the PBC business. Income taxes payable increased by $66.0 million, primarily due to taxes on the gain on sale of the PBC business. We also experienced increases in accounts payable at APC and PEP as sales grow. The increases in debt, income taxes payable, and accounts payable were partially offset by the carrying value of current liabilities of discontinued operations and noncurrent liabilities of discontinued operations as of December 31, 2016, which were assumed by the acquirer in the sale of the PBC business and are therefore no longer a component of total liabilities as of September 30, 2017. Accordingly, current liabilities decreased by $45.4 million and noncurrent liabilities decreased by $12.0 million compared to December 31, 2016, due to the sale of the PBC business. Foreign exchange translation impacted total liabilities in comparing changes in account balances from December 31, 2016, to September 30, 2017, by increasing total liabilities by $3.0 million, of which $1.3 million related to current liabilities.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Working capital, which consists principally of cash, accounts receivable, inventories and other current assets offset by accounts payable, accrued payroll costs, income taxes payable current maturities of long-term debt and other current liabilities, was $377.4 million as of September 30, 2017, compared to $141.9 million as of December 31, 2016. The increase in working capital was due primarily to $387.6 million of cash proceeds from the sale of the PBC business and increases in accounts receivable and inventories, as discussed above, slightly offset by increases in accounts payable and taxes payable, also discussed above. The repayment of approximately $33.2 million of principal outstanding on our Senior Secured Revolver in August 2017 resulted in a reduction of working capital. Current assets of discontinued operations of $106.7 as of December 31, 2016, have the effect of decreasing working capital at September 30, 2017, compared to December 31, 2016, because they were sold in the sale of the PBC business and are no longer a component of our current assets. Current liabilities of discontinued operations of $45.4 as of December 30, 2016, have the effect of increasing working capital at September 30, 2017, compared to December 31, 2016, because they were assumed by the acquirer in the sale of the PBC business and are no longer a component of our current liabilities.</w:t>
      </w:r>
    </w:p>
    <w:p>
      <w:pPr>
        <w:spacing w:after="0" w:line="17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Cash provided by operations was $0.3 million for the nine months ended September 30, 2017, compared with cash provided by operations of $46.3 million for the nine months ended September 30, 2016. The difference was primarily due to $31.6 million paid for the call premium on the redemption of the Senior Notes in April 2017, partially offset by increased operating income. Cash provided by operating activities for discontinued operations was $17.1 million and $14.4 million for the nine-month periods ended September 30, 2017 and 2016, respectively.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provided by investing activities was $332.4 million for the nine months ended September 30, 2017, compared with cash used by investing activities of $30.2 million for the nine months ended September 30, 2016. The difference was primarily due to proceeds from the sale of the PBC business in August 2017. Cash used by investing activities for discontinued operations was $9.8 million and $14.0 million for the nine-month periods ended September 30,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Cash used by financing activities was $1.1 million for the nine months ended September 30, 2017, compared with cash used by financing activities of</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$15.1 million for the nine months ended September 30, 2016. The difference was primarily due to net proceeds of debt to fund the Senior Notes call premium in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Aggregate principal amounts outstanding under the Senior Secured Term Loan and Incremental Term Loan as of September 30, 2017, were $833.3 million (without regard to debt issuance costs). We had no amounts outstanding on the Senior Secured Revolver at that time. As of September 30, 2017, we could borrow up to $89.7 million under the Senior Secured Revolver, subject to certain limitations. This amount of availability is net of $10.3 million of outstanding letters of credit at September 30, 2017, which are considered as usage of the Senior Secured Revolver.</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Senior Secured Term Loan requires quarterly principal payments of $1.4 million through September 30, 2022, with the remaining principal amount due on the maturity date. If one-month LIBOR is less than 0.75%, then we pay 5.00% per annum in interest. If one-month LIBOR exceeds 0.75%, then we pay the variable one-month LIBOR rate plus an applicable margin of 4.25%. Based on the outstanding balance at September 30, 2017, annual interest payments would have been $29.6 million.</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Incremental Term Loan requires quarterly principal payments of $3.0 million through March 31, 2021, with the remaining principal amount due on the maturity date. If one-month LIBOR is less than 0.75%, then we pay 4.50% per annum in interest. If one-month LIBOR exceeds 0.75%, then we pay the variable one-month LIBOR rate plus an applicable margin of 3.75%. Based on the outstanding balance at September 30, 2017, annual interest payments would have been $14.6 million.</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Senior Secured Revolver bears interest at a rate of one-month LIBOR plus an applicable margin of 3.50%. We had no outstanding balance at September 30, 2017.</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Senior Notes bore interest at 10.25% payable semi-annually in arrears on May 1 and November 1 of each year. Upon redemption of the Senior Notes, we paid interest of $10.8 million for the period November 1, 2016 through April 3, 2017.</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that funds generated from our consolidated continuing operations and existing cash will provide sufficient cash flow to service the required debt and interest payments under these facilities. The absence of cash flows from discontinued operations is not expected to significantly affect our ability to service our debt.</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September 30, 2017, no currency hedges were in place. In addition, a strengthening of the U.S. dollar and/or euro against foreign currencies could impair our ability to compete with international competitors for foreign as well as domestic sales.</w:t>
      </w:r>
    </w:p>
    <w:p>
      <w:pPr>
        <w:sectPr>
          <w:pgSz w:w="11900" w:h="16838" w:orient="portrait"/>
          <w:cols w:equalWidth="0" w:num="1">
            <w:col w:w="11400"/>
          </w:cols>
          <w:pgMar w:left="240" w:top="459" w:right="25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For the next twelve months, we expect capital expenditures to remain relatively consistent, the majority of which relate to new or expanded business or continuous improvement programs. We believe that funds generated from continuing operations and borrowings from the credit facilities will be sufficient to finance capital expenditures and working capital needs through this period. The absence of cash flows from discontinued operations is not expected to significantly affect our ability to finance capital expenditures or working capital needs. We base these assertions on current availability for borrowing of up to $89.7 million, existing cash of $347.4 million and forecasted positive cash flow from continuing operations for the next twelve months.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subject to material seasonality.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2016 Annual Report, including those policies as discussed in Note 1 to the Notes to Consolidated Financial Statements included in the 2016 Annual Report. There have been no changes to these policies during the nine months ended September 30, 2017, except as discussed in Note 1 to the Notes to Condensed Consolidated Financial Statements included in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 on Form 10-Q.</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September 30, 2017, we had $539.3 million of principal outstanding under the variable rate Senior Secured Term Loan, without regard to debt issuance costs. At September 30, 2017, a one-percent increase in the interest rate charged on outstanding variable rate borrowings under the Senior Secured Term Loan would result in interest expense increasing annually by approximately $5.4 million.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September 30, 2017, we had $294.0 million of principal outstanding under the Incremental Term Loan, without regard to debt issuance costs. At September 30, 2017, a one-percent increase in the interest rate charged on outstanding variable rate borrowings under the Incremental Term Loan would result in interest expense increasing annually by approximately $2.9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we did not have any debt outstanding under the Senior Secured Revolver.</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interest rate swaps to exchange the difference between fixed and variable interest amounts. The nature and amount of borrowings may vary as a result of future business requirements, market conditions and other factors.</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hedges to hedge currency exposures when these exposures meet certain discretionary levels. We did not hold a position in any foreign currency hedging instruments as of September 30, 2017.</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weaknesses in internal control over financial reporting described below, our Chief Executive Officer and Chief Financial Officer concluded that our disclosure controls and procedures were not effective as of September 30, 2017, to ensure that information required to be disclosed in the reports that we file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Internal Control Over Financial Reporting</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spacing w:after="0" w:line="14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previously disclosed in the 2016 Annual Report the following material weaknesses, which still existed as of September 30, 2017. We did not maintain an effective control environment due to a lack of a sufficient complement of personnel with an appropriate level of knowledge, experience and training commensurate with our financial reporting requirements. This material weakness in the control environment contributed to the following material weaknesses: we did not design and maintain effective internal control over: (i) the accounting for business combinations, which specifically included not designing and maintaining controls over the (a) accuracy, valuation and presentation and disclosure for allocating goodwill to our international businesses and</w:t>
      </w:r>
    </w:p>
    <w:p>
      <w:pPr>
        <w:spacing w:after="0" w:line="2" w:lineRule="exact"/>
        <w:rPr>
          <w:sz w:val="20"/>
          <w:szCs w:val="20"/>
          <w:color w:val="auto"/>
        </w:rPr>
      </w:pPr>
    </w:p>
    <w:p>
      <w:pPr>
        <w:ind w:right="30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completeness, accuracy and valuation of deferred income taxes recorded in connection with business combinations; and (ii) the accounting for income taxes, which specifically included not designing and maintaining controls over the completeness, accuracy, valuation and presentation and disclosure of deferred income tax accounts, income tax provision and related disclosures.</w:t>
      </w:r>
    </w:p>
    <w:p>
      <w:pPr>
        <w:spacing w:after="0" w:line="1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These material weaknesses resulted in immaterial errors to property, plant and equipment, net; goodwill, net; investment in joint venture; accrued salaries, wages and benefits; other liabilities; deferred tax assets and liabilities; provision for income taxes; and other comprehensive income in our consolidated financial statements for the years ended December 31, 2016, 2015 and 2014. These immaterial errors resulted in a revision to previously issued financial statements as discussed in Note 1 and Note 15 in the Notes to Condensed Consolidated Financial Statements presented in this Quarterly Report. Management has determined that the revision was an additional effect of the material weaknesses described above. Additionally, these control deficiencies could result in a misstatement of substantially all account balances or disclosures that would result in a material misstatement to the annual or interim consolidated financial statements that would not be prevented or detected. Notwithstanding such material weaknesses, our Chief Executive Officer and Chief Financial Officer have concluded that our condensed consolidated financial statements in this Quarterly Report on Form 10-Q present fairly, and in all material respects, our financial position, results of operations and cash flows for the periods presented in conformity with U.S. generally accepted accounting principles.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Material Weaknesses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Building on our efforts during 2016, with the oversight of the Audit Committee of our board of directors, we have continued throughout 2017 to dedicate significant resources and efforts to improve our control environment and to take steps to remediate the material weaknesses identified above. Our internal audit organization, which reports directly to our audit committee, has played an integral role in providing direction to achieve a stronger control environment. While certain remedial actions have been completed, we continue to actively plan for and implement additional control procedures.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Taken During the Current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remediation efforts were completed in the current quarter.</w:t>
      </w:r>
    </w:p>
    <w:p>
      <w:pPr>
        <w:spacing w:after="0" w:line="13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Utilized automated tax software for current quarter calculations;</w:t>
      </w:r>
    </w:p>
    <w:p>
      <w:pPr>
        <w:spacing w:after="0" w:line="130" w:lineRule="exact"/>
        <w:rPr>
          <w:rFonts w:ascii="Arial" w:cs="Arial" w:eastAsia="Arial" w:hAnsi="Arial"/>
          <w:sz w:val="18"/>
          <w:szCs w:val="18"/>
          <w:color w:val="auto"/>
        </w:rPr>
      </w:pPr>
    </w:p>
    <w:p>
      <w:pPr>
        <w:ind w:left="900" w:right="240" w:hanging="325"/>
        <w:spacing w:after="0" w:line="28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Designed and implemented new business combination controls and enhanced existing business combination controls to specifically address 1) accuracy, valuation and presentation and disclosure for allocating goodwill to newly acquired international businesses and 2) completeness, accuracy and valuation of deferred income taxes recorded in connection with business combinations;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Remediation Efforts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remediation efforts outlined in the following list address the identified material weaknesses and enhance our overall financial control environment.</w:t>
      </w:r>
    </w:p>
    <w:p>
      <w:pPr>
        <w:spacing w:after="0" w:line="14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Enhanced our tax department by hiring two additional tax personnel and implementing automated tax software;</w:t>
      </w:r>
    </w:p>
    <w:p>
      <w:pPr>
        <w:spacing w:after="0" w:line="130"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Conducted a gap analysis to identify where new tax controls are needed and to enhance existing tax controls to specifically address completeness, accuracy, valuation and presentation and disclosure of deferred income tax accounts, income tax provision and related disclosures.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Instituted, and will continue to provide, additional training programs for our finance and accounting personnel;</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Augmented the personnel within our finance and accounting organization by adding two experienced personnel to address SEC technical accounting and reporting; and</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Strengthened our business combination and income tax control process with improved accounting policies, documentation standards, technical oversight and training, as well as the recent hires noted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of Remediation Efforts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the measures described above will remediate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remedial controls operate for a sufficient period of time and management has concluded, through testing, that these controls are operating effectively.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described above in the “Remediation Plan for Material Weaknesses” section, there were changes during the fiscal quarter ended September 30, 2017, in our internal control over financial reporting that have materially affected, or are reasonably likely to materially affect, our internal control over financial reporting.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ICMS Tax Matter</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Prior to the Autocam acquisition,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September 30, 2017 for this matter. There was no material change in the status of this matter from December 31, 2016 to September 30, 2017.</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Legal Matters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material changes to the risk factors disclosed in our 2016 Annual Report on Form 10-K for the fiscal year ended December 31, 2016, which was filed with the SEC on March 16, 2017 under Item 1A. “Risk Factors.”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72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Value) of Shares That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Total Number of Shares</w:t>
            </w:r>
          </w:p>
        </w:tc>
        <w:tc>
          <w:tcPr>
            <w:tcW w:w="360" w:type="dxa"/>
            <w:vAlign w:val="bottom"/>
          </w:tcPr>
          <w:p>
            <w:pPr>
              <w:spacing w:after="0"/>
              <w:rPr>
                <w:sz w:val="12"/>
                <w:szCs w:val="12"/>
                <w:color w:val="auto"/>
              </w:rPr>
            </w:pPr>
          </w:p>
        </w:tc>
        <w:tc>
          <w:tcPr>
            <w:tcW w:w="2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720" w:type="dxa"/>
            <w:vAlign w:val="bottom"/>
          </w:tcPr>
          <w:p>
            <w:pPr>
              <w:spacing w:after="0"/>
              <w:rPr>
                <w:sz w:val="12"/>
                <w:szCs w:val="12"/>
                <w:color w:val="auto"/>
              </w:rPr>
            </w:pP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8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720" w:type="dxa"/>
            <w:vAlign w:val="bottom"/>
          </w:tcPr>
          <w:p>
            <w:pPr>
              <w:spacing w:after="0"/>
              <w:rPr>
                <w:sz w:val="12"/>
                <w:szCs w:val="12"/>
                <w:color w:val="auto"/>
              </w:rPr>
            </w:pP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Under the Plan or</w:t>
            </w:r>
          </w:p>
        </w:tc>
        <w:tc>
          <w:tcPr>
            <w:tcW w:w="0" w:type="dxa"/>
            <w:vAlign w:val="bottom"/>
          </w:tcPr>
          <w:p>
            <w:pPr>
              <w:spacing w:after="0"/>
              <w:rPr>
                <w:sz w:val="1"/>
                <w:szCs w:val="1"/>
                <w:color w:val="auto"/>
              </w:rPr>
            </w:pPr>
          </w:p>
        </w:tc>
      </w:tr>
      <w:tr>
        <w:trPr>
          <w:trHeight w:val="171"/>
        </w:trPr>
        <w:tc>
          <w:tcPr>
            <w:tcW w:w="2520" w:type="dxa"/>
            <w:vAlign w:val="bottom"/>
            <w:gridSpan w:val="2"/>
            <w:vMerge w:val="continue"/>
          </w:tcPr>
          <w:p>
            <w:pPr>
              <w:spacing w:after="0"/>
              <w:rPr>
                <w:sz w:val="14"/>
                <w:szCs w:val="14"/>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7"/>
              </w:rPr>
              <w:t>Plans or Programs</w:t>
            </w:r>
            <w:r>
              <w:rPr>
                <w:rFonts w:ascii="Arial" w:cs="Arial" w:eastAsia="Arial" w:hAnsi="Arial"/>
                <w:sz w:val="12"/>
                <w:szCs w:val="12"/>
                <w:b w:val="1"/>
                <w:bCs w:val="1"/>
                <w:color w:val="auto"/>
                <w:w w:val="97"/>
              </w:rPr>
              <w:t>(1)</w:t>
            </w:r>
          </w:p>
        </w:tc>
        <w:tc>
          <w:tcPr>
            <w:tcW w:w="720" w:type="dxa"/>
            <w:vAlign w:val="bottom"/>
          </w:tcPr>
          <w:p>
            <w:pPr>
              <w:spacing w:after="0"/>
              <w:rPr>
                <w:sz w:val="14"/>
                <w:szCs w:val="1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w:t>
            </w:r>
          </w:p>
        </w:tc>
        <w:tc>
          <w:tcPr>
            <w:tcW w:w="2100" w:type="dxa"/>
            <w:vAlign w:val="bottom"/>
            <w:tcBorders>
              <w:top w:val="single" w:sz="8" w:color="CCEEFF"/>
            </w:tcBorders>
            <w:shd w:val="clear" w:color="auto" w:fill="CCEEFF"/>
          </w:tcPr>
          <w:p>
            <w:pPr>
              <w:jc w:val="right"/>
              <w:ind w:right="1715"/>
              <w:spacing w:after="0"/>
              <w:rPr>
                <w:sz w:val="20"/>
                <w:szCs w:val="20"/>
                <w:color w:val="auto"/>
              </w:rPr>
            </w:pPr>
            <w:r>
              <w:rPr>
                <w:rFonts w:ascii="Arial" w:cs="Arial" w:eastAsia="Arial" w:hAnsi="Arial"/>
                <w:sz w:val="17"/>
                <w:szCs w:val="17"/>
                <w:color w:val="auto"/>
                <w:w w:val="73"/>
              </w:rPr>
              <w:t>2017</w:t>
            </w:r>
          </w:p>
        </w:tc>
        <w:tc>
          <w:tcPr>
            <w:tcW w:w="14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August 2017</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6,388</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25.85</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25.60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7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40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Amended and Restated 2011 Stock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9560" w:type="dxa"/>
            <w:vAlign w:val="bottom"/>
            <w:gridSpan w:val="11"/>
            <w:vMerge w:val="restart"/>
          </w:tcPr>
          <w:p>
            <w:pPr>
              <w:ind w:left="4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No.</w:t>
            </w:r>
          </w:p>
        </w:tc>
        <w:tc>
          <w:tcPr>
            <w:tcW w:w="700" w:type="dxa"/>
            <w:vAlign w:val="bottom"/>
          </w:tcPr>
          <w:p>
            <w:pPr>
              <w:spacing w:after="0"/>
              <w:rPr>
                <w:sz w:val="14"/>
                <w:szCs w:val="14"/>
                <w:color w:val="auto"/>
              </w:rPr>
            </w:pPr>
          </w:p>
        </w:tc>
        <w:tc>
          <w:tcPr>
            <w:tcW w:w="95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2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2"/>
                <w:szCs w:val="22"/>
                <w:color w:val="auto"/>
              </w:rPr>
            </w:pPr>
          </w:p>
        </w:tc>
        <w:tc>
          <w:tcPr>
            <w:tcW w:w="10260" w:type="dxa"/>
            <w:vAlign w:val="bottom"/>
            <w:tcBorders>
              <w:top w:val="single" w:sz="8" w:color="auto"/>
            </w:tcBorders>
            <w:gridSpan w:val="12"/>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Purchase Agreement, dated as of July 10, 2017, by and between NN, Inc. and TSUBAKI NAKASHIMA Co., Ltd. (incorporated by reference</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to Exhibit 2.1 to NN, Inc.’s Current Report on Form 8-K filed on July 10, 2017)</w:t>
              </w:r>
            </w:hyperlink>
          </w:p>
        </w:tc>
        <w:tc>
          <w:tcPr>
            <w:tcW w:w="4460" w:type="dxa"/>
            <w:vAlign w:val="bottom"/>
            <w:tcBorders>
              <w:top w:val="single" w:sz="8" w:color="0000EE"/>
            </w:tcBorders>
            <w:gridSpan w:val="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9760" w:type="dxa"/>
            <w:vAlign w:val="bottom"/>
            <w:tcBorders>
              <w:bottom w:val="single" w:sz="8" w:color="0000EE"/>
            </w:tcBorders>
            <w:gridSpan w:val="10"/>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Amendment No. 2 to Amended and Restated Credit Agreement, dated as of August 15, 2017, by and among NN, Inc., certain NN, Inc.</w:t>
              </w:r>
            </w:hyperlink>
          </w:p>
        </w:tc>
        <w:tc>
          <w:tcPr>
            <w:tcW w:w="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subsidiaries named therein, and SunTrust Bank, Regions Bank, JPMorgan Chase Bank, N.A., HomeTrust Bank and Key Bank National</w:t>
              </w:r>
            </w:hyperlink>
          </w:p>
        </w:tc>
        <w:tc>
          <w:tcPr>
            <w:tcW w:w="5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Association, collectively, the Revolving Credit Lenders, and SunTrust Bank, as the Administrative Agent (incorporated by reference to</w:t>
              </w:r>
            </w:hyperlink>
          </w:p>
        </w:tc>
        <w:tc>
          <w:tcPr>
            <w:tcW w:w="5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Exhibit 10.1 to NN, Inc.’s Current Report on Form 8-K filed on August 18, 2017)</w:t>
              </w:r>
            </w:hyperlink>
          </w:p>
        </w:tc>
        <w:tc>
          <w:tcPr>
            <w:tcW w:w="4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amended.</w:t>
              </w:r>
            </w:hyperlink>
          </w:p>
        </w:tc>
        <w:tc>
          <w:tcPr>
            <w:tcW w:w="95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60" w:type="dxa"/>
            <w:vAlign w:val="bottom"/>
            <w:gridSpan w:val="12"/>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amended.</w:t>
              </w:r>
            </w:hyperlink>
          </w:p>
        </w:tc>
        <w:tc>
          <w:tcPr>
            <w:tcW w:w="8860" w:type="dxa"/>
            <w:vAlign w:val="bottom"/>
            <w:tcBorders>
              <w:top w:val="single" w:sz="8" w:color="0000EE"/>
            </w:tcBorders>
            <w:gridSpan w:val="5"/>
          </w:tcPr>
          <w:p>
            <w:pPr>
              <w:spacing w:after="0"/>
              <w:rPr>
                <w:sz w:val="17"/>
                <w:szCs w:val="17"/>
                <w:color w:val="auto"/>
              </w:rPr>
            </w:pPr>
          </w:p>
        </w:tc>
        <w:tc>
          <w:tcPr>
            <w:tcW w:w="7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74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Certification of Principal Executive Officer pursuant to Section 906 of the Sarbanes-Oxley Act of 2002.</w:t>
              </w:r>
            </w:hyperlink>
          </w:p>
        </w:tc>
        <w:tc>
          <w:tcPr>
            <w:tcW w:w="27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gridSpan w:val="1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Certification of Principal Financial Officer pursuant to Section 906 of the Sarbanes-Oxley Act of 2002.</w:t>
              </w:r>
            </w:hyperlink>
          </w:p>
        </w:tc>
        <w:tc>
          <w:tcPr>
            <w:tcW w:w="0" w:type="dxa"/>
            <w:vAlign w:val="bottom"/>
          </w:tcPr>
          <w:p>
            <w:pPr>
              <w:spacing w:after="0"/>
              <w:rPr>
                <w:sz w:val="1"/>
                <w:szCs w:val="1"/>
                <w:color w:val="auto"/>
              </w:rPr>
            </w:pPr>
          </w:p>
        </w:tc>
      </w:tr>
      <w:tr>
        <w:trPr>
          <w:trHeight w:val="345"/>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4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2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XBRL Taxonomy Extension Service</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12"/>
          </w:tcPr>
          <w:p>
            <w:pPr>
              <w:spacing w:after="0"/>
              <w:rPr>
                <w:sz w:val="20"/>
                <w:szCs w:val="20"/>
                <w:color w:val="auto"/>
              </w:rPr>
            </w:pPr>
            <w:r>
              <w:rPr>
                <w:rFonts w:ascii="Arial" w:cs="Arial" w:eastAsia="Arial" w:hAnsi="Arial"/>
                <w:sz w:val="18"/>
                <w:szCs w:val="18"/>
                <w:color w:val="auto"/>
              </w:rPr>
              <w:t>Taxonomy Calculation Linkbase</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XBRL Taxonomy Label Linkbase</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12"/>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2"/>
          </w:tcPr>
          <w:p>
            <w:pPr>
              <w:ind w:left="44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(Duly Authorized Officer)</w:t>
      </w:r>
    </w:p>
    <w:p>
      <w:pPr>
        <w:spacing w:after="0" w:line="22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C. Burwell, Jr., certify that:</w:t>
      </w:r>
    </w:p>
    <w:p>
      <w:pPr>
        <w:spacing w:after="0" w:line="13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upperLetter"/>
      <w:start w:val="40"/>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57" Type="http://schemas.openxmlformats.org/officeDocument/2006/relationships/hyperlink" Target="http://www.sec.gov/Archives/edgar/data/918541/000119312517224726/d422757dex21.htm" TargetMode="External"/><Relationship Id="rId58" Type="http://schemas.openxmlformats.org/officeDocument/2006/relationships/hyperlink" Target="http://www.sec.gov/Archives/edgar/data/918541/000119312517262214/d4433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2019-12-29T03:07:23Z</dcterms:created>
  <dcterms:modified xsi:type="dcterms:W3CDTF">2019-12-29T03:07:23Z</dcterms:modified>
</cp:coreProperties>
</file>