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December 31, 2019 (December 27,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3111500</wp:posOffset>
            </wp:positionH>
            <wp:positionV relativeFrom="paragraph">
              <wp:posOffset>422910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4040" w:type="dxa"/>
            <w:vAlign w:val="bottom"/>
          </w:tcPr>
          <w:p>
            <w:pPr>
              <w:jc w:val="center"/>
              <w:ind w:right="2239"/>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000-23486</w:t>
            </w:r>
          </w:p>
        </w:tc>
        <w:tc>
          <w:tcPr>
            <w:tcW w:w="2440" w:type="dxa"/>
            <w:vAlign w:val="bottom"/>
          </w:tcPr>
          <w:p>
            <w:pPr>
              <w:jc w:val="right"/>
              <w:ind w:right="41"/>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404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4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93"/>
              </w:rPr>
              <w:t>6210 Ardrey Kell Road</w:t>
            </w:r>
          </w:p>
        </w:tc>
        <w:tc>
          <w:tcPr>
            <w:tcW w:w="2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5"/>
        </w:trPr>
        <w:tc>
          <w:tcPr>
            <w:tcW w:w="4040" w:type="dxa"/>
            <w:vAlign w:val="bottom"/>
          </w:tcPr>
          <w:p>
            <w:pPr>
              <w:jc w:val="center"/>
              <w:ind w:left="1239"/>
              <w:spacing w:after="0"/>
              <w:rPr>
                <w:sz w:val="20"/>
                <w:szCs w:val="20"/>
                <w:color w:val="auto"/>
              </w:rPr>
            </w:pPr>
            <w:r>
              <w:rPr>
                <w:rFonts w:ascii="Arial" w:cs="Arial" w:eastAsia="Arial" w:hAnsi="Arial"/>
                <w:sz w:val="18"/>
                <w:szCs w:val="18"/>
                <w:b w:val="1"/>
                <w:bCs w:val="1"/>
                <w:color w:val="auto"/>
                <w:w w:val="93"/>
              </w:rPr>
              <w:t>Charlotte, North Carolina</w:t>
            </w:r>
          </w:p>
        </w:tc>
        <w:tc>
          <w:tcPr>
            <w:tcW w:w="232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Arial" w:cs="Arial" w:eastAsia="Arial" w:hAnsi="Arial"/>
                <w:sz w:val="18"/>
                <w:szCs w:val="18"/>
                <w:b w:val="1"/>
                <w:bCs w:val="1"/>
                <w:color w:val="auto"/>
              </w:rPr>
              <w:t>28277</w:t>
            </w:r>
          </w:p>
        </w:tc>
      </w:tr>
      <w:tr>
        <w:trPr>
          <w:trHeight w:val="186"/>
        </w:trPr>
        <w:tc>
          <w:tcPr>
            <w:tcW w:w="4040" w:type="dxa"/>
            <w:vAlign w:val="bottom"/>
          </w:tcPr>
          <w:p>
            <w:pPr>
              <w:jc w:val="center"/>
              <w:ind w:left="12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3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229235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180" w:type="dxa"/>
            <w:vAlign w:val="bottom"/>
            <w:vMerge w:val="restart"/>
          </w:tcPr>
          <w:p>
            <w:pPr>
              <w:jc w:val="center"/>
              <w:ind w:left="459"/>
              <w:spacing w:after="0"/>
              <w:rPr>
                <w:sz w:val="20"/>
                <w:szCs w:val="20"/>
                <w:color w:val="auto"/>
              </w:rPr>
            </w:pPr>
            <w:r>
              <w:rPr>
                <w:rFonts w:ascii="Arial" w:cs="Arial" w:eastAsia="Arial" w:hAnsi="Arial"/>
                <w:sz w:val="14"/>
                <w:szCs w:val="14"/>
                <w:b w:val="1"/>
                <w:bCs w:val="1"/>
                <w:color w:val="auto"/>
                <w:w w:val="89"/>
              </w:rPr>
              <w:t>Title of each class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7"/>
              </w:rPr>
              <w:t>Trading</w:t>
            </w:r>
          </w:p>
        </w:tc>
        <w:tc>
          <w:tcPr>
            <w:tcW w:w="3160" w:type="dxa"/>
            <w:vAlign w:val="bottom"/>
          </w:tcPr>
          <w:p>
            <w:pPr>
              <w:jc w:val="center"/>
              <w:ind w:right="322"/>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1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symbol</w:t>
            </w:r>
          </w:p>
        </w:tc>
        <w:tc>
          <w:tcPr>
            <w:tcW w:w="3160" w:type="dxa"/>
            <w:vAlign w:val="bottom"/>
          </w:tcPr>
          <w:p>
            <w:pPr>
              <w:jc w:val="center"/>
              <w:ind w:right="322"/>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180" w:type="dxa"/>
            <w:vAlign w:val="bottom"/>
            <w:tcBorders>
              <w:top w:val="single" w:sz="8" w:color="auto"/>
            </w:tcBorders>
          </w:tcPr>
          <w:p>
            <w:pPr>
              <w:jc w:val="center"/>
              <w:ind w:left="439"/>
              <w:spacing w:after="0"/>
              <w:rPr>
                <w:sz w:val="20"/>
                <w:szCs w:val="20"/>
                <w:color w:val="auto"/>
              </w:rPr>
            </w:pPr>
            <w:r>
              <w:rPr>
                <w:rFonts w:ascii="Arial" w:cs="Arial" w:eastAsia="Arial" w:hAnsi="Arial"/>
                <w:sz w:val="18"/>
                <w:szCs w:val="18"/>
                <w:b w:val="1"/>
                <w:bCs w:val="1"/>
                <w:color w:val="auto"/>
                <w:w w:val="90"/>
              </w:rPr>
              <w:t>Common Stock, par value $0.01</w:t>
            </w: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NNBR</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160" w:type="dxa"/>
            <w:vAlign w:val="bottom"/>
            <w:tcBorders>
              <w:top w:val="single" w:sz="8" w:color="auto"/>
            </w:tcBorders>
          </w:tcPr>
          <w:p>
            <w:pPr>
              <w:jc w:val="center"/>
              <w:ind w:right="322"/>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414"/>
        </w:trPr>
        <w:tc>
          <w:tcPr>
            <w:tcW w:w="3180" w:type="dxa"/>
            <w:vAlign w:val="bottom"/>
          </w:tcPr>
          <w:p>
            <w:pPr>
              <w:spacing w:after="0"/>
              <w:rPr>
                <w:sz w:val="24"/>
                <w:szCs w:val="24"/>
                <w:color w:val="auto"/>
              </w:rPr>
            </w:pPr>
          </w:p>
        </w:tc>
        <w:tc>
          <w:tcPr>
            <w:tcW w:w="468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3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88"/>
              </w:rPr>
              <w:t>None</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1"/>
              </w:rPr>
              <w:t>(Title of class)</w:t>
            </w: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222250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7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040"/>
          </w:cols>
          <w:pgMar w:left="440" w:top="368" w:right="419" w:bottom="0" w:gutter="0" w:footer="0" w:header="0"/>
        </w:sectPr>
      </w:pPr>
    </w:p>
    <w:bookmarkStart w:id="1" w:name="page2"/>
    <w:bookmarkEnd w:id="1"/>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234950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277495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1320" w:hanging="1309"/>
        <w:spacing w:after="0" w:line="282" w:lineRule="auto"/>
        <w:tabs>
          <w:tab w:leader="none" w:pos="1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67"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New Director.</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On December 27, 2019, the Board of Directors (the “Board”) of NN, Inc. (the “Company”) appointed Christina E. Carroll and Tom H. Wilson, Jr. to serve as directors of the Company, effective immediately (the “Appointment Effective Time”), until the 2020 annual meeting of stockholders and until their successors are duly elected and qualified or until their earlier death, resignation, disqualification or removal. Ms. Carroll and Mr. Wilson fill the vacancies created by the previously disclosed resignations of Ms. Stipp and Ms. Smith. In addition, Mr. Wilson has been appointed to serve as a member, and Chairman, of the Audit Committee of the Company and as a member of the Governance Committee of the Company. Ms. Carroll has been appointed to serve as a member of the Audit Committee of the Company.</w:t>
      </w:r>
    </w:p>
    <w:p>
      <w:pPr>
        <w:spacing w:after="0" w:line="193" w:lineRule="exact"/>
        <w:rPr>
          <w:sz w:val="20"/>
          <w:szCs w:val="20"/>
          <w:color w:val="auto"/>
        </w:rPr>
      </w:pPr>
    </w:p>
    <w:p>
      <w:pPr>
        <w:ind w:right="320" w:firstLine="441"/>
        <w:spacing w:after="0" w:line="297" w:lineRule="auto"/>
        <w:rPr>
          <w:sz w:val="20"/>
          <w:szCs w:val="20"/>
          <w:color w:val="auto"/>
        </w:rPr>
      </w:pPr>
      <w:r>
        <w:rPr>
          <w:rFonts w:ascii="Arial" w:cs="Arial" w:eastAsia="Arial" w:hAnsi="Arial"/>
          <w:sz w:val="16"/>
          <w:szCs w:val="16"/>
          <w:color w:val="auto"/>
        </w:rPr>
        <w:t>Ms. Carroll</w:t>
      </w:r>
      <w:r>
        <w:rPr>
          <w:rFonts w:ascii="Arial" w:cs="Arial" w:eastAsia="Arial" w:hAnsi="Arial"/>
          <w:sz w:val="16"/>
          <w:szCs w:val="16"/>
          <w:i w:val="1"/>
          <w:iCs w:val="1"/>
          <w:color w:val="auto"/>
        </w:rPr>
        <w:t>,</w:t>
      </w:r>
      <w:r>
        <w:rPr>
          <w:rFonts w:ascii="Arial" w:cs="Arial" w:eastAsia="Arial" w:hAnsi="Arial"/>
          <w:sz w:val="16"/>
          <w:szCs w:val="16"/>
          <w:color w:val="auto"/>
        </w:rPr>
        <w:t xml:space="preserve"> age 52, has been a managing director at Stout Risius Ross, LLC (“Stout”) where she has been responsible for originating and executing valuations, fairness opinions and other transaction-related financial advisory services across industries. From February 2018 to May 2019, Ms. Carroll served on the Board of Directors of The Chefs’ Warehouse (NASDAQ: CHEF), a premier distributor of specialty food products in the United States and Canada. Prior to Stout, Ms. Carroll was a director of financial advisory services at Houlihan Lokey, Inc. She also previously held managerial positions at Ernst &amp; Young LLP (“Ernst &amp; Young”), including a partner in valuation and transaction advisory services.</w:t>
      </w:r>
    </w:p>
    <w:p>
      <w:pPr>
        <w:spacing w:after="0" w:line="158"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Mr. Wilson, age 58, is a Managing Partner at DecisionPoint Advisors, LLC (“DecisionPoint”) in Charlotte, N.C., a specialized merger and acquisition advisory firm for mid-market technology companies. Since 2012, Wilson has served on the Board of Directors of Jack Henry &amp; Associates (NASDAQ: JKHY), an S&amp;P 500 FinTech company providing technology solutions to the financial services industry where he serves as Chairman of the Audit Committee and a member of the Compensation Committee. Prior to joining DecisionPoint in 2008, he served as Chairman and CEO of NuTech Solutions from 2004 to 2008, a business intelligence software company that was acquired by Neteeza. From 1997 to 2004, Mr. Wilson was President of Osprey, a consulting and systems integration firm. Prior to his work at Osprey, Mr. Wilson was employed by IBM for 14 years in a variety of management and sales positions.</w:t>
      </w:r>
    </w:p>
    <w:p>
      <w:pPr>
        <w:spacing w:after="0" w:line="189" w:lineRule="exact"/>
        <w:rPr>
          <w:sz w:val="20"/>
          <w:szCs w:val="20"/>
          <w:color w:val="auto"/>
        </w:rPr>
      </w:pPr>
    </w:p>
    <w:p>
      <w:pPr>
        <w:ind w:right="260" w:firstLine="441"/>
        <w:spacing w:after="0" w:line="312" w:lineRule="auto"/>
        <w:rPr>
          <w:sz w:val="20"/>
          <w:szCs w:val="20"/>
          <w:color w:val="auto"/>
        </w:rPr>
      </w:pPr>
      <w:r>
        <w:rPr>
          <w:rFonts w:ascii="Arial" w:cs="Arial" w:eastAsia="Arial" w:hAnsi="Arial"/>
          <w:sz w:val="16"/>
          <w:szCs w:val="16"/>
          <w:color w:val="auto"/>
        </w:rPr>
        <w:t xml:space="preserve">Ms. Carroll and Mr. Wilson will be compensated on the same basis as all other non-management directors of the Company. Ms. Carroll and Mr. Wilson will each enter into an indemnification agreement with the Company, in the form previously entered into by the Company with its current directors, a copy of which was listed as </w:t>
      </w:r>
      <w:r>
        <w:rPr>
          <w:rFonts w:ascii="Arial" w:cs="Arial" w:eastAsia="Arial" w:hAnsi="Arial"/>
          <w:sz w:val="16"/>
          <w:szCs w:val="16"/>
          <w:u w:val="single" w:color="auto"/>
          <w:color w:val="auto"/>
        </w:rPr>
        <w:t>Exhibit 10.3</w:t>
      </w:r>
      <w:r>
        <w:rPr>
          <w:rFonts w:ascii="Arial" w:cs="Arial" w:eastAsia="Arial" w:hAnsi="Arial"/>
          <w:sz w:val="16"/>
          <w:szCs w:val="16"/>
          <w:color w:val="auto"/>
        </w:rPr>
        <w:t xml:space="preserve"> to the Company’s Annual Report on Form 10-K for the fiscal year ended December 31, 2018.</w:t>
      </w:r>
    </w:p>
    <w:p>
      <w:pPr>
        <w:spacing w:after="0" w:line="147"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There are no arrangements or understandings between Ms. Carroll or Mr. Wilson and any other persons pursuant to which she or he was appointed as a director of the Company. There are no family relationships between Ms. Carroll or Mr. Wilson and any director, executive officer, or any person nominated or chosen by the Company to become a director or executive officer. There are no related person transactions (within the meaning of Item 404(a) of Regulation S-K promulgated by the Securities and Exchange Commission) between Ms. Carroll or Mr. Wilson and the Company.</w:t>
      </w:r>
    </w:p>
    <w:p>
      <w:pPr>
        <w:spacing w:after="0" w:line="299"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2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On December 31, 2019, the Company issued a press release announcing the appointments to the Board. A copy of the press release is furnished as Exhibit 99.1 to this Current Report on Form 8-K.</w:t>
      </w:r>
    </w:p>
    <w:p>
      <w:pPr>
        <w:spacing w:after="0" w:line="170"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The information, including the press release, furnished under this Item 7.01 shall not be deemed “filed” for the purposes of Section 18 of the Securities Exchange Act of 1934, as amended (the “Exchange Act”), or otherwise subject to the liabilities of that section, and shall not be deemed incorporated by reference into any other filing by the Company under the Exchange Act or the Securities Act of 1933, as amended, except as otherwise expressly stated in such filing.</w:t>
      </w:r>
    </w:p>
    <w:p>
      <w:pPr>
        <w:spacing w:after="0" w:line="33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35" w:lineRule="exact"/>
        <w:rPr>
          <w:sz w:val="20"/>
          <w:szCs w:val="20"/>
          <w:color w:val="auto"/>
        </w:rPr>
      </w:pPr>
    </w:p>
    <w:p>
      <w:pPr>
        <w:ind w:left="440" w:hanging="436"/>
        <w:spacing w:after="0"/>
        <w:tabs>
          <w:tab w:leader="none" w:pos="4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60"/>
        <w:spacing w:after="0"/>
        <w:tabs>
          <w:tab w:leader="none" w:pos="102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325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81" w:lineRule="exact"/>
        <w:rPr>
          <w:sz w:val="20"/>
          <w:szCs w:val="20"/>
          <w:color w:val="auto"/>
        </w:rPr>
      </w:pPr>
    </w:p>
    <w:p>
      <w:pPr>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issued by NN, Inc. dated December 31, 2019</w:t>
        </w:r>
      </w:hyperlink>
    </w:p>
    <w:p>
      <w:pPr>
        <w:sectPr>
          <w:pgSz w:w="11900" w:h="16838" w:orient="portrait"/>
          <w:cols w:equalWidth="0" w:num="1">
            <w:col w:w="11020"/>
          </w:cols>
          <w:pgMar w:left="440" w:top="270" w:right="43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31,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w:t>
      </w:r>
    </w:p>
    <w:p>
      <w:pPr>
        <w:sectPr>
          <w:pgSz w:w="11900" w:h="16838" w:orient="portrait"/>
          <w:cols w:equalWidth="0" w:num="1">
            <w:col w:w="10720"/>
          </w:cols>
          <w:pgMar w:left="440" w:top="270" w:right="7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5203825</wp:posOffset>
            </wp:positionH>
            <wp:positionV relativeFrom="paragraph">
              <wp:posOffset>172085</wp:posOffset>
            </wp:positionV>
            <wp:extent cx="1800860" cy="471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0860" cy="4718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797560</wp:posOffset>
            </wp:positionV>
            <wp:extent cx="875030" cy="848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7503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ABERNATHY MACGREGOR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Claire Walsh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371-5999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Appoints Christina Carroll and Tom Wilson to its Board of Directors</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CHARLOTTE, N.C., Dec. 31, 2019 </w:t>
      </w:r>
      <w:r>
        <w:rPr>
          <w:rFonts w:ascii="Arial" w:cs="Arial" w:eastAsia="Arial" w:hAnsi="Arial"/>
          <w:sz w:val="18"/>
          <w:szCs w:val="18"/>
          <w:color w:val="auto"/>
        </w:rPr>
        <w:t>— NN, Inc. (NASDAQ: NNBR), a diversified industrial company, today announced that its board of directors has</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Christina Carroll, Managing Director at Stout Risius Ross, LLC, and Tom Wilson, Managing Partner at DecisionPoint Advisors, as independent directors of the Company. The new board appointments will fill the open seats vacated by Carey Smith and Janice Stipp and complete NN’s board slate, which comprises eight directors, seven of whom are independent.</w:t>
      </w:r>
    </w:p>
    <w:p>
      <w:pPr>
        <w:spacing w:after="0" w:line="18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Robert Brunner, Non-Executive Chairman of the Board, said, “We are delighted to welcome Christina and Tom, both highly-qualified directors, to NN’s board. Together, they enhance our board’s expertise in transactions, finance, capital markets, and governance, which we believe will benefit NN as we complete our review of strategic alternatives and continue to execute on our strategic plan.”</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Warren Veltman, Interim President &amp; Chief Executive Officer, commented, “I am pleased to welcome Christina and Tom to NN’s board and look forward to working closely with them during this next phase of our strategic evolution. I look forward to benefiting from their experience as we continue to build on our efforts to enhance performance and improve free cash flow generation to accelerate our ability to de-lever while also making investments in areas that have the highest potential return.”</w:t>
      </w:r>
    </w:p>
    <w:p>
      <w:pPr>
        <w:spacing w:after="0" w:line="187"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Ms. Carroll said, “I am excited to join the NN board at this important moment in the Company’s history. I look forward to working closely with the entire board and management team to advance NN’s strategic growth plan and strengthen its position as a leading diversified industrial company.”</w:t>
      </w:r>
    </w:p>
    <w:p>
      <w:pPr>
        <w:spacing w:after="0" w:line="12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Mr. Wilson commented, “I am looking forward to helping guide NN in its continued evolution. I am pleased to join my fellow directors and the management team in helping NN execute on the exciting opportunities ahead.”</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Christina Carroll</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Christina E. Carroll is a Managing Director, Valuation &amp; Transaction Opinions, and Los Angeles Office Leader, at Stout Risius Ross, LLC (Stout). Ms. Carroll has over 30 years of financing experience in finance, valuation, strategy, capital markets, restructuring, mergers and acquisitions. Prior to Stout, she was a director of financial advisory services at Houlihan Lokey, Inc. Ms. Carroll also previously held managerial positions at Ernst &amp; Young LLP (“Ernst &amp; Young”), including a partner in valuation and transaction advisory services and Los Angeles City Leader for the Center for Strategic Transactions.</w:t>
      </w:r>
    </w:p>
    <w:p>
      <w:pPr>
        <w:spacing w:after="0" w:line="188"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She is a director on the board of Stout and previously served on the board of The Chefs’ Warehouse (NASDAQ:CHEF). Ms. Carroll holds a B.A. in Business Economics and MBA from UCLA and is a Charted Financial Analyst. She also was on the board of the Los Angeles Regional Food Bank, having held various positions and served on various committees since 2008 including corporate secretary and treasurer.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About Tom Wilson</w:t>
      </w:r>
    </w:p>
    <w:p>
      <w:pPr>
        <w:spacing w:after="0" w:line="11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Tom H. Wilson, Jr. is a Managing Partner at DecisionPoint Advisors, a boutique investment bank headquartered in Charlotte, NC. Mr. Wilson is a seasoned business executive with over 35 years of experience in the technology industry. His transaction experience includes buy-side and sell-side assignments within numerous technology sectors including software, analytics, managed services, and consulting.</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Prior to joining DecisionPoint, Mr. Wilson served as Chairman and CEO of NuTech Solutions, an innovative analytics software company which was acquired by Netezza (NYSE:NZ). At NuTech, Mr. Wilson was instrumental in refocusing the company, raising equity and debt financing, and leading the efforts to sell the company to a strategic buyer. Prior to joining NuTech, he was President of Osprey, a consulting and systems integration firm. Prior to his work at Osprey, Mr. Wilson was employed by IBM for 14 years in a variety of management and sales positions.</w:t>
      </w:r>
    </w:p>
    <w:p>
      <w:pPr>
        <w:spacing w:after="0" w:line="17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He is a member of the board of directors of Jack Henry &amp; Associates (NASDAQ: JKHY), an S&amp;P 500 FinTech company providing technology solutions to the financial services industry where he serves as Chairman of the Audit Committee and a member of the Compensation Committee. Mr. Wilson holds a B.S. in Finance from Clemson University and an MBA from Duke University. He has served on the board and as Chairman of several community organizations including the US National Whitewater Center, NC Innovative Development for Economic Advancement (NC IDEA), UNC Charlotte College of Computing and Informatics, Junior Achievement, the Charlotte Ballet, and the United Way.</w:t>
      </w:r>
    </w:p>
    <w:p>
      <w:pPr>
        <w:spacing w:after="0" w:line="17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50 facilities in North America, Europe, South America and China.</w:t>
      </w:r>
    </w:p>
    <w:p>
      <w:pPr>
        <w:spacing w:after="0" w:line="18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level of the Company’s indebtedness, the restrictions contained in the</w:t>
      </w:r>
    </w:p>
    <w:p>
      <w:pPr>
        <w:sectPr>
          <w:pgSz w:w="11900" w:h="16838" w:orient="portrait"/>
          <w:cols w:equalWidth="0" w:num="1">
            <w:col w:w="10960"/>
          </w:cols>
          <w:pgMar w:left="440" w:top="274" w:right="499" w:bottom="1440" w:gutter="0" w:footer="0" w:header="0"/>
        </w:sectPr>
      </w:pPr>
    </w:p>
    <w:bookmarkStart w:id="6" w:name="page7"/>
    <w:bookmarkEnd w:id="6"/>
    <w:p>
      <w:pPr>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Company’s debt agreements, the Company’s ability to obtain financing at favorable rates, if at all, and to refinance existing debt as it matures,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pacing w:after="0" w:line="1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2018 and the Company’s Quarterly Report on Form 10-Q for the three months ended September 30, 2019.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0940"/>
      </w:cols>
      <w:pgMar w:left="4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2019-12-31T08:02:33Z</dcterms:created>
  <dcterms:modified xsi:type="dcterms:W3CDTF">2019-12-31T08:02:33Z</dcterms:modified>
</cp:coreProperties>
</file>