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PUGH DAVID 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11/30/2015</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2940" w:type="dxa"/>
            <w:vAlign w:val="bottom"/>
            <w:tcBorders>
              <w:bottom w:val="single" w:sz="8" w:color="2C2C2C"/>
            </w:tcBorders>
            <w:gridSpan w:val="4"/>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2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0000FF"/>
                <w:w w:val="91"/>
              </w:rPr>
              <w:t>TN</w:t>
            </w:r>
          </w:p>
        </w:tc>
        <w:tc>
          <w:tcPr>
            <w:tcW w:w="102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31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11/30/2015</w:t>
            </w:r>
          </w:p>
        </w:tc>
        <w:tc>
          <w:tcPr>
            <w:tcW w:w="2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41,266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17.05</w:t>
            </w:r>
            <w:r>
              <w:rPr>
                <w:rFonts w:ascii="Arial" w:cs="Arial" w:eastAsia="Arial" w:hAnsi="Arial"/>
                <w:sz w:val="22"/>
                <w:szCs w:val="22"/>
                <w:color w:val="008000"/>
                <w:w w:val="84"/>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68,186</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gridSpan w:val="5"/>
          </w:tcPr>
          <w:p>
            <w:pPr>
              <w:ind w:left="780"/>
              <w:spacing w:after="0"/>
              <w:rPr>
                <w:sz w:val="20"/>
                <w:szCs w:val="20"/>
                <w:color w:val="auto"/>
              </w:rPr>
            </w:pPr>
            <w:r>
              <w:rPr>
                <w:rFonts w:ascii="Arial" w:cs="Arial" w:eastAsia="Arial" w:hAnsi="Arial"/>
                <w:sz w:val="18"/>
                <w:szCs w:val="18"/>
                <w:color w:val="0000FF"/>
              </w:rPr>
              <w:t>12/01/2015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jc w:val="right"/>
              <w:ind w:right="32"/>
              <w:spacing w:after="0"/>
              <w:rPr>
                <w:sz w:val="20"/>
                <w:szCs w:val="20"/>
                <w:color w:val="auto"/>
              </w:rPr>
            </w:pPr>
            <w:r>
              <w:rPr>
                <w:rFonts w:ascii="Arial" w:cs="Arial" w:eastAsia="Arial" w:hAnsi="Arial"/>
                <w:sz w:val="18"/>
                <w:szCs w:val="18"/>
                <w:color w:val="0000FF"/>
              </w:rPr>
              <w:t>5,314</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720" w:type="dxa"/>
            <w:vAlign w:val="bottom"/>
            <w:gridSpan w:val="3"/>
          </w:tcPr>
          <w:p>
            <w:pPr>
              <w:jc w:val="center"/>
              <w:ind w:right="1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73,500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334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7"/>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4"/>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$17.02 to $17.05, inclusive. The reporting person undertakes to provide to NN, Inc., any security holder of NN, Inc., or the staff of the Securities and Exchange Commission, upon request, full information regarding the number of shares purchased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12/01/2015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8344"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2019-12-23T21:41:30Z</dcterms:created>
  <dcterms:modified xsi:type="dcterms:W3CDTF">2019-12-23T21:41:30Z</dcterms:modified>
</cp:coreProperties>
</file>