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11,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bidi w:val="0"/>
        <w:spacing w:before="0" w:after="0"/>
        <w:jc w:val="center"/>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2024, NN, Inc. (the “Company”) issued a press release announcing the Company’s financial results for the quarter and year ended December 31, 2023. The full text of the press release is furnished as Exhibit 99.1 to this Current Report on Form 8-K (the "Current Report").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60"/>
        <w:ind w:left="0" w:right="0" w:hanging="1170"/>
        <w:jc w:val="left"/>
        <w:rPr/>
      </w:pPr>
      <w:r>
        <w:rPr/>
      </w:r>
    </w:p>
    <w:p>
      <w:pPr>
        <w:pStyle w:val="TextBody"/>
        <w:bidi w:val="0"/>
        <w:spacing w:lineRule="auto" w:line="288" w:before="0" w:after="6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2024, the Company posted an supplemental presentation to its website, https://investors.nninc.com/, which will be presented during its quarterly investor conference call on March 12, 2024, at 9:00a.m. ET. The supplemental presentation is included as Exhibit 99.2 to this Current Report.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6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(d)    Exhibits.</w:t>
      </w:r>
    </w:p>
    <w:tbl>
      <w:tblPr>
        <w:tblW w:w="757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7"/>
        <w:gridCol w:w="1927"/>
        <w:gridCol w:w="27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3-q4.htm">
              <w:r>
                <w:rPr>
                  <w:rStyle w:val="InternetLink"/>
                  <w:rFonts w:ascii="Times New Roman;sans-serif" w:hAnsi="Times New Roman;sans-serif"/>
                  <w:b w:val="false"/>
                  <w:color w:val="0000FF"/>
                  <w:sz w:val="20"/>
                  <w:u w:val="single"/>
                </w:rPr>
                <w:t>Press Release issued by NN, Inc., dated March 11,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nearningspresentation20.htm">
              <w:r>
                <w:rPr>
                  <w:rStyle w:val="InternetLink"/>
                  <w:rFonts w:ascii="Times New Roman;sans-serif" w:hAnsi="Times New Roman;sans-serif"/>
                  <w:b w:val="false"/>
                  <w:color w:val="000080"/>
                  <w:sz w:val="20"/>
                  <w:u w:val="single"/>
                </w:rPr>
                <w:t>Investor Presentation, dated March 1</w:t>
              </w:r>
            </w:hyperlink>
            <w:hyperlink w:anchor="nnearningspresentation20.htm">
              <w:r>
                <w:rPr>
                  <w:rStyle w:val="InternetLink"/>
                  <w:rFonts w:ascii="Times New Roman;sans-serif" w:hAnsi="Times New Roman;sans-serif"/>
                  <w:b w:val="false"/>
                  <w:color w:val="000080"/>
                  <w:sz w:val="20"/>
                  <w:u w:val="single"/>
                </w:rPr>
                <w:t>2</w:t>
              </w:r>
            </w:hyperlink>
            <w:hyperlink w:anchor="nnearningspresentation20.htm">
              <w:r>
                <w:rPr>
                  <w:rStyle w:val="InternetLink"/>
                  <w:rFonts w:ascii="Times New Roman;sans-serif" w:hAnsi="Times New Roman;sans-serif"/>
                  <w:b w:val="false"/>
                  <w:color w:val="000080"/>
                  <w:sz w:val="20"/>
                  <w:u w:val="single"/>
                </w:rPr>
                <w:t>,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r>
    </w:tbl>
    <w:p>
      <w:pPr>
        <w:pStyle w:val="TextBody"/>
        <w:bidi w:val="0"/>
        <w:spacing w:before="0" w:after="0"/>
        <w:ind w:left="0" w:right="0" w:firstLine="495"/>
        <w:jc w:val="left"/>
        <w:rPr/>
      </w:pPr>
      <w:r>
        <w:rPr/>
      </w:r>
    </w:p>
    <w:tbl>
      <w:tblPr>
        <w:tblW w:w="511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213"/>
        <w:gridCol w:w="1213"/>
        <w:gridCol w:w="1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0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87" w:type="dxa"/>
        <w:jc w:val="left"/>
        <w:tblInd w:w="0" w:type="dxa"/>
        <w:tblLayout w:type="fixed"/>
        <w:tblCellMar>
          <w:top w:w="28" w:type="dxa"/>
          <w:left w:w="28" w:type="dxa"/>
          <w:bottom w:w="28" w:type="dxa"/>
          <w:right w:w="28" w:type="dxa"/>
        </w:tblCellMar>
      </w:tblPr>
      <w:tblGrid>
        <w:gridCol w:w="1080"/>
        <w:gridCol w:w="950"/>
        <w:gridCol w:w="951"/>
        <w:gridCol w:w="1027"/>
        <w:gridCol w:w="1027"/>
        <w:gridCol w:w="1452"/>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1362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1362075"/>
                          </a:xfrm>
                          <a:prstGeom prst="rect">
                            <a:avLst/>
                          </a:prstGeom>
                        </pic:spPr>
                      </pic:pic>
                    </a:graphicData>
                  </a:graphic>
                </wp:inline>
              </w:drawing>
            </w:r>
          </w:p>
        </w:tc>
        <w:tc>
          <w:tcPr>
            <w:tcW w:w="35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43125" cy="685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143125" cy="685800"/>
                          </a:xfrm>
                          <a:prstGeom prst="rect">
                            <a:avLst/>
                          </a:prstGeom>
                        </pic:spPr>
                      </pic:pic>
                    </a:graphicData>
                  </a:graphic>
                </wp:inline>
              </w:drawing>
            </w:r>
          </w:p>
        </w:tc>
      </w:tr>
    </w:tbl>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NN, Inc.</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6210 Ardrey Kell Road, Suite 120</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Charlotte, NC 28277</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NN, INC. REPORTS FOURTH QUARTER AND FULL YEAR 2023 RESULTS; 2024 GUIDANCE</w:t>
      </w:r>
    </w:p>
    <w:p>
      <w:pPr>
        <w:pStyle w:val="TextBody"/>
        <w:bidi w:val="0"/>
        <w:spacing w:before="0" w:after="0"/>
        <w:jc w:val="center"/>
        <w:rPr/>
      </w:pPr>
      <w:r>
        <w:rPr/>
      </w:r>
    </w:p>
    <w:p>
      <w:pPr>
        <w:pStyle w:val="TextBody"/>
        <w:bidi w:val="0"/>
        <w:spacing w:lineRule="auto" w:line="276" w:before="0" w:after="0"/>
        <w:jc w:val="center"/>
        <w:rPr>
          <w:rFonts w:ascii="Calibri;sans-serif" w:hAnsi="Calibri;sans-serif"/>
          <w:b w:val="false"/>
          <w:i/>
          <w:color w:val="000000"/>
          <w:sz w:val="21"/>
        </w:rPr>
      </w:pPr>
      <w:r>
        <w:rPr>
          <w:rFonts w:ascii="Calibri;sans-serif" w:hAnsi="Calibri;sans-serif"/>
          <w:b w:val="false"/>
          <w:i/>
          <w:color w:val="000000"/>
          <w:sz w:val="21"/>
        </w:rPr>
        <w:t xml:space="preserve">Business transformation continues; delivering record-setting new business wins in 2023 and </w:t>
      </w:r>
    </w:p>
    <w:p>
      <w:pPr>
        <w:pStyle w:val="TextBody"/>
        <w:bidi w:val="0"/>
        <w:spacing w:lineRule="auto" w:line="276" w:before="0" w:after="0"/>
        <w:jc w:val="center"/>
        <w:rPr>
          <w:rFonts w:ascii="Calibri;sans-serif" w:hAnsi="Calibri;sans-serif"/>
          <w:b w:val="false"/>
          <w:i/>
          <w:color w:val="000000"/>
          <w:sz w:val="21"/>
        </w:rPr>
      </w:pPr>
      <w:r>
        <w:rPr>
          <w:rFonts w:ascii="Calibri;sans-serif" w:hAnsi="Calibri;sans-serif"/>
          <w:b w:val="false"/>
          <w:i/>
          <w:color w:val="000000"/>
          <w:sz w:val="21"/>
        </w:rPr>
        <w:t>significantly improved free cash flow performance</w:t>
      </w:r>
    </w:p>
    <w:p>
      <w:pPr>
        <w:pStyle w:val="TextBody"/>
        <w:bidi w:val="0"/>
        <w:spacing w:before="0" w:after="0"/>
        <w:jc w:val="center"/>
        <w:rPr/>
      </w:pPr>
      <w:r>
        <w:rPr/>
      </w:r>
    </w:p>
    <w:p>
      <w:pPr>
        <w:pStyle w:val="TextBody"/>
        <w:bidi w:val="0"/>
        <w:spacing w:lineRule="auto" w:line="276" w:before="0" w:after="0"/>
        <w:jc w:val="center"/>
        <w:rPr>
          <w:rFonts w:ascii="Calibri;sans-serif" w:hAnsi="Calibri;sans-serif"/>
          <w:b w:val="false"/>
          <w:i/>
          <w:color w:val="000000"/>
          <w:sz w:val="21"/>
        </w:rPr>
      </w:pPr>
      <w:r>
        <w:rPr>
          <w:rFonts w:ascii="Calibri;sans-serif" w:hAnsi="Calibri;sans-serif"/>
          <w:b w:val="false"/>
          <w:i/>
          <w:color w:val="000000"/>
          <w:sz w:val="21"/>
        </w:rPr>
        <w:t>Company provides sales, adjusted EBITDA, and free cash flow outlook for 2024</w:t>
      </w:r>
    </w:p>
    <w:p>
      <w:pPr>
        <w:pStyle w:val="TextBody"/>
        <w:bidi w:val="0"/>
        <w:spacing w:before="0" w:after="0"/>
        <w:jc w:val="center"/>
        <w:rPr/>
      </w:pPr>
      <w:r>
        <w:rPr/>
      </w:r>
    </w:p>
    <w:p>
      <w:pPr>
        <w:pStyle w:val="TextBody"/>
        <w:bidi w:val="0"/>
        <w:spacing w:lineRule="auto" w:line="300" w:before="0" w:after="200"/>
        <w:jc w:val="left"/>
        <w:rPr/>
      </w:pPr>
      <w:r>
        <w:rPr>
          <w:rFonts w:ascii="Calibri;sans-serif" w:hAnsi="Calibri;sans-serif"/>
          <w:b/>
          <w:color w:val="000000"/>
          <w:sz w:val="22"/>
        </w:rPr>
        <w:t>CHARLOTTE, N.C., March 11, 2024</w:t>
      </w:r>
      <w:r>
        <w:rPr>
          <w:color w:val="000000"/>
        </w:rPr>
        <w:t xml:space="preserve"> – </w:t>
      </w:r>
      <w:r>
        <w:rPr>
          <w:rFonts w:ascii="Calibri;sans-serif" w:hAnsi="Calibri;sans-serif"/>
          <w:b w:val="false"/>
          <w:color w:val="000000"/>
          <w:sz w:val="22"/>
        </w:rPr>
        <w:t>NN, Inc. (NASDAQ: NNBR), a global diversified industrial company that engineers and manufactures high-precision components and assemblies, today reported its financial results for the fourth quarter ended December 31, 2023.</w:t>
      </w:r>
    </w:p>
    <w:p>
      <w:pPr>
        <w:pStyle w:val="TextBody"/>
        <w:bidi w:val="0"/>
        <w:spacing w:lineRule="auto" w:line="268" w:before="0" w:after="0"/>
        <w:jc w:val="both"/>
        <w:rPr>
          <w:rFonts w:ascii="Calibri;sans-serif" w:hAnsi="Calibri;sans-serif"/>
          <w:b/>
          <w:color w:val="000000"/>
          <w:sz w:val="22"/>
        </w:rPr>
      </w:pPr>
      <w:r>
        <w:rPr>
          <w:rFonts w:ascii="Calibri;sans-serif" w:hAnsi="Calibri;sans-serif"/>
          <w:b/>
          <w:color w:val="000000"/>
          <w:sz w:val="22"/>
        </w:rPr>
        <w:t>Financial and Strategic Highlights</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Displayed strong execution against the Company’s multi-year transformation plan, driving positive inflection in financial and operating results in the second half of the year;</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Delivered company record for new business awards of $62.6 million in 2023;</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Launched multiple long-term strategic initiatives to drive increased sales, increased profits, enhanced cash flows, and increased shareholder value;</w:t>
      </w:r>
    </w:p>
    <w:p>
      <w:pPr>
        <w:pStyle w:val="TextBody"/>
        <w:bidi w:val="0"/>
        <w:spacing w:lineRule="auto" w:line="256" w:before="0" w:after="0"/>
        <w:ind w:left="0" w:right="0" w:hanging="360"/>
        <w:jc w:val="left"/>
        <w:rPr/>
      </w:pPr>
      <w:r>
        <w:rPr>
          <w:color w:val="000000"/>
          <w:shd w:fill="FFFFFF" w:val="clear"/>
        </w:rPr>
        <w:t>•</w:t>
      </w:r>
      <w:r>
        <w:rPr>
          <w:rFonts w:ascii="Calibri;sans-serif" w:hAnsi="Calibri;sans-serif"/>
          <w:b w:val="false"/>
          <w:color w:val="000000"/>
          <w:sz w:val="22"/>
          <w:shd w:fill="FFFFFF" w:val="clear"/>
        </w:rPr>
        <w:t xml:space="preserve">Generated positive free cash flow in 2023 with enhanced organization-wide focus driving step change in cash flow performance in the second half of the year; </w:t>
      </w:r>
    </w:p>
    <w:p>
      <w:pPr>
        <w:pStyle w:val="TextBody"/>
        <w:bidi w:val="0"/>
        <w:spacing w:lineRule="auto" w:line="256" w:before="0" w:after="0"/>
        <w:ind w:left="0" w:right="0" w:hanging="360"/>
        <w:jc w:val="left"/>
        <w:rPr/>
      </w:pPr>
      <w:r>
        <w:rPr>
          <w:color w:val="000000"/>
          <w:shd w:fill="FFFFFF" w:val="clear"/>
        </w:rPr>
        <w:t>•</w:t>
      </w:r>
      <w:r>
        <w:rPr>
          <w:rFonts w:ascii="Calibri;sans-serif" w:hAnsi="Calibri;sans-serif"/>
          <w:b w:val="false"/>
          <w:color w:val="000000"/>
          <w:sz w:val="22"/>
          <w:shd w:fill="FFFFFF" w:val="clear"/>
        </w:rPr>
        <w:t xml:space="preserve">Fourth quarter net sales of $112.5 million, down 4.6% versus prior year; </w:t>
      </w:r>
    </w:p>
    <w:p>
      <w:pPr>
        <w:pStyle w:val="TextBody"/>
        <w:bidi w:val="0"/>
        <w:spacing w:lineRule="auto" w:line="256" w:before="0" w:after="0"/>
        <w:ind w:left="0" w:right="0" w:hanging="360"/>
        <w:jc w:val="left"/>
        <w:rPr/>
      </w:pPr>
      <w:r>
        <w:rPr>
          <w:color w:val="000000"/>
          <w:shd w:fill="FFFFFF" w:val="clear"/>
        </w:rPr>
        <w:t>•</w:t>
      </w:r>
      <w:r>
        <w:rPr>
          <w:rFonts w:ascii="Calibri;sans-serif" w:hAnsi="Calibri;sans-serif"/>
          <w:b w:val="false"/>
          <w:color w:val="000000"/>
          <w:sz w:val="22"/>
          <w:shd w:fill="FFFFFF" w:val="clear"/>
        </w:rPr>
        <w:t>Fourth quarter operating loss of $7.9 million, improved by $3.1 million versus prior year;</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Fourth quarter adjusted EBITDA of $10.0 million up 28% versus prior year; and</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 xml:space="preserve">Fourth quarter free cash flow of $1.3 million, down $5.1 million versus prior year.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Calibri;sans-serif" w:hAnsi="Calibri;sans-serif"/>
          <w:b w:val="false"/>
          <w:color w:val="000000"/>
          <w:sz w:val="22"/>
        </w:rPr>
        <w:t>Our fourth quarter results capped off a transformative year for NN Inc., a year in which we realigned our commercial and operational strategies to deliver improved returns and to better position the company for both short-term and long-term success,” said Harold Bevis, President and Chief Executive Officer. “In 2023, we launched a multi-year transformation and our revamped leadership team’s aggressive redirected approach is already making a clear impact on our financial and operational results, as evidenced by the strengthening of our margins, improved free cash flow performance, and accelerating sales growth. Additionally, we reset the bar on customer performance and already we are performing better with our customers. This is a tried and true path to future business expansion. We are really proud of our global team and our JV business as we are working as one team to reestablish leadership positions in multiple areas.”</w:t>
      </w:r>
    </w:p>
    <w:p>
      <w:pPr>
        <w:pStyle w:val="TextBody"/>
        <w:bidi w:val="0"/>
        <w:spacing w:before="0" w:after="0"/>
        <w:jc w:val="both"/>
        <w:rPr/>
      </w:pPr>
      <w:r>
        <w:rPr/>
      </w:r>
    </w:p>
    <w:p>
      <w:pPr>
        <w:pStyle w:val="TextBody"/>
        <w:bidi w:val="0"/>
        <w:spacing w:lineRule="auto" w:line="268"/>
        <w:jc w:val="both"/>
        <w:rPr>
          <w:rFonts w:ascii="Calibri;sans-serif" w:hAnsi="Calibri;sans-serif"/>
          <w:b w:val="false"/>
          <w:color w:val="000000"/>
          <w:sz w:val="22"/>
        </w:rPr>
      </w:pPr>
      <w:r>
        <w:rPr>
          <w:rFonts w:ascii="Calibri;sans-serif" w:hAnsi="Calibri;sans-serif"/>
          <w:b w:val="false"/>
          <w:color w:val="000000"/>
          <w:sz w:val="22"/>
        </w:rPr>
        <w:t xml:space="preserve">Bevis continued, “For the full year, we delivered approximately $12 million in free cash flow, which is an increase of more than $21 million year-over-year. Notably, we were able to achieve improved operating income and fairly flat </w:t>
      </w:r>
    </w:p>
    <w:p>
      <w:pPr>
        <w:pStyle w:val="TextBody"/>
        <w:bidi w:val="0"/>
        <w:spacing w:before="0" w:after="20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0815"/>
                <wp:effectExtent l="0" t="0" r="0" b="0"/>
                <wp:wrapNone/>
                <wp:docPr id="7" name="Frame4"/>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w:t>
                      </w:r>
                    </w:p>
                  </w:txbxContent>
                </v:textbox>
                <w10:wrap type="none"/>
              </v:rect>
            </w:pict>
          </mc:Fallback>
        </mc:AlternateContent>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268" w:before="0" w:after="0"/>
        <w:jc w:val="both"/>
        <w:rPr>
          <w:rFonts w:ascii="Calibri;sans-serif" w:hAnsi="Calibri;sans-serif"/>
          <w:b w:val="false"/>
          <w:color w:val="000000"/>
          <w:sz w:val="22"/>
        </w:rPr>
      </w:pPr>
      <w:r>
        <w:rPr>
          <w:rFonts w:ascii="Calibri;sans-serif" w:hAnsi="Calibri;sans-serif"/>
          <w:b w:val="false"/>
          <w:color w:val="000000"/>
          <w:sz w:val="22"/>
        </w:rPr>
        <w:t>adjusted EBITDA with a strong second half performance with the new game plan. Specific to the fourth quarter, we were also pleased with our big new business award performance. We are already in development and ramp up mode on many of these awards and are making technical advancements in many areas. This momentum has carried right into 2024, as our financial results showed step-change improvement in the second half of the year. We remain focused on both leveraging our core capabilities and adding to our leadership edge to win new business across our diverse portfolio and believe we can add between $55 million to $70 million of new business wins this year.”</w:t>
      </w:r>
    </w:p>
    <w:p>
      <w:pPr>
        <w:pStyle w:val="TextBody"/>
        <w:bidi w:val="0"/>
        <w:spacing w:before="0" w:after="0"/>
        <w:jc w:val="left"/>
        <w:rPr/>
      </w:pPr>
      <w:r>
        <w:rPr/>
      </w:r>
    </w:p>
    <w:p>
      <w:pPr>
        <w:pStyle w:val="TextBody"/>
        <w:bidi w:val="0"/>
        <w:spacing w:lineRule="auto" w:line="268" w:before="0" w:after="0"/>
        <w:jc w:val="both"/>
        <w:rPr/>
      </w:pPr>
      <w:r>
        <w:rPr>
          <w:rFonts w:ascii="Calibri;sans-serif" w:hAnsi="Calibri;sans-serif"/>
          <w:b w:val="false"/>
          <w:color w:val="000000"/>
          <w:sz w:val="22"/>
        </w:rPr>
        <w:t xml:space="preserve">Bevis concluded, “Our organization-wide commitment to our transformation into a profitable, growing company is working and gaining momentum, and we are expecting 2024 to continue </w:t>
      </w:r>
      <w:r>
        <w:rPr>
          <w:rFonts w:ascii="Calibri;sans-serif" w:hAnsi="Calibri;sans-serif"/>
          <w:b w:val="false"/>
          <w:color w:val="000000"/>
          <w:sz w:val="24"/>
          <w:shd w:fill="FFFFFF" w:val="clear"/>
        </w:rPr>
        <w:t xml:space="preserve">to demonstrate progress reflected by improved results on new business wins, profitability, free cash flow, and customer service. </w:t>
      </w:r>
      <w:r>
        <w:rPr>
          <w:rFonts w:ascii="Calibri;sans-serif" w:hAnsi="Calibri;sans-serif"/>
          <w:b w:val="false"/>
          <w:color w:val="000000"/>
          <w:sz w:val="22"/>
        </w:rPr>
        <w:t>Our capital efficient model and low-risk strategy to structurally improve our operations will prove critical in lowering risk for our company. These efforts will ultimately help optimize our balance sheet. While we are encouraged by the early success across our transformation efforts, our improvements are just beginning. We remain committed to advancing and expanding our progress as we move forward. Our decisive actions are taking hold and I would like to thank all our NN team globally, whose dedication and hard work are driving our transformation.”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60"/>
        <w:jc w:val="left"/>
        <w:rPr/>
      </w:pPr>
      <w:r>
        <w:rPr/>
      </w: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Fourth Quarter GAAP Results</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Net sales were $112.5 million, a decrease of 4.6% from the fourth quarter of 2022, which was primarily due to reduced volume, partially offset by higher customer pricing and favorable foreign exchange effects.</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Loss from operations was $7.9 million compared to a loss from operations of $11.0 million in the fourth quarter of 2022. The decrease in loss from operations was primarily driven by facility closures and labor cost savings.</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 xml:space="preserve">Income from operations for Power Solutions was $2.8 million compared to loss from operations of $0.8 million for the same period in 2022. Loss from operations for Mobile Solutions was $5.7 million compared to loss from operations of $5.4 million for the same period in 2022. </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Net loss was $20.5 million compared to net loss of $12.0 million for the same period in 2022. The increase in net loss is primarily due to warrant valuation due to stock price increase as well as increased interest expense.</w:t>
      </w:r>
    </w:p>
    <w:p>
      <w:pPr>
        <w:pStyle w:val="TextBody"/>
        <w:bidi w:val="0"/>
        <w:spacing w:lineRule="auto" w:line="300" w:before="200" w:after="200"/>
        <w:jc w:val="left"/>
        <w:rPr>
          <w:rFonts w:ascii="Calibri;sans-serif" w:hAnsi="Calibri;sans-serif"/>
          <w:b/>
          <w:color w:val="000000"/>
          <w:sz w:val="22"/>
          <w:u w:val="single"/>
        </w:rPr>
      </w:pPr>
      <w:r>
        <w:rPr>
          <w:rFonts w:ascii="Calibri;sans-serif" w:hAnsi="Calibri;sans-serif"/>
          <w:b/>
          <w:color w:val="000000"/>
          <w:sz w:val="22"/>
          <w:u w:val="single"/>
        </w:rPr>
        <w:t>Fourth Quarter Adjusted Results</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 xml:space="preserve">Adjusted loss from operations for the fourth quarter of 2023 was $1.4 million compared to adjusted loss from operations of $3.3 million for the same period in 2022. Adjusted EBITDA was $10.0 million, or 8.9% of sales, compared to $7.8 million, or 6.6% of sales, for the same period in 2022. Adjusted net loss was $4.9 million, or $0.10 per diluted share, compared to adjusted net loss of $5.8 million, or $0.12 per diluted share, for the same period in 2022. </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 xml:space="preserve">Free cash flow was a generation of cash of $1.3 million compared to a generation of cash of $6.4 million for the same period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jc w:val="left"/>
        <w:rPr/>
      </w:pPr>
      <w:r>
        <w:rPr>
          <w:rFonts w:ascii="Calibri;sans-serif" w:hAnsi="Calibri;sans-serif"/>
          <w:b/>
          <w:color w:val="000000"/>
          <w:sz w:val="22"/>
          <w:u w:val="single"/>
        </w:rPr>
        <w:t>Power Solutions</w:t>
      </w:r>
      <w:r>
        <w:rPr>
          <w:color w:val="000000"/>
        </w:rPr>
        <w:t xml:space="preserve"> </w:t>
      </w:r>
      <w:r>
        <w:rPr>
          <w:rFonts w:ascii="Calibri;sans-serif" w:hAnsi="Calibri;sans-serif"/>
          <w:b/>
          <w:color w:val="000000"/>
          <w:sz w:val="22"/>
        </w:rPr>
        <w:br/>
      </w:r>
      <w:r>
        <w:rPr>
          <w:rFonts w:ascii="Calibri;sans-serif" w:hAnsi="Calibri;sans-serif"/>
          <w:b w:val="false"/>
          <w:color w:val="000000"/>
          <w:sz w:val="22"/>
          <w:shd w:fill="FFFFFF" w:val="clear"/>
        </w:rPr>
        <w:t xml:space="preserve">Net sales for the fourth quarter of </w:t>
      </w:r>
      <w:r>
        <w:rPr>
          <w:rFonts w:ascii="Calibri;sans-serif" w:hAnsi="Calibri;sans-serif"/>
          <w:b w:val="false"/>
          <w:color w:val="000000"/>
          <w:sz w:val="22"/>
        </w:rPr>
        <w:t>2023</w:t>
      </w:r>
      <w:r>
        <w:rPr>
          <w:color w:val="000000"/>
          <w:shd w:fill="FFFFFF" w:val="clear"/>
        </w:rPr>
        <w:t xml:space="preserve"> </w:t>
      </w:r>
      <w:r>
        <w:rPr>
          <w:rFonts w:ascii="Calibri;sans-serif" w:hAnsi="Calibri;sans-serif"/>
          <w:b w:val="false"/>
          <w:color w:val="000000"/>
          <w:sz w:val="22"/>
          <w:shd w:fill="FFFFFF" w:val="clear"/>
        </w:rPr>
        <w:t>w</w:t>
      </w:r>
      <w:r>
        <w:rPr>
          <w:rFonts w:ascii="Calibri;sans-serif" w:hAnsi="Calibri;sans-serif"/>
          <w:b w:val="false"/>
          <w:color w:val="000000"/>
          <w:sz w:val="22"/>
        </w:rPr>
        <w:t>ere $43.3 million compared to $50.0 million in the fourth quarter of 2022, a decrease of 13.4% or $6.7 million. The decrease in sales was primarily due to lower volume with certain customers. Adjusted income from operations was $5.8 million compared to adjusted income from operations of $4.5 million in the fourth quarter of 2022. The increase in adjusted income from operations was primarily due to cost savings associated with facility closures and labor, partially offset by lower volume.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Mobile Solutions</w:t>
      </w:r>
    </w:p>
    <w:p>
      <w:pPr>
        <w:pStyle w:val="TextBody"/>
        <w:bidi w:val="0"/>
        <w:spacing w:lineRule="auto" w:line="300" w:before="0" w:after="200"/>
        <w:jc w:val="left"/>
        <w:rPr/>
      </w:pPr>
      <w:r>
        <w:rPr>
          <w:rFonts w:ascii="Calibri;sans-serif" w:hAnsi="Calibri;sans-serif"/>
          <w:b w:val="false"/>
          <w:color w:val="000000"/>
          <w:sz w:val="22"/>
        </w:rPr>
        <w:t>Net sales for the fourth quarter</w:t>
      </w:r>
      <w:r>
        <w:rPr>
          <w:color w:val="000000"/>
          <w:shd w:fill="FFFFFF" w:val="clear"/>
        </w:rPr>
        <w:t xml:space="preserve"> </w:t>
      </w:r>
      <w:r>
        <w:rPr>
          <w:rFonts w:ascii="Calibri;sans-serif" w:hAnsi="Calibri;sans-serif"/>
          <w:b w:val="false"/>
          <w:color w:val="000000"/>
          <w:sz w:val="22"/>
          <w:shd w:fill="FFFFFF" w:val="clear"/>
        </w:rPr>
        <w:t xml:space="preserve">of </w:t>
      </w:r>
      <w:r>
        <w:rPr>
          <w:rFonts w:ascii="Calibri;sans-serif" w:hAnsi="Calibri;sans-serif"/>
          <w:b w:val="false"/>
          <w:color w:val="000000"/>
          <w:sz w:val="22"/>
        </w:rPr>
        <w:t>2023</w:t>
      </w:r>
      <w:r>
        <w:rPr>
          <w:color w:val="000000"/>
          <w:shd w:fill="FFFFFF" w:val="clear"/>
        </w:rPr>
        <w:t xml:space="preserve"> </w:t>
      </w:r>
      <w:r>
        <w:rPr>
          <w:rFonts w:ascii="Calibri;sans-serif" w:hAnsi="Calibri;sans-serif"/>
          <w:b w:val="false"/>
          <w:color w:val="000000"/>
          <w:sz w:val="22"/>
          <w:shd w:fill="FFFFFF" w:val="clear"/>
        </w:rPr>
        <w:t xml:space="preserve">were </w:t>
      </w:r>
      <w:r>
        <w:rPr>
          <w:rFonts w:ascii="Calibri;sans-serif" w:hAnsi="Calibri;sans-serif"/>
          <w:b w:val="false"/>
          <w:color w:val="000000"/>
          <w:sz w:val="22"/>
        </w:rPr>
        <w:t>$69.2 million</w:t>
      </w:r>
      <w:r>
        <w:rPr>
          <w:color w:val="000000"/>
          <w:shd w:fill="FFFFFF" w:val="clear"/>
        </w:rPr>
        <w:t xml:space="preserve"> </w:t>
      </w:r>
      <w:r>
        <w:rPr>
          <w:rFonts w:ascii="Calibri;sans-serif" w:hAnsi="Calibri;sans-serif"/>
          <w:b w:val="false"/>
          <w:color w:val="000000"/>
          <w:sz w:val="22"/>
          <w:shd w:fill="FFFFFF" w:val="clear"/>
        </w:rPr>
        <w:t>comp</w:t>
      </w:r>
      <w:r>
        <w:rPr>
          <w:rFonts w:ascii="Calibri;sans-serif" w:hAnsi="Calibri;sans-serif"/>
          <w:b w:val="false"/>
          <w:color w:val="000000"/>
          <w:sz w:val="22"/>
        </w:rPr>
        <w:t>ared to $68.0 million in the fourth quarter of 2022, an increase of 1.8% or $1.2 million. The increase</w:t>
      </w:r>
      <w:r>
        <w:rPr>
          <w:color w:val="000000"/>
        </w:rPr>
        <w:t xml:space="preserve"> </w:t>
      </w:r>
      <w:r>
        <w:rPr>
          <w:rFonts w:ascii="Calibri;sans-serif" w:hAnsi="Calibri;sans-serif"/>
          <w:b w:val="false"/>
          <w:color w:val="000000"/>
          <w:sz w:val="22"/>
        </w:rPr>
        <w:t>in sales was due to pricing and favorable foreign exchange, partially offset by lower volume. Adjusted loss from operations was $2.3 million compared to adjusted loss from operations of $3.7 million in the fourth quarter of 2022. The decrease in adjusted loss from operations was due to cost savings and operational improvements, partially offset by lower volume and foreign exchange</w:t>
      </w:r>
      <w:r>
        <w:rPr>
          <w:rFonts w:ascii="Calibri;sans-serif" w:hAnsi="Calibri;sans-serif"/>
          <w:b w:val="false"/>
          <w:color w:val="000000"/>
          <w:sz w:val="22"/>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0815"/>
                <wp:effectExtent l="0" t="0" r="0" b="0"/>
                <wp:wrapNone/>
                <wp:docPr id="8" name="Frame5"/>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2</w:t>
                      </w:r>
                    </w:p>
                  </w:txbxContent>
                </v:textbox>
                <w10:wrap type="none"/>
              </v:rect>
            </w:pict>
          </mc:Fallback>
        </mc:AlternateContent>
      </w:r>
    </w:p>
    <w:p>
      <w:pPr>
        <w:pStyle w:val="TextBody"/>
        <w:bidi w:val="0"/>
        <w:spacing w:lineRule="auto" w:line="300" w:before="200" w:after="60"/>
        <w:jc w:val="left"/>
        <w:rPr>
          <w:rFonts w:ascii="Calibri;sans-serif" w:hAnsi="Calibri;sans-serif"/>
          <w:b/>
          <w:color w:val="000000"/>
          <w:sz w:val="22"/>
          <w:u w:val="single"/>
        </w:rPr>
      </w:pPr>
      <w:r>
        <w:rPr>
          <w:rFonts w:ascii="Calibri;sans-serif" w:hAnsi="Calibri;sans-serif"/>
          <w:b/>
          <w:color w:val="000000"/>
          <w:sz w:val="22"/>
          <w:u w:val="single"/>
        </w:rPr>
        <w:t>Full Year Results</w:t>
      </w:r>
    </w:p>
    <w:p>
      <w:pPr>
        <w:pStyle w:val="TextBody"/>
        <w:bidi w:val="0"/>
        <w:spacing w:lineRule="auto" w:line="268" w:before="0" w:after="200"/>
        <w:jc w:val="left"/>
        <w:rPr>
          <w:rFonts w:ascii="Calibri;sans-serif" w:hAnsi="Calibri;sans-serif"/>
          <w:b w:val="false"/>
          <w:color w:val="000000"/>
          <w:sz w:val="22"/>
        </w:rPr>
      </w:pPr>
      <w:r>
        <w:rPr>
          <w:rFonts w:ascii="Calibri;sans-serif" w:hAnsi="Calibri;sans-serif"/>
          <w:b w:val="false"/>
          <w:color w:val="000000"/>
          <w:sz w:val="22"/>
        </w:rPr>
        <w:t xml:space="preserve">Net sales decreased $9.5 million, or 1.9%, to $489.3 million compared to $498.7 million for 2022, primarily due to reduced volume, including the impact from the closure of the Taunton and Irvine facilities, lower customer settlements, and unfavorable foreign exchange, partially offset by pricing. </w:t>
      </w:r>
    </w:p>
    <w:p>
      <w:pPr>
        <w:pStyle w:val="TextBody"/>
        <w:bidi w:val="0"/>
        <w:spacing w:lineRule="auto" w:line="268" w:before="0" w:after="200"/>
        <w:jc w:val="left"/>
        <w:rPr>
          <w:rFonts w:ascii="Calibri;sans-serif" w:hAnsi="Calibri;sans-serif"/>
          <w:b w:val="false"/>
          <w:color w:val="000000"/>
          <w:sz w:val="22"/>
        </w:rPr>
      </w:pPr>
      <w:r>
        <w:rPr>
          <w:rFonts w:ascii="Calibri;sans-serif" w:hAnsi="Calibri;sans-serif"/>
          <w:b w:val="false"/>
          <w:color w:val="000000"/>
          <w:sz w:val="22"/>
        </w:rPr>
        <w:t>GAAP operating loss increased to $21.8 million compared to $21.1 million in 2022. Income from operations for 2023 in Power Solutions was $11.1 million and loss from operations for Mobile Solutions was $11.7 million.</w:t>
      </w:r>
    </w:p>
    <w:p>
      <w:pPr>
        <w:pStyle w:val="TextBody"/>
        <w:bidi w:val="0"/>
        <w:spacing w:lineRule="auto" w:line="300" w:before="0" w:after="60"/>
        <w:jc w:val="left"/>
        <w:rPr/>
      </w:pPr>
      <w:r>
        <w:rPr>
          <w:rFonts w:ascii="Calibri;sans-serif" w:hAnsi="Calibri;sans-serif"/>
          <w:b w:val="false"/>
          <w:color w:val="000000"/>
          <w:sz w:val="22"/>
        </w:rPr>
        <w:t>On an adjusted basis, income from operations for 2023 was $3.1 million compared to adjusted income from operations of $1.9 million in 2022. Adjusted EBITDA for 2023 was $43.1 million, or 8.8% of sales, versus $43.9 million, or 8.8% of sales, for the same period in 2022. Free cash flow was a generation of $11.7 million</w:t>
      </w:r>
      <w:r>
        <w:rPr>
          <w:color w:val="000000"/>
          <w:shd w:fill="FFFFFF" w:val="clear"/>
        </w:rPr>
        <w:t xml:space="preserve"> </w:t>
      </w:r>
      <w:r>
        <w:rPr>
          <w:rFonts w:ascii="Calibri;sans-serif" w:hAnsi="Calibri;sans-serif"/>
          <w:b w:val="false"/>
          <w:color w:val="000000"/>
          <w:sz w:val="22"/>
          <w:shd w:fill="FFFFFF" w:val="clear"/>
        </w:rPr>
        <w:t xml:space="preserve">compared to a use of cash of </w:t>
      </w:r>
      <w:r>
        <w:rPr>
          <w:rFonts w:ascii="Calibri;sans-serif" w:hAnsi="Calibri;sans-serif"/>
          <w:b w:val="false"/>
          <w:color w:val="000000"/>
          <w:sz w:val="22"/>
        </w:rPr>
        <w:t>$9.8 million</w:t>
      </w:r>
      <w:r>
        <w:rPr>
          <w:color w:val="000000"/>
          <w:shd w:fill="FFFFFF" w:val="clear"/>
        </w:rPr>
        <w:t xml:space="preserve"> </w:t>
      </w:r>
      <w:r>
        <w:rPr>
          <w:rFonts w:ascii="Calibri;sans-serif" w:hAnsi="Calibri;sans-serif"/>
          <w:b w:val="false"/>
          <w:color w:val="000000"/>
          <w:sz w:val="22"/>
          <w:shd w:fill="FFFFFF" w:val="clear"/>
        </w:rPr>
        <w:t xml:space="preserve">in </w:t>
      </w:r>
      <w:r>
        <w:rPr>
          <w:rFonts w:ascii="Calibri;sans-serif" w:hAnsi="Calibri;sans-serif"/>
          <w:b w:val="false"/>
          <w:color w:val="000000"/>
          <w:sz w:val="22"/>
        </w:rPr>
        <w:t>2022</w:t>
      </w:r>
      <w:r>
        <w:rPr>
          <w:rFonts w:ascii="Calibri;sans-serif" w:hAnsi="Calibri;sans-serif"/>
          <w:b w:val="false"/>
          <w:color w:val="000000"/>
          <w:sz w:val="22"/>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pPr>
      <w:r>
        <w:rPr>
          <w:rFonts w:ascii="Calibri;sans-serif" w:hAnsi="Calibri;sans-serif"/>
          <w:b/>
          <w:color w:val="000000"/>
          <w:sz w:val="22"/>
          <w:u w:val="single"/>
        </w:rPr>
        <w:t>Power Solutions</w:t>
      </w:r>
      <w:r>
        <w:rPr>
          <w:color w:val="000000"/>
        </w:rPr>
        <w:t xml:space="preserve"> </w:t>
      </w:r>
    </w:p>
    <w:p>
      <w:pPr>
        <w:pStyle w:val="TextBody"/>
        <w:bidi w:val="0"/>
        <w:spacing w:lineRule="auto" w:line="300" w:before="0" w:after="200"/>
        <w:jc w:val="left"/>
        <w:rPr/>
      </w:pPr>
      <w:r>
        <w:rPr>
          <w:rFonts w:ascii="Calibri;sans-serif" w:hAnsi="Calibri;sans-serif"/>
          <w:b w:val="false"/>
          <w:color w:val="000000"/>
          <w:sz w:val="22"/>
        </w:rPr>
        <w:t>Net sales for 2023 were $185.9 million compared to $205.2 million in 2022, a decrease of 9.4% or $19.3 million. The decrease in sales was primarily due to lower volumes, including the impact from the closure of the Taunton and Irvine facilities, partially offset by pricing. Adjusted income from operations for 2023 was $23.9 million compared to $20.1 million in 2022. The increase in</w:t>
      </w:r>
      <w:r>
        <w:rPr>
          <w:color w:val="000000"/>
          <w:shd w:fill="FFFFFF" w:val="clear"/>
        </w:rPr>
        <w:t xml:space="preserve"> </w:t>
      </w:r>
      <w:r>
        <w:rPr>
          <w:rFonts w:ascii="Calibri;sans-serif" w:hAnsi="Calibri;sans-serif"/>
          <w:b w:val="false"/>
          <w:color w:val="000000"/>
          <w:sz w:val="22"/>
          <w:shd w:fill="FFFFFF" w:val="clear"/>
        </w:rPr>
        <w:t xml:space="preserve">adjusted operating income was primarily due </w:t>
      </w:r>
      <w:r>
        <w:rPr>
          <w:rFonts w:ascii="Calibri;sans-serif" w:hAnsi="Calibri;sans-serif"/>
          <w:b w:val="false"/>
          <w:color w:val="000000"/>
          <w:sz w:val="22"/>
        </w:rPr>
        <w:t xml:space="preserve">to facility closure savings and a legal settlement reached during the first quarter of 2022, partially offset by lower volume.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rFonts w:ascii="Calibri;sans-serif" w:hAnsi="Calibri;sans-serif"/>
          <w:b/>
          <w:color w:val="000000"/>
          <w:sz w:val="22"/>
          <w:u w:val="single"/>
        </w:rPr>
      </w:pPr>
      <w:r>
        <w:rPr>
          <w:rFonts w:ascii="Calibri;sans-serif" w:hAnsi="Calibri;sans-serif"/>
          <w:b/>
          <w:color w:val="000000"/>
          <w:sz w:val="22"/>
          <w:u w:val="single"/>
        </w:rPr>
        <w:t>Mobile Solutions</w:t>
      </w:r>
    </w:p>
    <w:p>
      <w:pPr>
        <w:pStyle w:val="TextBody"/>
        <w:bidi w:val="0"/>
        <w:spacing w:lineRule="auto" w:line="300" w:before="0" w:after="200"/>
        <w:jc w:val="left"/>
        <w:rPr/>
      </w:pPr>
      <w:r>
        <w:rPr>
          <w:rFonts w:ascii="Calibri;sans-serif" w:hAnsi="Calibri;sans-serif"/>
          <w:b w:val="false"/>
          <w:color w:val="000000"/>
          <w:sz w:val="22"/>
        </w:rPr>
        <w:t>Net sales for 2023 were $303.3 million compared to $293.5 million in 2022, an increase of 3.3% or $9.8 million. The increase in sales was primarily due to higher customer pricing, partially offset by lower volume, and lower customer settlements. Adjusted loss from operations for 2023 was $1.3 million compared to $2.7 million of adjusted operating income in 2022</w:t>
      </w:r>
      <w:r>
        <w:rPr>
          <w:rFonts w:ascii="Calibri;sans-serif" w:hAnsi="Calibri;sans-serif"/>
          <w:b w:val="false"/>
          <w:color w:val="000000"/>
          <w:sz w:val="22"/>
          <w:shd w:fill="FFFFFF" w:val="clear"/>
        </w:rPr>
        <w:t xml:space="preserve">. Adjusted operating income decreased </w:t>
      </w:r>
      <w:r>
        <w:rPr>
          <w:rFonts w:ascii="Calibri;sans-serif" w:hAnsi="Calibri;sans-serif"/>
          <w:b w:val="false"/>
          <w:color w:val="000000"/>
          <w:sz w:val="22"/>
        </w:rPr>
        <w:t xml:space="preserve">due to lower sales volume, lower customer settlements and unfavorable foreign exchange effects, partially offset by cost savings and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rFonts w:ascii="Calibri;sans-serif" w:hAnsi="Calibri;sans-serif"/>
          <w:b/>
          <w:color w:val="000000"/>
          <w:sz w:val="22"/>
          <w:u w:val="single"/>
          <w:shd w:fill="FFFFFF" w:val="clear"/>
        </w:rPr>
      </w:pPr>
      <w:r>
        <w:rPr>
          <w:rFonts w:ascii="Calibri;sans-serif" w:hAnsi="Calibri;sans-serif"/>
          <w:b/>
          <w:color w:val="000000"/>
          <w:sz w:val="22"/>
          <w:u w:val="single"/>
          <w:shd w:fill="FFFFFF" w:val="clear"/>
        </w:rPr>
        <w:t>2024 Outlook</w:t>
      </w:r>
    </w:p>
    <w:p>
      <w:pPr>
        <w:pStyle w:val="TextBody"/>
        <w:bidi w:val="0"/>
        <w:spacing w:lineRule="auto" w:line="268" w:before="0" w:after="0"/>
        <w:jc w:val="left"/>
        <w:rPr>
          <w:rFonts w:ascii="Calibri;sans-serif" w:hAnsi="Calibri;sans-serif"/>
          <w:b w:val="false"/>
          <w:color w:val="000000"/>
          <w:sz w:val="22"/>
          <w:shd w:fill="FFFFFF" w:val="clear"/>
        </w:rPr>
      </w:pPr>
      <w:r>
        <w:rPr>
          <w:rFonts w:ascii="Calibri;sans-serif" w:hAnsi="Calibri;sans-serif"/>
          <w:b w:val="false"/>
          <w:color w:val="000000"/>
          <w:sz w:val="22"/>
          <w:shd w:fill="FFFFFF" w:val="clear"/>
        </w:rPr>
        <w:t xml:space="preserve">Assuming a steady end-market demand outlook with the exception of the North America commercial vehicle market, the Company has provided a ranged outlook for the full year 2024 as follows: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Revenue in the range of $485 million to $510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Adjusted EBITDA in the range of $47 million to $55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Free cash flow in the range of $10 million to $15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New business wins in the range of $55 million to $70 million; and</w:t>
      </w:r>
    </w:p>
    <w:p>
      <w:pPr>
        <w:pStyle w:val="TextBody"/>
        <w:bidi w:val="0"/>
        <w:spacing w:lineRule="auto" w:line="300" w:before="0" w:after="200"/>
        <w:ind w:left="0" w:right="0" w:hanging="360"/>
        <w:jc w:val="left"/>
        <w:rPr/>
      </w:pPr>
      <w:r>
        <w:rPr>
          <w:color w:val="000000"/>
        </w:rPr>
        <w:t>◦</w:t>
      </w:r>
      <w:r>
        <w:rPr>
          <w:rFonts w:ascii="Calibri;sans-serif" w:hAnsi="Calibri;sans-serif"/>
          <w:b w:val="false"/>
          <w:color w:val="000000"/>
          <w:sz w:val="22"/>
        </w:rPr>
        <w:t>Net leverage below 3.0x.</w:t>
      </w:r>
    </w:p>
    <w:p>
      <w:pPr>
        <w:pStyle w:val="TextBody"/>
        <w:bidi w:val="0"/>
        <w:spacing w:lineRule="auto" w:line="300" w:before="0" w:after="0"/>
        <w:jc w:val="both"/>
        <w:rPr>
          <w:rFonts w:ascii="Calibri;sans-serif" w:hAnsi="Calibri;sans-serif"/>
          <w:b w:val="false"/>
          <w:color w:val="000000"/>
          <w:sz w:val="22"/>
          <w:shd w:fill="FFFFFF" w:val="clear"/>
        </w:rPr>
      </w:pPr>
      <w:r>
        <w:rPr>
          <w:rFonts w:ascii="Calibri;sans-serif" w:hAnsi="Calibri;sans-serif"/>
          <w:b w:val="false"/>
          <w:color w:val="000000"/>
          <w:sz w:val="22"/>
          <w:shd w:fill="FFFFFF" w:val="clear"/>
        </w:rPr>
        <w:t>Michael Felcher, Senior Vice President and Chief Financial Officer, commented, “Our transformation strategy is working, and our 2024 Outlook reflects improved profitability and consistent free cash flow generation in a stable and consistent demand environment. We are also focused on improving our leverage and other actions to position us to be ready to refinance in a favorable market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0815"/>
                <wp:effectExtent l="0" t="0" r="0" b="0"/>
                <wp:wrapNone/>
                <wp:docPr id="9" name="Frame6"/>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3</w:t>
                      </w:r>
                    </w:p>
                  </w:txbxContent>
                </v:textbox>
                <w10:wrap type="none"/>
              </v:rect>
            </w:pict>
          </mc:Fallback>
        </mc:AlternateContent>
      </w:r>
    </w:p>
    <w:p>
      <w:pPr>
        <w:pStyle w:val="TextBody"/>
        <w:bidi w:val="0"/>
        <w:spacing w:lineRule="auto" w:line="300" w:before="200" w:after="60"/>
        <w:jc w:val="left"/>
        <w:rPr>
          <w:rFonts w:ascii="Calibri;sans-serif" w:hAnsi="Calibri;sans-serif"/>
          <w:b/>
          <w:color w:val="000000"/>
          <w:sz w:val="22"/>
          <w:u w:val="single"/>
        </w:rPr>
      </w:pPr>
      <w:r>
        <w:rPr>
          <w:rFonts w:ascii="Calibri;sans-serif" w:hAnsi="Calibri;sans-serif"/>
          <w:b/>
          <w:color w:val="000000"/>
          <w:sz w:val="22"/>
          <w:u w:val="single"/>
        </w:rPr>
        <w:t>Conference Call</w:t>
      </w:r>
    </w:p>
    <w:p>
      <w:pPr>
        <w:pStyle w:val="TextBody"/>
        <w:bidi w:val="0"/>
        <w:spacing w:lineRule="auto" w:line="300" w:before="0" w:after="200"/>
        <w:jc w:val="both"/>
        <w:rPr/>
      </w:pPr>
      <w:r>
        <w:rPr>
          <w:rFonts w:ascii="Calibri;sans-serif" w:hAnsi="Calibri;sans-serif"/>
          <w:b w:val="false"/>
          <w:color w:val="000000"/>
          <w:sz w:val="22"/>
        </w:rPr>
        <w:t xml:space="preserve">NN will discuss its results during its quarterly investor conference call on March 12, 2024, at 9:00 a.m. ET. The call and supplemental presentation may be accessed via NN's website, www.nninc.com. The conference call can also be accessed by dialing </w:t>
      </w:r>
      <w:r>
        <w:rPr>
          <w:rFonts w:ascii="Calibri;sans-serif" w:hAnsi="Calibri;sans-serif"/>
          <w:b w:val="false"/>
          <w:color w:val="000000"/>
          <w:sz w:val="22"/>
          <w:shd w:fill="FFFFFF" w:val="clear"/>
        </w:rPr>
        <w:t>1-877-255-4315 or 1-412-317-6579.</w:t>
      </w:r>
      <w:r>
        <w:rPr>
          <w:color w:val="000000"/>
        </w:rPr>
        <w:t xml:space="preserve"> </w:t>
      </w:r>
      <w:r>
        <w:rPr>
          <w:rFonts w:ascii="Calibri;sans-serif" w:hAnsi="Calibri;sans-serif"/>
          <w:b w:val="false"/>
          <w:color w:val="000000"/>
          <w:sz w:val="22"/>
        </w:rPr>
        <w:t>For those who are unavailable to listen to the live broadcast, a replay will be available shortly after the call until March 12, 2025.</w:t>
      </w:r>
    </w:p>
    <w:p>
      <w:pPr>
        <w:pStyle w:val="TextBody"/>
        <w:bidi w:val="0"/>
        <w:spacing w:lineRule="auto" w:line="300" w:before="0" w:after="200"/>
        <w:jc w:val="both"/>
        <w:rPr>
          <w:rFonts w:ascii="Calibri;sans-serif" w:hAnsi="Calibri;sans-serif"/>
          <w:b w:val="false"/>
          <w:color w:val="000000"/>
          <w:sz w:val="22"/>
        </w:rPr>
      </w:pPr>
      <w:r>
        <w:rPr>
          <w:rFonts w:ascii="Calibri;sans-serif" w:hAnsi="Calibri;sans-serif"/>
          <w:b w:val="false"/>
          <w:color w:val="000000"/>
          <w:sz w:val="22"/>
        </w:rPr>
        <w:t xml:space="preserve">NN 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w:t>
      </w:r>
    </w:p>
    <w:p>
      <w:pPr>
        <w:pStyle w:val="TextBody"/>
        <w:bidi w:val="0"/>
        <w:spacing w:lineRule="auto" w:line="300" w:before="0" w:after="200"/>
        <w:jc w:val="both"/>
        <w:rPr>
          <w:rFonts w:ascii="Calibri;sans-serif" w:hAnsi="Calibri;sans-serif"/>
          <w:b w:val="false"/>
          <w:color w:val="000000"/>
          <w:sz w:val="22"/>
        </w:rPr>
      </w:pPr>
      <w:r>
        <w:rPr>
          <w:rFonts w:ascii="Calibri;sans-serif" w:hAnsi="Calibri;sans-serif"/>
          <w:b w:val="false"/>
          <w:color w:val="000000"/>
          <w:sz w:val="22"/>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pStyle w:val="TextBody"/>
        <w:bidi w:val="0"/>
        <w:spacing w:lineRule="auto" w:line="300" w:before="200" w:after="60"/>
        <w:jc w:val="left"/>
        <w:rPr/>
      </w:pPr>
      <w:r>
        <w:rPr>
          <w:rFonts w:ascii="Calibri;sans-serif" w:hAnsi="Calibri;sans-serif"/>
          <w:b/>
          <w:color w:val="000000"/>
          <w:sz w:val="22"/>
          <w:u w:val="single"/>
        </w:rPr>
        <w:t>About NN, Inc</w:t>
      </w:r>
      <w:r>
        <w:rPr>
          <w:rFonts w:ascii="Calibri;sans-serif" w:hAnsi="Calibri;sans-serif"/>
          <w:b/>
          <w:color w:val="000000"/>
          <w:sz w:val="22"/>
        </w:rPr>
        <w:t>.</w:t>
      </w:r>
    </w:p>
    <w:p>
      <w:pPr>
        <w:pStyle w:val="TextBody"/>
        <w:bidi w:val="0"/>
        <w:spacing w:lineRule="auto" w:line="300" w:before="0" w:after="200"/>
        <w:jc w:val="both"/>
        <w:rPr>
          <w:rFonts w:ascii="Calibri;sans-serif" w:hAnsi="Calibri;sans-serif"/>
          <w:b w:val="false"/>
          <w:color w:val="000000"/>
          <w:sz w:val="22"/>
        </w:rPr>
      </w:pPr>
      <w:r>
        <w:rPr>
          <w:rFonts w:ascii="Calibri;sans-serif" w:hAnsi="Calibri;sans-serif"/>
          <w:b w:val="false"/>
          <w:color w:val="000000"/>
          <w:sz w:val="22"/>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www.nninc.com.</w:t>
      </w:r>
    </w:p>
    <w:p>
      <w:pPr>
        <w:pStyle w:val="TextBody"/>
        <w:bidi w:val="0"/>
        <w:spacing w:lineRule="auto" w:line="268" w:before="0" w:after="0"/>
        <w:jc w:val="both"/>
        <w:rPr>
          <w:rFonts w:ascii="Calibri;sans-serif" w:hAnsi="Calibri;sans-serif"/>
          <w:b w:val="false"/>
          <w:i/>
          <w:color w:val="000000"/>
          <w:sz w:val="16"/>
        </w:rPr>
      </w:pPr>
      <w:r>
        <w:rPr>
          <w:rFonts w:ascii="Calibri;sans-serif" w:hAnsi="Calibri;sans-serif"/>
          <w:b w:val="false"/>
          <w:i/>
          <w:color w:val="000000"/>
          <w:sz w:val="16"/>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i/>
          <w:color w:val="000000"/>
          <w:sz w:val="16"/>
        </w:rPr>
      </w:pPr>
      <w:r>
        <w:rPr>
          <w:rFonts w:ascii="Calibri;sans-serif" w:hAnsi="Calibri;sans-serif"/>
          <w:b w:val="false"/>
          <w:i/>
          <w:color w:val="000000"/>
          <w:sz w:val="16"/>
        </w:rPr>
        <w:t>With respect to any non-GAAP financial measures included in the following document, the accompanying information required by SEC Regulation G can be found in the back of this document or in the “Investors” section of the Company’s web site, www.nninc.com, under the heading “News &amp; Events” and subheading “Presentations.”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2"/>
        </w:rPr>
      </w:pPr>
      <w:r>
        <w:rPr>
          <w:rFonts w:ascii="Calibri;sans-serif" w:hAnsi="Calibri;sans-serif"/>
          <w:b/>
          <w:color w:val="000000"/>
          <w:sz w:val="22"/>
        </w:rPr>
        <w:t xml:space="preserve">Investor &amp; Media Contacts: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Joe Caminiti or Stephen Poe, Investors</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Tim Peters, Media</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NNBR@alpha-ir.com</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312-445-2870</w: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val="false"/>
          <w:i/>
          <w:color w:val="000000"/>
          <w:sz w:val="22"/>
        </w:rPr>
      </w:pPr>
      <w:r>
        <w:rPr>
          <w:rFonts w:ascii="Calibri;sans-serif" w:hAnsi="Calibri;sans-serif"/>
          <w:b w:val="false"/>
          <w:i/>
          <w:color w:val="000000"/>
          <w:sz w:val="22"/>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0815"/>
                <wp:effectExtent l="0" t="0" r="0" b="0"/>
                <wp:wrapNone/>
                <wp:docPr id="10" name="Frame7"/>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4</w:t>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(Loss) </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10"/>
        <w:gridCol w:w="1387"/>
        <w:gridCol w:w="13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1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421,105 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 and share of net income from joint venture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net income from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included in net loss,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calculate basic and diluted net loss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0815"/>
                <wp:effectExtent l="0" t="0" r="0" b="0"/>
                <wp:wrapNone/>
                <wp:docPr id="11" name="Frame8"/>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5</w:t>
                      </w:r>
                    </w:p>
                  </w:txbxContent>
                </v:textbox>
                <w10:wrap type="none"/>
              </v:rect>
            </w:pict>
          </mc:Fallback>
        </mc:AlternateContent>
      </w:r>
    </w:p>
    <w:p>
      <w:pPr>
        <w:pStyle w:val="TextBody"/>
        <w:bidi w:val="0"/>
        <w:spacing w:lineRule="auto" w:line="300" w:before="0" w:after="4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tbl>
      <w:tblPr>
        <w:tblW w:w="7433" w:type="dxa"/>
        <w:jc w:val="left"/>
        <w:tblInd w:w="0" w:type="dxa"/>
        <w:tblLayout w:type="fixed"/>
        <w:tblCellMar>
          <w:top w:w="28" w:type="dxa"/>
          <w:left w:w="28" w:type="dxa"/>
          <w:bottom w:w="28" w:type="dxa"/>
          <w:right w:w="28" w:type="dxa"/>
        </w:tblCellMar>
      </w:tblPr>
      <w:tblGrid>
        <w:gridCol w:w="1725"/>
        <w:gridCol w:w="1517"/>
        <w:gridCol w:w="1527"/>
        <w:gridCol w:w="211"/>
        <w:gridCol w:w="826"/>
        <w:gridCol w:w="109"/>
        <w:gridCol w:w="109"/>
        <w:gridCol w:w="109"/>
        <w:gridCol w:w="109"/>
        <w:gridCol w:w="211"/>
        <w:gridCol w:w="82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80,682 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182,554 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191,700 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joint venture</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31,802 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Preferred Stock, and Stockholders’ Equity</w:t>
            </w:r>
          </w:p>
        </w:tc>
        <w:tc>
          <w:tcPr>
            <w:tcW w:w="114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45,871 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 and 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81,619 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78,806 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149,389 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perpetual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457,632 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468,143 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preferred stock, and stockholders’ equity</w:t>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510,885 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546,127 </w:t>
            </w:r>
          </w:p>
        </w:tc>
        <w:tc>
          <w:tcPr>
            <w:tcW w:w="15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0815"/>
                <wp:effectExtent l="0" t="0" r="0" b="0"/>
                <wp:wrapNone/>
                <wp:docPr id="12" name="Frame9"/>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6</w:t>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39" w:type="dxa"/>
        <w:jc w:val="left"/>
        <w:tblInd w:w="0" w:type="dxa"/>
        <w:tblLayout w:type="fixed"/>
        <w:tblCellMar>
          <w:top w:w="28" w:type="dxa"/>
          <w:left w:w="28" w:type="dxa"/>
          <w:bottom w:w="28" w:type="dxa"/>
          <w:right w:w="28" w:type="dxa"/>
        </w:tblCellMar>
      </w:tblPr>
      <w:tblGrid>
        <w:gridCol w:w="2329"/>
        <w:gridCol w:w="2048"/>
        <w:gridCol w:w="2058"/>
        <w:gridCol w:w="211"/>
        <w:gridCol w:w="796"/>
        <w:gridCol w:w="109"/>
        <w:gridCol w:w="109"/>
        <w:gridCol w:w="109"/>
        <w:gridCol w:w="109"/>
        <w:gridCol w:w="211"/>
        <w:gridCol w:w="796"/>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w:t>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loss (gain), net of cash settlements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net income from joint venture, net of cash dividends received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 and payable,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flows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0815"/>
                <wp:effectExtent l="0" t="0" r="0" b="0"/>
                <wp:wrapNone/>
                <wp:docPr id="13" name="Frame10"/>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Income (Loss) from Operations to Non-GAAP Adjusted Income (Loss) from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52" w:type="dxa"/>
        <w:jc w:val="left"/>
        <w:tblInd w:w="0" w:type="dxa"/>
        <w:tblLayout w:type="fixed"/>
        <w:tblCellMar>
          <w:top w:w="28" w:type="dxa"/>
          <w:left w:w="28" w:type="dxa"/>
          <w:bottom w:w="28" w:type="dxa"/>
          <w:right w:w="28" w:type="dxa"/>
        </w:tblCellMar>
      </w:tblPr>
      <w:tblGrid>
        <w:gridCol w:w="1221"/>
        <w:gridCol w:w="1076"/>
        <w:gridCol w:w="1078"/>
        <w:gridCol w:w="205"/>
        <w:gridCol w:w="771"/>
        <w:gridCol w:w="268"/>
        <w:gridCol w:w="114"/>
        <w:gridCol w:w="114"/>
        <w:gridCol w:w="114"/>
        <w:gridCol w:w="205"/>
        <w:gridCol w:w="771"/>
        <w:gridCol w:w="315"/>
      </w:tblGrid>
      <w:tr>
        <w:trPr/>
        <w:tc>
          <w:tcPr>
            <w:tcW w:w="122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87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NN, Inc. Consolidated</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7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20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(7,943)</w:t>
            </w:r>
          </w:p>
        </w:tc>
        <w:tc>
          <w:tcPr>
            <w:tcW w:w="26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w:t>
            </w:r>
          </w:p>
        </w:tc>
        <w:tc>
          <w:tcPr>
            <w:tcW w:w="31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7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315"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7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5,067 </w:t>
            </w:r>
          </w:p>
        </w:tc>
        <w:tc>
          <w:tcPr>
            <w:tcW w:w="31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loss from operations (a)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7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20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112,533 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118,012 </w:t>
            </w:r>
          </w:p>
        </w:tc>
        <w:tc>
          <w:tcPr>
            <w:tcW w:w="31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476" w:type="dxa"/>
        <w:jc w:val="left"/>
        <w:tblInd w:w="0" w:type="dxa"/>
        <w:tblLayout w:type="fixed"/>
        <w:tblCellMar>
          <w:top w:w="28" w:type="dxa"/>
          <w:left w:w="28" w:type="dxa"/>
          <w:bottom w:w="28" w:type="dxa"/>
          <w:right w:w="28" w:type="dxa"/>
        </w:tblCellMar>
      </w:tblPr>
      <w:tblGrid>
        <w:gridCol w:w="1302"/>
        <w:gridCol w:w="1148"/>
        <w:gridCol w:w="1150"/>
        <w:gridCol w:w="219"/>
        <w:gridCol w:w="724"/>
        <w:gridCol w:w="287"/>
        <w:gridCol w:w="122"/>
        <w:gridCol w:w="122"/>
        <w:gridCol w:w="122"/>
        <w:gridCol w:w="219"/>
        <w:gridCol w:w="724"/>
        <w:gridCol w:w="337"/>
      </w:tblGrid>
      <w:tr>
        <w:trPr/>
        <w:tc>
          <w:tcPr>
            <w:tcW w:w="13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876"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Solutions</w:t>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21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33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94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337"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4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33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from operations (a)</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21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43,330 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50,020 </w:t>
            </w:r>
          </w:p>
        </w:tc>
        <w:tc>
          <w:tcPr>
            <w:tcW w:w="33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40" w:type="dxa"/>
        <w:jc w:val="left"/>
        <w:tblInd w:w="0" w:type="dxa"/>
        <w:tblLayout w:type="fixed"/>
        <w:tblCellMar>
          <w:top w:w="28" w:type="dxa"/>
          <w:left w:w="28" w:type="dxa"/>
          <w:bottom w:w="28" w:type="dxa"/>
          <w:right w:w="28" w:type="dxa"/>
        </w:tblCellMar>
      </w:tblPr>
      <w:tblGrid>
        <w:gridCol w:w="1689"/>
        <w:gridCol w:w="1487"/>
        <w:gridCol w:w="1488"/>
        <w:gridCol w:w="219"/>
        <w:gridCol w:w="724"/>
        <w:gridCol w:w="287"/>
        <w:gridCol w:w="122"/>
        <w:gridCol w:w="122"/>
        <w:gridCol w:w="122"/>
        <w:gridCol w:w="219"/>
        <w:gridCol w:w="724"/>
        <w:gridCol w:w="337"/>
      </w:tblGrid>
      <w:tr>
        <w:trPr/>
        <w:tc>
          <w:tcPr>
            <w:tcW w:w="168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87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Mobile Solutions</w:t>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(5,686)</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loss from operations (a)</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net income from joint venture</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with JV (a)</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4152" w:type="dxa"/>
        <w:jc w:val="left"/>
        <w:tblInd w:w="0" w:type="dxa"/>
        <w:tblLayout w:type="fixed"/>
        <w:tblCellMar>
          <w:top w:w="28" w:type="dxa"/>
          <w:left w:w="28" w:type="dxa"/>
          <w:bottom w:w="28" w:type="dxa"/>
          <w:right w:w="28" w:type="dxa"/>
        </w:tblCellMar>
      </w:tblPr>
      <w:tblGrid>
        <w:gridCol w:w="461"/>
        <w:gridCol w:w="406"/>
        <w:gridCol w:w="407"/>
        <w:gridCol w:w="331"/>
        <w:gridCol w:w="686"/>
        <w:gridCol w:w="184"/>
        <w:gridCol w:w="184"/>
        <w:gridCol w:w="184"/>
        <w:gridCol w:w="184"/>
        <w:gridCol w:w="331"/>
        <w:gridCol w:w="534"/>
        <w:gridCol w:w="26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878"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27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33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(1)Personnel costs include recruitment, retention, relocation, and severance costs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(2)Facility costs include costs of opening / closing facilities and relocation / exit of manufacturing operations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(3)Non-GAAP adjusted operating margin = Non-GAAP adjusted income (loss) from operations / GAAP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0815"/>
                <wp:effectExtent l="0" t="0" r="0" b="0"/>
                <wp:wrapNone/>
                <wp:docPr id="14" name="Frame11"/>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Income (Loss) from Operations to Non-GAAP Adjusted Income (Loss)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88" w:type="dxa"/>
        <w:jc w:val="left"/>
        <w:tblInd w:w="0" w:type="dxa"/>
        <w:tblLayout w:type="fixed"/>
        <w:tblCellMar>
          <w:top w:w="28" w:type="dxa"/>
          <w:left w:w="28" w:type="dxa"/>
          <w:bottom w:w="28" w:type="dxa"/>
          <w:right w:w="28" w:type="dxa"/>
        </w:tblCellMar>
      </w:tblPr>
      <w:tblGrid>
        <w:gridCol w:w="1302"/>
        <w:gridCol w:w="1148"/>
        <w:gridCol w:w="1150"/>
        <w:gridCol w:w="196"/>
        <w:gridCol w:w="556"/>
        <w:gridCol w:w="256"/>
        <w:gridCol w:w="109"/>
        <w:gridCol w:w="109"/>
        <w:gridCol w:w="109"/>
        <w:gridCol w:w="196"/>
        <w:gridCol w:w="556"/>
        <w:gridCol w:w="301"/>
      </w:tblGrid>
      <w:tr>
        <w:trPr/>
        <w:tc>
          <w:tcPr>
            <w:tcW w:w="13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38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NN, Inc. Consolidated</w:t>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75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(21,804)</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(21,092)</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 settlement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15,827 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 (Goodwill and fixed assets)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from operations (a)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489,270 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498,738 </w:t>
            </w:r>
          </w:p>
        </w:tc>
        <w:tc>
          <w:tcPr>
            <w:tcW w:w="30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68" w:type="dxa"/>
        <w:jc w:val="left"/>
        <w:tblInd w:w="0" w:type="dxa"/>
        <w:tblLayout w:type="fixed"/>
        <w:tblCellMar>
          <w:top w:w="28" w:type="dxa"/>
          <w:left w:w="28" w:type="dxa"/>
          <w:bottom w:w="28" w:type="dxa"/>
          <w:right w:w="28" w:type="dxa"/>
        </w:tblCellMar>
      </w:tblPr>
      <w:tblGrid>
        <w:gridCol w:w="1301"/>
        <w:gridCol w:w="1148"/>
        <w:gridCol w:w="1151"/>
        <w:gridCol w:w="196"/>
        <w:gridCol w:w="646"/>
        <w:gridCol w:w="256"/>
        <w:gridCol w:w="109"/>
        <w:gridCol w:w="109"/>
        <w:gridCol w:w="109"/>
        <w:gridCol w:w="196"/>
        <w:gridCol w:w="646"/>
        <w:gridCol w:w="301"/>
      </w:tblGrid>
      <w:tr>
        <w:trPr/>
        <w:tc>
          <w:tcPr>
            <w:tcW w:w="130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568"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Power Solutions</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from operations</w:t>
            </w:r>
          </w:p>
        </w:tc>
        <w:tc>
          <w:tcPr>
            <w:tcW w:w="84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 settlement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from operations (a)</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23,919 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20,058 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6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5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301" w:type="dxa"/>
            <w:tcBorders/>
            <w:shd w:fill="BFE4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78" w:type="dxa"/>
        <w:jc w:val="left"/>
        <w:tblInd w:w="0" w:type="dxa"/>
        <w:tblLayout w:type="fixed"/>
        <w:tblCellMar>
          <w:top w:w="28" w:type="dxa"/>
          <w:left w:w="28" w:type="dxa"/>
          <w:bottom w:w="28" w:type="dxa"/>
          <w:right w:w="28" w:type="dxa"/>
        </w:tblCellMar>
      </w:tblPr>
      <w:tblGrid>
        <w:gridCol w:w="1526"/>
        <w:gridCol w:w="1344"/>
        <w:gridCol w:w="1345"/>
        <w:gridCol w:w="196"/>
        <w:gridCol w:w="631"/>
        <w:gridCol w:w="256"/>
        <w:gridCol w:w="109"/>
        <w:gridCol w:w="109"/>
        <w:gridCol w:w="109"/>
        <w:gridCol w:w="196"/>
        <w:gridCol w:w="556"/>
        <w:gridCol w:w="301"/>
      </w:tblGrid>
      <w:tr>
        <w:trPr/>
        <w:tc>
          <w:tcPr>
            <w:tcW w:w="152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4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Mobile Solutions</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82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5,529 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 (Goodwill and fixed assets)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30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net income from joint venture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from operations with JV (a)</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9,301 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1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BFE4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430" w:type="dxa"/>
        <w:jc w:val="left"/>
        <w:tblInd w:w="0" w:type="dxa"/>
        <w:tblLayout w:type="fixed"/>
        <w:tblCellMar>
          <w:top w:w="28" w:type="dxa"/>
          <w:left w:w="28" w:type="dxa"/>
          <w:bottom w:w="28" w:type="dxa"/>
          <w:right w:w="28" w:type="dxa"/>
        </w:tblCellMar>
      </w:tblPr>
      <w:tblGrid>
        <w:gridCol w:w="461"/>
        <w:gridCol w:w="406"/>
        <w:gridCol w:w="407"/>
        <w:gridCol w:w="229"/>
        <w:gridCol w:w="229"/>
        <w:gridCol w:w="229"/>
        <w:gridCol w:w="229"/>
        <w:gridCol w:w="229"/>
        <w:gridCol w:w="229"/>
        <w:gridCol w:w="229"/>
        <w:gridCol w:w="229"/>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156"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Elimination</w:t>
            </w:r>
          </w:p>
        </w:tc>
        <w:tc>
          <w:tcPr>
            <w:tcW w:w="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27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458"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2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(1)Personnel costs include recruitment, retention, relocation, and severance costs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(2)Facility costs include costs of opening / closing facilities and relocation / exit of manufacturing operations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(3)Non-GAAP adjusted operating margin = Non-GAAP adjusted income (loss) from operations / GAAP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0815"/>
                <wp:effectExtent l="0" t="0" r="0" b="0"/>
                <wp:wrapNone/>
                <wp:docPr id="15" name="Frame12"/>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9</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Reconciliation of GAAP Net Income (Loss) to Non-GAAP Adjusted EBITDA</w:t>
      </w:r>
    </w:p>
    <w:tbl>
      <w:tblPr>
        <w:tblW w:w="7855" w:type="dxa"/>
        <w:jc w:val="center"/>
        <w:tblInd w:w="0" w:type="dxa"/>
        <w:tblLayout w:type="fixed"/>
        <w:tblCellMar>
          <w:top w:w="28" w:type="dxa"/>
          <w:left w:w="28" w:type="dxa"/>
          <w:bottom w:w="28" w:type="dxa"/>
          <w:right w:w="28" w:type="dxa"/>
        </w:tblCellMar>
      </w:tblPr>
      <w:tblGrid>
        <w:gridCol w:w="1752"/>
        <w:gridCol w:w="1543"/>
        <w:gridCol w:w="1548"/>
        <w:gridCol w:w="214"/>
        <w:gridCol w:w="808"/>
        <w:gridCol w:w="281"/>
        <w:gridCol w:w="119"/>
        <w:gridCol w:w="119"/>
        <w:gridCol w:w="119"/>
        <w:gridCol w:w="214"/>
        <w:gridCol w:w="808"/>
        <w:gridCol w:w="330"/>
      </w:tblGrid>
      <w:tr>
        <w:trPr/>
        <w:tc>
          <w:tcPr>
            <w:tcW w:w="175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4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loss</w:t>
            </w:r>
          </w:p>
        </w:tc>
        <w:tc>
          <w:tcPr>
            <w:tcW w:w="21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(20,541)</w:t>
            </w:r>
          </w:p>
        </w:tc>
        <w:tc>
          <w:tcPr>
            <w:tcW w:w="28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(12,014)</w:t>
            </w:r>
          </w:p>
        </w:tc>
        <w:tc>
          <w:tcPr>
            <w:tcW w:w="33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30"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stock derivatives and warrants</w:t>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9,172 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330"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330"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330"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foreign exchange loss on inter-company loans</w:t>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33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(b)</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margin (3)</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112,533 </w:t>
            </w:r>
          </w:p>
        </w:tc>
        <w:tc>
          <w:tcPr>
            <w:tcW w:w="2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118,012 </w:t>
            </w:r>
          </w:p>
        </w:tc>
        <w:tc>
          <w:tcPr>
            <w:tcW w:w="33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85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Personnel costs include recruitment, retention, relocation, and severance costs</w:t>
            </w:r>
          </w:p>
        </w:tc>
      </w:tr>
      <w:tr>
        <w:trPr/>
        <w:tc>
          <w:tcPr>
            <w:tcW w:w="7855" w:type="dxa"/>
            <w:gridSpan w:val="12"/>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 Facility costs include costs of opening / closing facilities and relocation / exit of manufacturing operations</w:t>
            </w:r>
          </w:p>
        </w:tc>
      </w:tr>
      <w:tr>
        <w:trPr/>
        <w:tc>
          <w:tcPr>
            <w:tcW w:w="7855" w:type="dxa"/>
            <w:gridSpan w:val="12"/>
            <w:tcBorders/>
            <w:tcMar>
              <w:top w:w="0" w:type="dxa"/>
              <w:left w:w="0" w:type="dxa"/>
              <w:bottom w:w="0" w:type="dxa"/>
              <w:right w:w="0" w:type="dxa"/>
            </w:tcMar>
            <w:vAlign w:val="center"/>
          </w:tcPr>
          <w:p>
            <w:pPr>
              <w:pStyle w:val="TableContents"/>
              <w:bidi w:val="0"/>
              <w:spacing w:lineRule="auto" w:line="288" w:before="14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 Non-GAAP adjusted EBITDA margin = Non-GAAP adjusted EBITDA / GAAP net sales</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54" w:type="dxa"/>
        <w:jc w:val="center"/>
        <w:tblInd w:w="0" w:type="dxa"/>
        <w:tblLayout w:type="fixed"/>
        <w:tblCellMar>
          <w:top w:w="28" w:type="dxa"/>
          <w:left w:w="28" w:type="dxa"/>
          <w:bottom w:w="28" w:type="dxa"/>
          <w:right w:w="28" w:type="dxa"/>
        </w:tblCellMar>
      </w:tblPr>
      <w:tblGrid>
        <w:gridCol w:w="1790"/>
        <w:gridCol w:w="1576"/>
        <w:gridCol w:w="1582"/>
        <w:gridCol w:w="209"/>
        <w:gridCol w:w="772"/>
        <w:gridCol w:w="274"/>
        <w:gridCol w:w="116"/>
        <w:gridCol w:w="116"/>
        <w:gridCol w:w="116"/>
        <w:gridCol w:w="209"/>
        <w:gridCol w:w="772"/>
        <w:gridCol w:w="322"/>
      </w:tblGrid>
      <w:tr>
        <w:trPr/>
        <w:tc>
          <w:tcPr>
            <w:tcW w:w="179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loss</w:t>
            </w:r>
          </w:p>
        </w:tc>
        <w:tc>
          <w:tcPr>
            <w:tcW w:w="20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(50,150)</w:t>
            </w:r>
          </w:p>
        </w:tc>
        <w:tc>
          <w:tcPr>
            <w:tcW w:w="27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(26,098)</w:t>
            </w:r>
          </w:p>
        </w:tc>
        <w:tc>
          <w:tcPr>
            <w:tcW w:w="32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948"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stock derivatives and warrants</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46,120 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 settlement costs</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 compensation</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4,378 </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foreign exchange (gain) loss on inter-company loans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948"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948"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and goodwill impairments</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(b)</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43,886 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margin (3)</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48"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489,270 </w:t>
            </w:r>
          </w:p>
        </w:tc>
        <w:tc>
          <w:tcPr>
            <w:tcW w:w="2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498,738 </w:t>
            </w:r>
          </w:p>
        </w:tc>
        <w:tc>
          <w:tcPr>
            <w:tcW w:w="32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Personnel costs include recruitment, retention, relocation, and severance costs</w:t>
            </w:r>
          </w:p>
        </w:tc>
      </w:tr>
      <w:tr>
        <w:trPr/>
        <w:tc>
          <w:tcPr>
            <w:tcW w:w="785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Facility costs include costs of opening / closing facilities and relocation / exit of manufacturing operations</w:t>
            </w:r>
          </w:p>
        </w:tc>
      </w:tr>
      <w:tr>
        <w:trPr/>
        <w:tc>
          <w:tcPr>
            <w:tcW w:w="7854" w:type="dxa"/>
            <w:gridSpan w:val="12"/>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 Non-GAAP adjusted EBITDA margin = Non-GAAP adjusted EBITDA / GAAP net sales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0815"/>
                <wp:effectExtent l="0" t="0" r="0" b="0"/>
                <wp:wrapNone/>
                <wp:docPr id="16" name="Frame13"/>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10</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Reconciliation of GAAP Net Income (Loss) to Non-GAAP Adjusted Net Income and GAAP Net Income (Loss) per Diluted Common Share to Non-GAAP Adjusted Net Income (Loss) per Diluted Common Share</w:t>
      </w:r>
    </w:p>
    <w:tbl>
      <w:tblPr>
        <w:tblW w:w="8007" w:type="dxa"/>
        <w:jc w:val="center"/>
        <w:tblInd w:w="0" w:type="dxa"/>
        <w:tblLayout w:type="fixed"/>
        <w:tblCellMar>
          <w:top w:w="28" w:type="dxa"/>
          <w:left w:w="28" w:type="dxa"/>
          <w:bottom w:w="28" w:type="dxa"/>
          <w:right w:w="28" w:type="dxa"/>
        </w:tblCellMar>
      </w:tblPr>
      <w:tblGrid>
        <w:gridCol w:w="1855"/>
        <w:gridCol w:w="1636"/>
        <w:gridCol w:w="1639"/>
        <w:gridCol w:w="232"/>
        <w:gridCol w:w="857"/>
        <w:gridCol w:w="129"/>
        <w:gridCol w:w="129"/>
        <w:gridCol w:w="129"/>
        <w:gridCol w:w="129"/>
        <w:gridCol w:w="232"/>
        <w:gridCol w:w="857"/>
        <w:gridCol w:w="183"/>
      </w:tblGrid>
      <w:tr>
        <w:trPr/>
        <w:tc>
          <w:tcPr>
            <w:tcW w:w="185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loss</w:t>
            </w:r>
          </w:p>
        </w:tc>
        <w:tc>
          <w:tcPr>
            <w:tcW w:w="23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(20,541)</w:t>
            </w:r>
          </w:p>
        </w:tc>
        <w:tc>
          <w:tcPr>
            <w:tcW w:w="12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(12,014)</w:t>
            </w:r>
          </w:p>
        </w:tc>
        <w:tc>
          <w:tcPr>
            <w:tcW w:w="18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professional fees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personnel costs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facility costs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foreign exchange loss on inter-company loans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change in fair value of preferred stock derivatives and warrants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9,172 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amortization of intangibles and deferred financing costs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adjustments reflected above (c)</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discrete tax adjustments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net income (loss) (d)</w:t>
            </w:r>
          </w:p>
        </w:tc>
        <w:tc>
          <w:tcPr>
            <w:tcW w:w="23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(4,872)</w:t>
            </w:r>
          </w:p>
        </w:tc>
        <w:tc>
          <w:tcPr>
            <w:tcW w:w="12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w:t>
            </w:r>
          </w:p>
        </w:tc>
        <w:tc>
          <w:tcPr>
            <w:tcW w:w="18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(per diluted common share)</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loss per diluted common share</w:t>
            </w:r>
          </w:p>
        </w:tc>
        <w:tc>
          <w:tcPr>
            <w:tcW w:w="23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12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8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professional fees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personnel costs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facility costs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foreign exchange (gain) loss on inter-company loans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change in fair value of preferred stock derivatives and warrants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amortization of intangibles and deferred financing costs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adjustments reflected above (c)</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discrete tax adjustments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cumulative dividends and deemed dividends</w:t>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83"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net income (loss) per diluted common share (d)</w:t>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r>
      <w:tr>
        <w:trPr/>
        <w:tc>
          <w:tcPr>
            <w:tcW w:w="51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to calculate net earnings (loss) per share</w:t>
            </w:r>
          </w:p>
        </w:tc>
        <w:tc>
          <w:tcPr>
            <w:tcW w:w="1089"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47,709 </w:t>
            </w:r>
          </w:p>
        </w:tc>
        <w:tc>
          <w:tcPr>
            <w:tcW w:w="129"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44,708 </w:t>
            </w:r>
          </w:p>
        </w:tc>
        <w:tc>
          <w:tcPr>
            <w:tcW w:w="183"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0815"/>
                <wp:effectExtent l="0" t="0" r="0" b="0"/>
                <wp:wrapNone/>
                <wp:docPr id="17" name="Frame14"/>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11</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Reconciliation of GAAP Net Income (Loss) to Non-GAAP Adjusted Net Income and GAAP Net Income (Loss) per Diluted Common Share to Non-GAAP Adjusted Net Income (Loss) per Diluted Common Share</w:t>
      </w:r>
    </w:p>
    <w:tbl>
      <w:tblPr>
        <w:tblW w:w="7553" w:type="dxa"/>
        <w:jc w:val="center"/>
        <w:tblInd w:w="0" w:type="dxa"/>
        <w:tblLayout w:type="fixed"/>
        <w:tblCellMar>
          <w:top w:w="28" w:type="dxa"/>
          <w:left w:w="28" w:type="dxa"/>
          <w:bottom w:w="28" w:type="dxa"/>
          <w:right w:w="28" w:type="dxa"/>
        </w:tblCellMar>
      </w:tblPr>
      <w:tblGrid>
        <w:gridCol w:w="1855"/>
        <w:gridCol w:w="1634"/>
        <w:gridCol w:w="1640"/>
        <w:gridCol w:w="196"/>
        <w:gridCol w:w="721"/>
        <w:gridCol w:w="109"/>
        <w:gridCol w:w="109"/>
        <w:gridCol w:w="109"/>
        <w:gridCol w:w="109"/>
        <w:gridCol w:w="196"/>
        <w:gridCol w:w="721"/>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(50,150)</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(26,098)</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foreign exchange (gain) loss on inter-company loans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litigation / settlement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professional fees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personnel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facility costs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change in fair value of preferred stock derivatives and warrants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amortization of intangibles and deferred financing costs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impairments of fixed asset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adjustments reflected above (c)</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discrete tax adjustments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net income (loss) (d)</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(13,728)</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(per diluted common share)</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per diluted common share</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foreign exchange (gain) loss on inter-company loans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litigation / settlement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professional fees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personnel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facility costs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change in fair value of preferred stock derivatives and warrants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amortization of intangibles and deferred financing costs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adjustments reflected above (c)</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discrete tax adjustments</w:t>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cumulative dividends and deemed dividends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net income (loss) per diluted common share (d)</w:t>
            </w:r>
          </w:p>
        </w:tc>
        <w:tc>
          <w:tcPr>
            <w:tcW w:w="102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0815"/>
                <wp:effectExtent l="0" t="0" r="0" b="0"/>
                <wp:wrapNone/>
                <wp:docPr id="18" name="Frame15"/>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Reconciliation of Operating Cash Flow to Free Cash Flow</w:t>
      </w:r>
    </w:p>
    <w:tbl>
      <w:tblPr>
        <w:tblW w:w="8595" w:type="dxa"/>
        <w:jc w:val="center"/>
        <w:tblInd w:w="0" w:type="dxa"/>
        <w:tblLayout w:type="fixed"/>
        <w:tblCellMar>
          <w:top w:w="28" w:type="dxa"/>
          <w:left w:w="28" w:type="dxa"/>
          <w:bottom w:w="28" w:type="dxa"/>
          <w:right w:w="28" w:type="dxa"/>
        </w:tblCellMar>
      </w:tblPr>
      <w:tblGrid>
        <w:gridCol w:w="1400"/>
        <w:gridCol w:w="1233"/>
        <w:gridCol w:w="1237"/>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31"/>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Year Ended </w:t>
              <w:br/>
              <w:t>December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10,388 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0815"/>
                <wp:effectExtent l="0" t="0" r="0" b="0"/>
                <wp:wrapNone/>
                <wp:docPr id="19" name="Frame16"/>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13</w:t>
                      </w:r>
                    </w:p>
                  </w:txbxContent>
                </v:textbox>
                <w10:wrap type="none"/>
              </v:rect>
            </w:pict>
          </mc:Fallback>
        </mc:AlternateConten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(a) 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(b) 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(c) 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 xml:space="preserve">(d) 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w:t>
      </w:r>
    </w:p>
    <w:p>
      <w:pPr>
        <w:pStyle w:val="TextBody"/>
        <w:bidi w:val="0"/>
        <w:spacing w:before="0" w:after="0"/>
        <w:jc w:val="center"/>
        <w:rPr/>
      </w:pPr>
      <w:bookmarkStart w:id="0" w:name="nnearningspresentation20.htm"/>
      <w:bookmarkStart w:id="1" w:name="ksnnearningspresentation20"/>
      <w:bookmarkEnd w:id="0"/>
      <w:bookmarkEnd w:id="1"/>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0815"/>
                <wp:effectExtent l="0" t="0" r="0" b="0"/>
                <wp:wrapNone/>
                <wp:docPr id="21" name="Frame17"/>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14</w:t>
                      </w:r>
                    </w:p>
                  </w:txbxContent>
                </v:textbox>
                <w10:wrap type="none"/>
              </v:rect>
            </w:pict>
          </mc:Fallback>
        </mc:AlternateContent>
      </w:r>
    </w:p>
    <w:p>
      <w:pPr>
        <w:pStyle w:val="TextBody"/>
        <w:bidi w:val="0"/>
        <w:jc w:val="center"/>
        <w:rPr>
          <w:color w:val="FFFFFF"/>
          <w:sz w:val="2"/>
        </w:rPr>
      </w:pPr>
      <w:r>
        <w:rPr>
          <w:color w:val="FFFFFF"/>
          <w:sz w:val="2"/>
        </w:rPr>
        <w:t xml:space="preserve">Q4 &amp; FY’23 Earnings Presentation NN Inc. | March 12,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2 Forward Looking Statement &amp; Disclosures 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 With respect to any non-GAAP financial measures included in the following presentation, the accompanying information required by SEC Regulation G can be found at the back of this presentation or in the “Investors” section of the Company’s web site, www.nninc.com, under the heading “News &amp; Events” and subheading “Presentations.”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3 Results As Expected, Carrying Momentum Into 2024 Launched business transformation in May 2023; early results have been accomplished largely with existing team. • Initiated culture change: (1) increased accountability to outcomes, (2) more aggressive new business agenda, and (3) bluntly addressed underperforming areas • More strategic about spending money and investing capital Made immediate improvement in EBITDA and free cash flow (FCF) generation during full-year 2023; top line sales improvements will take more time. Significantly increased dollar amount of new awards. • Attacked the ~$100 million of unprofitable business in the portfolio • Committed to free cash flow generation and debt paydown Initiated several mid-term/longer actions to more substantially grow sales, EBITDA, and free cash flow. • Expanded growth program; kicked off 2 internal startups (connect &amp; protect and medical), and added new people and new advanced capabilities • Implemented global cost productivity program 2024 demand environment is steady to year-end 2023, improvement actions are underway. • 2024 results will gradually reflect transformation work along the way Net Sales Q4: $113M FY: $489M • Power Solutions* (9.4%) • Mobile Solutions* +3.3% Adjusted EBITDA Q4: $10M FY: $43M • FY’23 Loss from Ops ($21.8M) • FY'23 Adjusted Operating Income $3.1M Free Cash Flow Q4: $1M FY: $12M • $12.5M in 2H’23 • Delivered on key objectives prioritizing cash flows New Awards Q4: $26M FY: $63M • Step-change underway in commercial initiatives; leading to faster, larger new awards * Comparisons are FY’23 vs. FY’22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4 Status Goal Progress and 2024 Actions 1. Strengthen Leadership &amp; Accountability • Adding talent in sales, engineering, procurement, and manufacturing • Reducing headcount in underperforming areas • Bolstering operational processes and systems infrastructure • Strengthening teamwork and collaboration • Renewing focus on customer engagement, satisfaction, and growth 2. Fix Unprofitable Business Areas • Addressing unprofitable business strips • Utilizing open capacity to add new business at a faster pace • Cost-out and asset management improvements at plant level with established monthly and quarterly targets 3. Expand Margins • Global total cost productivity and procurement optimization programs are both just beginning • Margin expansion goals will be supported by achieving preferred supplier status with OEMs / improve operational performance 4. Deliver Consistent Annual Free Cash Flow • Significant FCF improvement in 2023, forecasting continued momentum in 2024 • Targeting similar levels of FCF in 2024, driven primarily by base business results, reinvestment rates, and high-cost capital structure • FCF continues to support further debt reduction and refinancing goals 5. Increase New Business Wins • Delivered record new business wins in 2023 and expect similar pace of wins in 2024 • Multiple initiatives in development and just beginning • Launching first-ever search engine optimization efforts for enhanced lead generation • Entering new and diverse markets; further upgrading our revenue mix ~30% Transformation On Track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2024 $0.6 $0.6 $1.3 $2.1 $2.7 $4.7 $5.4 $9.6 $11.2 $18.0 Equipment Ride Control Armature Shafts Battery Management Sensors/Cameras Fuel Systems Electric Motors Diesel Injection Electrical Steering 5 $63 Million of New Business Awards $41 $63 FY'22 FY'23 NBW Annual Peak Value (millions) Primary NBW Market Segments: 2023 Wins (millions) FY’23 New Business Awards: Driving Momentum • Acceleration of new business win (NBW) program brought strong results in 2H’23, delivering record performance in FY’23 • Over 60 program awards in steering systems, electric motors, commercial vehicles, passenger vehicles, air bag systems, battery management, defense, and vehicle sensors • Balanced approach across portfolio in desirable, diverse markets o New customer additions, strengthening retention with existing customers o 92% of FY’23 NBW in diversified business; only 8% ICE-specific o Automotive exposure is agnostic to powertrain (ICE, Hybrid, BEV) • Majority of new wins are in low-cost geographies that are close to NN’s end markets Growth Recap • Leveraging existing capabilities and open capacity for more wins o Stronger use of multi-functional teams o Growing sales team to expand commercial reach and breadth o Expanding medical market participation – NN Medical Over $580 million of new business in the current pipeline +54% Y/Y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2024 $0 $100 $200 $300 $400 $500 $600 $700 2023 2024 2025 2026 2027 2028 2029 2030 (m il li o n s) TOTAL ADDRESSABLE MARKET – GLOBAL SHIELDS FHEV PHEV BEV 6 New Market – Electrical Connectors and Shields Overt market entry into desirable new market • Prime market for NN’s expertise in high-precision engineered metal products, plating, and knowledge of electrical components • Deepening relationships with market’s largest connector and wire harness manufacturers for commercial &amp; passenger vehicles • Adding to company's material science, in-house prototyping, and machine accuracy Ability to become a market leader • Technical advancement, vertical integration, existing equipment and know-how, industry expertise, product quality, and low-cost sourcing • Knowledgeable leaders, cost structure, product offering, and global footprint allow NN to be immediately competitive 2023 program wins will immediately help 2024 • Using same approach to re-enter medical products market: add knowledgeable leaders, use existing capacity, add new targeted capacity, and enter the market directly with major customers when ready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7 Q4’23 Financial Results Were As Expected Sales Drivers • Volume: ~($7M) • Pricing: ~$5M • Taunton &amp; Irvine Closures: ~($3M) (Dollars in millions, except per share data) Q4’22 Q4’23 Δ Net Sales $118.0 $112.5 (4.6%) Operating Income (Loss) ($11.0) ($7.9) ($3.1) Adjusted Operating Income (Loss) ($3.3) ($1.4) $1.9 Adjusted EBITDA $7.8 $10.0 $2.2 Adjusted EBITDA Margin 6.6% 8.9% +2.3% Income (Loss) per Diluted Common Share ($0.33) ($0.50) ($0.17) Adjusted Income (Loss) per Diluted Common Share ($0.12) ($0.10) $0.02 Adj. EBITDA Drivers • Volume: ~($3M) • Cost Savings: ~$3M • Taunton &amp; Irvine Closures: ~$2M • Overhead Absorption: ~$1M • FX: ~($1M)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8 FY’23 Financial Results Were As Expected (Dollars in millions, except per share data) 2022 2023 Δ Net Sales $498.7 $489.3 (1.9%) Operating Income (Loss) ($21.1) ($21.8) ($0.7) Adjusted Operating Income (Loss) $1.9 $3.1 $1.2 Adjusted EBITDA $43.9 $43.1 ($0.8) Adjusted EBITDA Margin 8.8% 8.8% - Income (Loss) per Diluted Common Share ($0.83) ($1.35) ($0.52) Adjusted Income (Loss) per Diluted Common Share ($0.19) ($0.29) ($0.10) Sales Drivers • Volume: ~($32M) • Pricing: ~$31M • Taunton &amp; Irvine Closures: ~($6M) • Customer Settlements: ~($2M) • FX: ~($1M) Adj. EBITDA Drivers • Volume: ~($11M) • Taunton &amp; Irvine Closures: ~$8M • Cost / Performance: ~$5M • FX: ~($3M) • Customer Settlements: ~($2M) • Overhead Absorption: ~$2M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Mobile Solutions: Machined Products - Q4’23 Highlights 9 Q4 Sales up 1.8%, or $1.2 million, from prior year (+) Pricing (+) Foreign exchange effects (-) Volume Q4 Profitability (+) Improved product mix and operating performance within several facilities (+) Benefits of right-sizing indirect labor support Comments • 2023 new business wins in-line with the business plan • China wins were above plan and other regions gaining traction • Growth target and plans set for 2024 • Reinforcing the sales team, globally • Aggressive use of digital tools, including SEO for sales leads • Strong cost-down program in place • Operating performance improving in-line with business plan • Protecting cash flow through capital expenditure and working capital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Power Solutions: Stamped Products - Q4’23 Highlights 10 Q4 Sales down 13.4%, or $6.7 million, from prior year (-) Aerospace and defense sales decline due to Irvine, CA and Taunton, MA facility closures (-) General industrial market and commercial truck component sales decline due to broader market softness (-) Lower auto component sales driven by customer inventory management, and market share loss with one customer Q4 Profitability (+) Rationalized unprofitable businesses within Taunton, MA and Irvine, CA facilities and eliminated redundant fixed costs (+) Benefits of right-sizing indirect labor support (-) Volume Comments • Average daily sales increased sequentially in Q4, continuing to grow • Adding dedicated sales personnel to gain new awards • Advancing capabilities with push into connectors and shields • Managing free cash flow carefully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11 Balance Sheet Optimization Plan Strong Organizational Commitment • Implemented much tougher stance on balancing cash inflows with outflows, reducing leverage, and increasing liquidity o Showing strong early results o 3.20x leverage, down vs. 3.37x in Q3’23 • Plan to reduce leverage below 3.0x in 2024 while implementing stronger, focused growth program Free Cash Flow Focus to Support Balance Sheet Optimization and Positioning for Refinancing • 2023 free cash flow of $11.7M; committed to similar performance in 2024 • Footprint actions to lower debt, reduce cost of capital, and eliminate costs o Sale leaseback transaction and corporate footprint reduction • Capex of $4.2M in Q4’23 as expected • Free cash flow expected to be driven primarily by improved profitability, including improvements at underperforming facilities and continued cost out initiatives (Dollars in millions) 9/30/23 12/31/23 Short-term Debt $8.8 $6.0 Long-term Debt $150.7 $153.9 Funded Debt $159.5 $159.9 Cash $21.8 $21.9 Net Debt $137.7 $138.0 TTM Adjusted EBITDA $40.9 $43.1 Net Debt to Adjusted EBITDA 3.37x 3.20x $(4.1) $1.3 $11.7 $(5) $- $5 $10 $15 $20 Q1'23 Q2'23 Q3'23 Q4'23 Trailing 12 Month Free Cash Flow (millions) Step-change in FCF generation under transformation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2024 Outlook: Transformation Impacts Will Continue to Build • Net sales flat to low single digit % increase; inclusive of impact from shedding unprofitable business; not enough predecessor wins in 2022 and early 2023 • Adjusted EBITDA growth due to cost-out and fixing underperforming areas • Deliver positive free cash flow performance in FY’24 on improved EBITDA and margins o Will reinvest capex at $20 million rate • Upsized and continued aggressive growth program o Grow share with all open capacity – existing and new customers o Targeted growth in several new areas • Outlook assumes steady end-market demand with exception of NA commercial vehicle market declining vs 2023 • Business is currently on track with full year 2024 projections (millions) 2024 Outlook Net Sales $485 - $510 Adjusted EBITDA $47 - $55 Free Cash Flow $10 - $15 New Business Wins $55 - $70 Net Leverage &lt;3.0x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Appendix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14 Non-GAAP Financial Measures Footnotes The Company discloses in this presentation the non-GAAP financial measures of adjusted income (loss) from operations, adjusted EBITDA, adjusted net income (loss), adjusted net income (loss)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share, free cash flow and net debt provides useful information in assessing our underlying business trends and facilitates comparison of our long-term performance over given periods. 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 (a) Non-GAAP adjusted EBITDA represents GAAP income (loss) from operations,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Reconciliation of GAAP Income (Loss) from Operations to Non-GAAP Adjusted Income (Loss) from Operations and Non-GAAP Adjusted EBITDA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Reconciliation of GAAP Income (Loss) from Operations to Non-GAAP Adjusted Income (Loss) from Operations and Non-GAAP Adjusted EBITDA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Reconciliation of GAAP Net Income (Loss) to Non-GAAP Adjusted Net Income (Loss) and GAAP Net Income (Loss) per Diluted Common Share to Non-GAAP Adjusted Net Income (Loss) per Diluted Common Share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Reconciliation of GAAP Net Income (Loss) to Non-GAAP Adjusted Net Income (Loss) and GAAP Net Income (Loss) per Diluted Common Share to Non-GAAP Adjusted Net Income (Loss) per Diluted Common Share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Reconciliation of Operating Cash Flow to Free Cash Flow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Inc., Q4’23 and Full-Year Earnings Presentation | March 2024 Thank You 20 Joe Caminiti or Stephen Poe, Investors Tim Peters, Media NNBR@alpha-ir.com 312-445-2870 Investor &amp; Media Contacts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9033</Words>
  <Characters>51261</Characters>
  <CharactersWithSpaces>59675</CharactersWithSpaces>
  <Paragraphs>1144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nnearningspresentation20</dc:title>
</cp:coreProperties>
</file>