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3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840" w:right="2120" w:hanging="3787"/>
        <w:spacing w:after="0" w:line="532" w:lineRule="auto"/>
        <w:tabs>
          <w:tab w:leader="none" w:pos="273"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2008</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700" w:right="2080" w:hanging="3602"/>
        <w:spacing w:after="0" w:line="532" w:lineRule="auto"/>
        <w:tabs>
          <w:tab w:leader="none" w:pos="281"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 to _________</w:t>
      </w:r>
    </w:p>
    <w:p>
      <w:pPr>
        <w:ind w:left="446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169545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60"/>
          </w:cols>
          <w:pgMar w:left="240" w:top="1278"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62-1096725</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00" w:space="720"/>
            <w:col w:w="4040"/>
          </w:cols>
          <w:pgMar w:left="240" w:top="1278" w:right="599" w:bottom="1440" w:gutter="0" w:footer="0" w:header="0"/>
          <w:type w:val="continuous"/>
        </w:sectPr>
      </w:pPr>
    </w:p>
    <w:p>
      <w:pPr>
        <w:spacing w:after="0" w:line="5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(423) 743-9151</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360" w:val="left"/>
          <w:tab w:leader="none" w:pos="2260" w:val="left"/>
        </w:tabs>
        <w:rPr>
          <w:sz w:val="20"/>
          <w:szCs w:val="20"/>
          <w:color w:val="auto"/>
        </w:rPr>
      </w:pPr>
      <w:r>
        <w:rPr>
          <w:rFonts w:ascii="Arial" w:cs="Arial" w:eastAsia="Arial" w:hAnsi="Arial"/>
          <w:sz w:val="18"/>
          <w:szCs w:val="18"/>
          <w:color w:val="auto"/>
        </w:rPr>
        <w:t>the past 90 days.</w:t>
        <w:tab/>
        <w:t>Yes x</w:t>
      </w:r>
      <w:r>
        <w:rPr>
          <w:sz w:val="20"/>
          <w:szCs w:val="20"/>
          <w:color w:val="auto"/>
        </w:rPr>
        <w:tab/>
      </w:r>
      <w:r>
        <w:rPr>
          <w:rFonts w:ascii="Arial" w:cs="Arial" w:eastAsia="Arial" w:hAnsi="Arial"/>
          <w:sz w:val="16"/>
          <w:szCs w:val="16"/>
          <w:color w:val="auto"/>
        </w:rPr>
        <w:t>No o</w:t>
      </w:r>
    </w:p>
    <w:p>
      <w:pPr>
        <w:spacing w:after="0" w:line="23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060"/>
          </w:cols>
          <w:pgMar w:left="240" w:top="1278" w:right="599" w:bottom="1440" w:gutter="0" w:footer="0" w:header="0"/>
          <w:type w:val="continuous"/>
        </w:sectPr>
      </w:pPr>
    </w:p>
    <w:p>
      <w:pPr>
        <w:ind w:firstLine="648"/>
        <w:spacing w:after="0" w:line="261" w:lineRule="auto"/>
        <w:rPr>
          <w:sz w:val="20"/>
          <w:szCs w:val="20"/>
          <w:color w:val="auto"/>
        </w:rPr>
      </w:pPr>
      <w:r>
        <w:rPr>
          <w:rFonts w:ascii="Arial" w:cs="Arial" w:eastAsia="Arial" w:hAnsi="Arial"/>
          <w:sz w:val="18"/>
          <w:szCs w:val="18"/>
          <w:color w:val="auto"/>
        </w:rPr>
        <w:t>Large accelerated filer o Accelerated filer x Non-accelerated filer o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7" w:lineRule="exact"/>
        <w:rPr>
          <w:sz w:val="24"/>
          <w:szCs w:val="24"/>
          <w:color w:val="auto"/>
        </w:rPr>
      </w:pPr>
    </w:p>
    <w:p>
      <w:pPr>
        <w:sectPr>
          <w:pgSz w:w="11900" w:h="16838" w:orient="portrait"/>
          <w:cols w:equalWidth="0" w:num="2">
            <w:col w:w="7740" w:space="100"/>
            <w:col w:w="3220"/>
          </w:cols>
          <w:pgMar w:left="240" w:top="1278" w:right="599" w:bottom="1440" w:gutter="0" w:footer="0" w:header="0"/>
          <w:type w:val="continuous"/>
        </w:sectPr>
      </w:pPr>
    </w:p>
    <w:p>
      <w:pPr>
        <w:spacing w:after="0" w:line="227"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 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5, 2008 there were 16,267,924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593725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278" w:right="599" w:bottom="1440" w:gutter="0" w:footer="0" w:header="0"/>
          <w:type w:val="continuous"/>
        </w:sectPr>
      </w:pPr>
    </w:p>
    <w:bookmarkStart w:id="1" w:name="page2"/>
    <w:bookmarkEnd w:id="1"/>
    <w:p>
      <w:pPr>
        <w:ind w:left="4120"/>
        <w:spacing w:after="0"/>
        <w:rPr>
          <w:sz w:val="20"/>
          <w:szCs w:val="20"/>
          <w:color w:val="auto"/>
        </w:rPr>
      </w:pPr>
      <w:r>
        <w:rPr>
          <w:rFonts w:ascii="Arial" w:cs="Arial" w:eastAsia="Arial" w:hAnsi="Arial"/>
          <w:sz w:val="22"/>
          <w:szCs w:val="22"/>
          <w:b w:val="1"/>
          <w:bCs w:val="1"/>
          <w:color w:val="auto"/>
        </w:rPr>
        <w:t>NN, Inc.</w:t>
      </w:r>
    </w:p>
    <w:p>
      <w:pPr>
        <w:spacing w:after="0" w:line="1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400" w:type="dxa"/>
            <w:vAlign w:val="bottom"/>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c>
          <w:tcPr>
            <w:tcW w:w="0" w:type="dxa"/>
            <w:vAlign w:val="bottom"/>
          </w:tcPr>
          <w:p>
            <w:pPr>
              <w:spacing w:after="0"/>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740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w w:val="94"/>
              </w:rPr>
              <w:t>Consolidated Statements of Income and Comprehensive Income for the three and nine months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ended September 30, 2008 and 2007 (unaudited)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w w:val="98"/>
              </w:rPr>
              <w:t>Condensed Consolidated Balance Sheets at September 30, 2008 and December 31, 2007</w:t>
            </w:r>
          </w:p>
        </w:tc>
        <w:tc>
          <w:tcPr>
            <w:tcW w:w="660" w:type="dxa"/>
            <w:vAlign w:val="bottom"/>
            <w:vMerge w:val="restart"/>
          </w:tcPr>
          <w:p>
            <w:pPr>
              <w:jc w:val="right"/>
              <w:ind w:right="2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7400" w:type="dxa"/>
            <w:vAlign w:val="bottom"/>
            <w:vMerge w:val="restart"/>
          </w:tcPr>
          <w:p>
            <w:pPr>
              <w:ind w:left="220"/>
              <w:spacing w:after="0"/>
              <w:rPr>
                <w:sz w:val="20"/>
                <w:szCs w:val="20"/>
                <w:color w:val="auto"/>
              </w:rPr>
            </w:pPr>
            <w:r>
              <w:rPr>
                <w:rFonts w:ascii="Arial" w:cs="Arial" w:eastAsia="Arial" w:hAnsi="Arial"/>
                <w:sz w:val="18"/>
                <w:szCs w:val="18"/>
                <w:color w:val="auto"/>
              </w:rPr>
              <w:t>(unaudited)</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74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Consolidated Statements of Changes in Stockholders’ Equity for the nine months ended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September 30, 2008 (unaudited)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w w:val="96"/>
              </w:rPr>
              <w:t>Consolidated Statements of Cash Flows for the nine months ended September 30, 2008 and</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7400" w:type="dxa"/>
            <w:vAlign w:val="bottom"/>
            <w:vMerge w:val="restart"/>
          </w:tcPr>
          <w:p>
            <w:pPr>
              <w:ind w:left="220"/>
              <w:spacing w:after="0"/>
              <w:rPr>
                <w:sz w:val="20"/>
                <w:szCs w:val="20"/>
                <w:color w:val="auto"/>
              </w:rPr>
            </w:pPr>
            <w:r>
              <w:rPr>
                <w:rFonts w:ascii="Arial" w:cs="Arial" w:eastAsia="Arial" w:hAnsi="Arial"/>
                <w:sz w:val="18"/>
                <w:szCs w:val="18"/>
                <w:color w:val="auto"/>
              </w:rPr>
              <w:t>2007 (unaudited)</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40" w:type="dxa"/>
            <w:vAlign w:val="bottom"/>
          </w:tcPr>
          <w:p>
            <w:pPr>
              <w:spacing w:after="0"/>
              <w:rPr>
                <w:sz w:val="9"/>
                <w:szCs w:val="9"/>
                <w:color w:val="auto"/>
              </w:rPr>
            </w:pPr>
          </w:p>
        </w:tc>
        <w:tc>
          <w:tcPr>
            <w:tcW w:w="74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 (unaudited)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740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740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740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0" w:type="dxa"/>
            <w:vAlign w:val="bottom"/>
          </w:tcPr>
          <w:p>
            <w:pPr>
              <w:ind w:left="260"/>
              <w:spacing w:after="0"/>
              <w:rPr>
                <w:sz w:val="20"/>
                <w:szCs w:val="20"/>
                <w:color w:val="auto"/>
              </w:rPr>
            </w:pPr>
            <w:r>
              <w:rPr>
                <w:rFonts w:ascii="Arial" w:cs="Arial" w:eastAsia="Arial" w:hAnsi="Arial"/>
                <w:sz w:val="18"/>
                <w:szCs w:val="18"/>
                <w:b w:val="1"/>
                <w:bCs w:val="1"/>
                <w:color w:val="auto"/>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740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740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7400" w:type="dxa"/>
            <w:vAlign w:val="bottom"/>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7400" w:type="dxa"/>
            <w:vAlign w:val="bottom"/>
          </w:tcPr>
          <w:p>
            <w:pPr>
              <w:ind w:left="260"/>
              <w:spacing w:after="0"/>
              <w:rPr>
                <w:sz w:val="20"/>
                <w:szCs w:val="20"/>
                <w:color w:val="auto"/>
              </w:rPr>
            </w:pPr>
            <w:r>
              <w:rPr>
                <w:rFonts w:ascii="Arial" w:cs="Arial" w:eastAsia="Arial" w:hAnsi="Arial"/>
                <w:sz w:val="18"/>
                <w:szCs w:val="18"/>
                <w:color w:val="auto"/>
              </w:rPr>
              <w:t>Defaults Upon Senior Securities</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7400" w:type="dxa"/>
            <w:vAlign w:val="bottom"/>
          </w:tcPr>
          <w:p>
            <w:pPr>
              <w:ind w:left="260"/>
              <w:spacing w:after="0"/>
              <w:rPr>
                <w:sz w:val="20"/>
                <w:szCs w:val="20"/>
                <w:color w:val="auto"/>
              </w:rPr>
            </w:pPr>
            <w:r>
              <w:rPr>
                <w:rFonts w:ascii="Arial" w:cs="Arial" w:eastAsia="Arial" w:hAnsi="Arial"/>
                <w:sz w:val="18"/>
                <w:szCs w:val="18"/>
                <w:color w:val="auto"/>
              </w:rPr>
              <w:t>Submission of Matters to a Vote of Security Holders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740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7400" w:type="dxa"/>
            <w:vAlign w:val="bottom"/>
          </w:tcPr>
          <w:p>
            <w:pPr>
              <w:ind w:left="260"/>
              <w:spacing w:after="0"/>
              <w:rPr>
                <w:sz w:val="20"/>
                <w:szCs w:val="20"/>
                <w:color w:val="auto"/>
              </w:rPr>
            </w:pPr>
            <w:r>
              <w:rPr>
                <w:rFonts w:ascii="Arial" w:cs="Arial" w:eastAsia="Arial" w:hAnsi="Arial"/>
                <w:sz w:val="18"/>
                <w:szCs w:val="18"/>
                <w:color w:val="auto"/>
              </w:rPr>
              <w:t>Exhibits</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Signatures</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9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8"/>
                <w:szCs w:val="18"/>
                <w:color w:val="auto"/>
              </w:rPr>
              <w:t>(Thousands of Dollars, Except Per Share Data)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348,647</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and amortization shown separately below)</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83,784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80,264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277,526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251,274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(4,153)</w:t>
            </w: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(13,657)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15,163</w:t>
            </w:r>
          </w:p>
        </w:tc>
        <w:tc>
          <w:tcPr>
            <w:tcW w:w="1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16,222</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common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16,391</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w:t>
            </w: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 of Dollars)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60"/>
              <w:spacing w:after="0" w:line="201" w:lineRule="exact"/>
              <w:rPr>
                <w:sz w:val="20"/>
                <w:szCs w:val="20"/>
                <w:color w:val="auto"/>
              </w:rPr>
            </w:pPr>
            <w:r>
              <w:rPr>
                <w:rFonts w:ascii="Arial" w:cs="Arial" w:eastAsia="Arial" w:hAnsi="Arial"/>
                <w:sz w:val="18"/>
                <w:szCs w:val="18"/>
                <w:color w:val="auto"/>
              </w:rPr>
              <w:t>Accounts receivable, net of allowance for doubtful accounts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$515 and $1,412,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350,078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pension and other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147,308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130,043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Comprehen-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Par</w:t>
            </w:r>
          </w:p>
        </w:tc>
        <w:tc>
          <w:tcPr>
            <w:tcW w:w="1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Paid in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Retained</w:t>
            </w:r>
          </w:p>
        </w:tc>
        <w:tc>
          <w:tcPr>
            <w:tcW w:w="1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9"/>
              </w:rPr>
              <w:t>sive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0"/>
              </w:rPr>
              <w:t>(Thousands of Dollars and Shares)</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Value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Shares issued ($0.01 par</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value, authorized 45,000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Tax benefit on options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Restricted stock awards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Stock option expense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Dividends declared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20"/>
              <w:spacing w:after="0"/>
              <w:rPr>
                <w:sz w:val="20"/>
                <w:szCs w:val="20"/>
                <w:color w:val="auto"/>
              </w:rPr>
            </w:pPr>
            <w:r>
              <w:rPr>
                <w:rFonts w:ascii="Arial" w:cs="Arial" w:eastAsia="Arial" w:hAnsi="Arial"/>
                <w:sz w:val="18"/>
                <w:szCs w:val="18"/>
                <w:color w:val="auto"/>
              </w:rPr>
              <w:t>Translation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70,455</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 of Dollars)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60"/>
              <w:spacing w:after="0" w:line="201"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Amortization of debt issue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income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Other assets and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(13,776)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Acquisition of intangibles and 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Increase in cash from bank overdraft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Repayment of short-term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short-term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Principal payment on capital lease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issuance of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long 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Debt issuance cost paid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Repayment of related party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3"/>
              </w:rPr>
              <w:t>Reduced note payable to customer with offsetting reduction to accounts receivable ($1,149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w w:val="92"/>
              </w:rPr>
              <w:t>2008 and $1,072 in 2007) offset by an increase to interest expense ($147 in 2008 and $189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2007)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consolidated financial statements of NN, Inc. (the “Company”) have not been audited, except that the balance sheet at December 31, 2007 is derived from the Company’s consolidated audited financial statements. In the opinion of the Company’s management, the financial statements reflect all adjustments necessary to fairly state the results of operations for the three and nine month periods ended September 30, 2008 and 2007, the Company’s financial position at September 30, 2008 and December 31, 2007, and the cash flows for the nine month periods ended September 30, 2008 and 2007.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21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2007 which we filed with the Securities and Exchange Commission on March 17, 2008.</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for the three and nine month periods ended September 30, 2008 are not necessarily indicative of results for the year ending December 31, 2008 or any other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2007 financial statements have been reclassified to conform to the 2008 financial statement presentation.</w:t>
      </w:r>
    </w:p>
    <w:p>
      <w:pPr>
        <w:spacing w:after="0" w:line="27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 and Impairment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 Restructuring, Impairment and Other Cost Reduction Actions</w:t>
      </w:r>
    </w:p>
    <w:p>
      <w:pPr>
        <w:spacing w:after="0" w:line="25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July 25, 2007, we announced several actions intended to improve corporate financial performance that resulted in the recognition of certain restructuring, impairment and other non-recurring charges. Earlier in July 2007, management made a decision to reduce output at four of the six ball plants would be the best financial and logistical solution to align capacity with demand at that time. Since the reporting value of tangible and intangible assets must be supported by cash flows from the operations, the changes resulted in reductions in the value of certain tangible and intangible assets at the affected ball plants.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second quarter of 2007, we recorded approximately $13,336 ($12,624 after-tax) of non-cash impairment costs. These charges included the write-down to estimated fair market value of certain excess production equipment of $3,320 ($3,212 after tax) and the full impairment of goodwill at one European reporting unit of $10,016 ($9,412 after tax) to levels supported by projected cash flows after the restructuring. These impairments were calculated using the present value of expected future cash flows method pursuant to SFAS 142 for the goodwill and estimates of fair value pursuant to SFAS 144 for the fixed assets.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third quarter of 2007, we recorded approximately $1,272 ($1,196 after tax) of cash restructuring charges and approximately $90 ($66 after tax) of non-cash impairment charges related to the write-down to estimated fair value of certain excess production equipment as part of the Metal Bearings Components Segment restructuring. The $1,272 was for severance charges recorded in accordance with SFAS 146, that were to be paid out upon completion of the required legal notification period which was approximately one year.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880" w:type="dxa"/>
            <w:vAlign w:val="bottom"/>
            <w:gridSpan w:val="2"/>
          </w:tcPr>
          <w:p>
            <w:pPr>
              <w:spacing w:after="0"/>
              <w:rPr>
                <w:sz w:val="20"/>
                <w:szCs w:val="20"/>
                <w:color w:val="auto"/>
              </w:rPr>
            </w:pPr>
            <w:r>
              <w:rPr>
                <w:rFonts w:ascii="Arial" w:cs="Arial" w:eastAsia="Arial" w:hAnsi="Arial"/>
                <w:sz w:val="18"/>
                <w:szCs w:val="18"/>
                <w:color w:val="auto"/>
                <w:w w:val="93"/>
              </w:rPr>
              <w:t>Inventories are stated at the lower of cost or market. Cost is determined using the first-in, first-out method.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880" w:type="dxa"/>
            <w:vAlign w:val="bottom"/>
            <w:gridSpan w:val="2"/>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December</w:t>
            </w: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20" w:type="dxa"/>
            <w:vAlign w:val="bottom"/>
            <w:gridSpan w:val="4"/>
          </w:tcPr>
          <w:p>
            <w:pPr>
              <w:ind w:left="16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(1,988)</w:t>
            </w:r>
          </w:p>
        </w:tc>
      </w:tr>
      <w:tr>
        <w:trPr>
          <w:trHeight w:val="27"/>
        </w:trPr>
        <w:tc>
          <w:tcPr>
            <w:tcW w:w="11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58,402</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51,821</w:t>
            </w:r>
          </w:p>
        </w:tc>
        <w:tc>
          <w:tcPr>
            <w:tcW w:w="80" w:type="dxa"/>
            <w:vAlign w:val="bottom"/>
            <w:shd w:val="clear" w:color="auto" w:fill="CCEEFF"/>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September 30, 2008 and December 31, 2007 totaled $7,389 and $5,702, respectively.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Note 4.  Net Income Per Share</w:t>
            </w:r>
          </w:p>
        </w:tc>
        <w:tc>
          <w:tcPr>
            <w:tcW w:w="2180" w:type="dxa"/>
            <w:vAlign w:val="bottom"/>
            <w:gridSpan w:val="3"/>
            <w:vMerge w:val="restart"/>
          </w:tcPr>
          <w:p>
            <w:pPr>
              <w:jc w:val="right"/>
              <w:ind w:right="350"/>
              <w:spacing w:after="0"/>
              <w:rPr>
                <w:sz w:val="20"/>
                <w:szCs w:val="20"/>
                <w:color w:val="auto"/>
              </w:rPr>
            </w:pPr>
            <w:r>
              <w:rPr>
                <w:rFonts w:ascii="Arial" w:cs="Arial" w:eastAsia="Arial" w:hAnsi="Arial"/>
                <w:sz w:val="18"/>
                <w:szCs w:val="18"/>
                <w:b w:val="1"/>
                <w:bCs w:val="1"/>
                <w:color w:val="auto"/>
                <w:w w:val="97"/>
              </w:rPr>
              <w:t>Three months ended</w:t>
            </w: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gridSpan w:val="3"/>
            <w:vMerge w:val="restart"/>
          </w:tcPr>
          <w:p>
            <w:pPr>
              <w:jc w:val="right"/>
              <w:ind w:right="13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18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gridSpan w:val="2"/>
            <w:vMerge w:val="restart"/>
          </w:tcPr>
          <w:p>
            <w:pPr>
              <w:ind w:left="1140"/>
              <w:spacing w:after="0"/>
              <w:rPr>
                <w:sz w:val="20"/>
                <w:szCs w:val="20"/>
                <w:color w:val="auto"/>
              </w:rPr>
            </w:pPr>
            <w:r>
              <w:rPr>
                <w:rFonts w:ascii="Arial" w:cs="Arial" w:eastAsia="Arial" w:hAnsi="Arial"/>
                <w:sz w:val="18"/>
                <w:szCs w:val="18"/>
                <w:color w:val="auto"/>
                <w:w w:val="92"/>
              </w:rPr>
              <w:t>(Thousands of Dollars, Except Share and Per Share</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2"/>
        </w:trPr>
        <w:tc>
          <w:tcPr>
            <w:tcW w:w="5000" w:type="dxa"/>
            <w:vAlign w:val="bottom"/>
            <w:gridSpan w:val="2"/>
            <w:vMerge w:val="continue"/>
          </w:tcPr>
          <w:p>
            <w:pPr>
              <w:spacing w:after="0"/>
              <w:rPr>
                <w:sz w:val="17"/>
                <w:szCs w:val="17"/>
                <w:color w:val="auto"/>
              </w:rPr>
            </w:pPr>
          </w:p>
        </w:tc>
        <w:tc>
          <w:tcPr>
            <w:tcW w:w="1620" w:type="dxa"/>
            <w:vAlign w:val="bottom"/>
            <w:gridSpan w:val="2"/>
            <w:vMerge w:val="restart"/>
          </w:tcPr>
          <w:p>
            <w:pPr>
              <w:jc w:val="center"/>
              <w:ind w:right="450"/>
              <w:spacing w:after="0"/>
              <w:rPr>
                <w:sz w:val="20"/>
                <w:szCs w:val="20"/>
                <w:color w:val="auto"/>
              </w:rPr>
            </w:pPr>
            <w:r>
              <w:rPr>
                <w:rFonts w:ascii="Arial" w:cs="Arial" w:eastAsia="Arial" w:hAnsi="Arial"/>
                <w:sz w:val="18"/>
                <w:szCs w:val="18"/>
                <w:b w:val="1"/>
                <w:bCs w:val="1"/>
                <w:color w:val="auto"/>
                <w:w w:val="89"/>
              </w:rPr>
              <w:t>2008</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2007</w:t>
            </w:r>
          </w:p>
        </w:tc>
        <w:tc>
          <w:tcPr>
            <w:tcW w:w="700" w:type="dxa"/>
            <w:vAlign w:val="bottom"/>
          </w:tcPr>
          <w:p>
            <w:pPr>
              <w:spacing w:after="0"/>
              <w:rPr>
                <w:sz w:val="17"/>
                <w:szCs w:val="17"/>
                <w:color w:val="auto"/>
              </w:rPr>
            </w:pPr>
          </w:p>
        </w:tc>
        <w:tc>
          <w:tcPr>
            <w:tcW w:w="1360" w:type="dxa"/>
            <w:vAlign w:val="bottom"/>
            <w:gridSpan w:val="2"/>
            <w:vMerge w:val="restart"/>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104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7"/>
        </w:trPr>
        <w:tc>
          <w:tcPr>
            <w:tcW w:w="5000" w:type="dxa"/>
            <w:vAlign w:val="bottom"/>
            <w:gridSpan w:val="2"/>
          </w:tcPr>
          <w:p>
            <w:pPr>
              <w:ind w:left="1140"/>
              <w:spacing w:after="0"/>
              <w:rPr>
                <w:sz w:val="20"/>
                <w:szCs w:val="20"/>
                <w:color w:val="auto"/>
              </w:rPr>
            </w:pPr>
            <w:r>
              <w:rPr>
                <w:rFonts w:ascii="Arial" w:cs="Arial" w:eastAsia="Arial" w:hAnsi="Arial"/>
                <w:sz w:val="18"/>
                <w:szCs w:val="18"/>
                <w:color w:val="auto"/>
              </w:rPr>
              <w:t>Data)</w:t>
            </w:r>
          </w:p>
        </w:tc>
        <w:tc>
          <w:tcPr>
            <w:tcW w:w="162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7"/>
              </w:rPr>
              <w:t>2,947</w:t>
            </w:r>
          </w:p>
        </w:tc>
        <w:tc>
          <w:tcPr>
            <w:tcW w:w="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398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17,220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(6,211)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6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16,222,071</w:t>
            </w: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16,764,695</w:t>
            </w: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15,924,021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16,807,975</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6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169,245</w:t>
            </w:r>
          </w:p>
        </w:tc>
        <w:tc>
          <w:tcPr>
            <w:tcW w:w="12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138,944</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7"/>
              </w:rPr>
              <w:t>71,974</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1620" w:type="dxa"/>
            <w:vAlign w:val="bottom"/>
            <w:tcBorders>
              <w:bottom w:val="single" w:sz="8" w:color="auto"/>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16,391,316</w:t>
            </w:r>
          </w:p>
        </w:tc>
        <w:tc>
          <w:tcPr>
            <w:tcW w:w="126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16,903,639</w:t>
            </w:r>
          </w:p>
        </w:tc>
        <w:tc>
          <w:tcPr>
            <w:tcW w:w="1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15,995,995</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16,807,975</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64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0.18</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0.02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64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0.18</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0.02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Excluded from the dilutive shares outstanding for the three and nine month periods ended September 30, 2008 were 0 and 393,500, respectively, of anti-dilutive options which had exercise prices ranging from $11.69 to $12.62. Excluded from the dilutive shares outstanding for the three month period ended September 30, 2007 were 858,000 anti-dilutive options which had exercise prices ranging from $10.67 and $12.62.</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“Segment Information” note and the “Summary of Significant Accounting Policies and Practices” note, respectively, in our financial statements included in our annual report on Form 10-K for the fiscal year ended December 31, 2007. We evaluate segment performance based on segment net income or loss after income taxes. We account for inter-segment sales and transfers at current market prices. We did not have any significant inter-segment transactions during the three and nine month periods ended September 30, 2008 and 2007.</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w w:val="94"/>
              </w:rPr>
              <w:t>Three Months Ended September 30,</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Plastic</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Plastic</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Metal</w:t>
            </w:r>
          </w:p>
        </w:tc>
        <w:tc>
          <w:tcPr>
            <w:tcW w:w="1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and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Metal</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Precision</w:t>
            </w: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Bearing</w:t>
            </w: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Precision</w:t>
            </w: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Rubber</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Bearing</w:t>
            </w: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Metal</w:t>
            </w: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Rubber</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Com-</w:t>
            </w: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Metal</w:t>
            </w: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Com-</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Com-</w:t>
            </w: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Com-</w:t>
            </w: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Com-</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(In Thousands of</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ponents</w:t>
            </w: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Components</w:t>
            </w: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ponents</w:t>
            </w: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All</w:t>
            </w:r>
          </w:p>
        </w:tc>
        <w:tc>
          <w:tcPr>
            <w:tcW w:w="2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ponents</w:t>
            </w: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ponents</w:t>
            </w: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ponents</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All</w:t>
            </w:r>
          </w:p>
        </w:tc>
        <w:tc>
          <w:tcPr>
            <w:tcW w:w="0" w:type="dxa"/>
            <w:vAlign w:val="bottom"/>
          </w:tcPr>
          <w:p>
            <w:pPr>
              <w:spacing w:after="0"/>
              <w:rPr>
                <w:sz w:val="1"/>
                <w:szCs w:val="1"/>
                <w:color w:val="auto"/>
              </w:rPr>
            </w:pPr>
          </w:p>
        </w:tc>
      </w:tr>
      <w:tr>
        <w:trPr>
          <w:trHeight w:val="241"/>
        </w:trPr>
        <w:tc>
          <w:tcPr>
            <w:tcW w:w="160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Segment</w:t>
            </w: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Segment</w:t>
            </w: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Revenues from</w:t>
            </w: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external customers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$ 15,166</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$ 8,993</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$ 70,814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$ 15,594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$ 12,613</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$ 244,972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$ 51,859</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$ 50,592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$ 6,951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$ 230,737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$ 53,900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$ 52,259</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8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w w:val="95"/>
              </w:rPr>
              <w:t>Nine Months Ended September 30,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Plastic</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Plastic</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Metal</w:t>
            </w:r>
          </w:p>
        </w:tc>
        <w:tc>
          <w:tcPr>
            <w:tcW w:w="1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and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Metal</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Precision</w:t>
            </w: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Bearing</w:t>
            </w: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Precision</w:t>
            </w: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Rubber</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Bearing</w:t>
            </w: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Metal</w:t>
            </w: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Rubber</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Com-</w:t>
            </w: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Metal</w:t>
            </w: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Com-</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Com-</w:t>
            </w: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Com-</w:t>
            </w: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Com-</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(In Thousands of</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ponents</w:t>
            </w: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Components</w:t>
            </w: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ponents</w:t>
            </w: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All</w:t>
            </w:r>
          </w:p>
        </w:tc>
        <w:tc>
          <w:tcPr>
            <w:tcW w:w="2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ponents</w:t>
            </w: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ponents</w:t>
            </w: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ponents</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All</w:t>
            </w:r>
          </w:p>
        </w:tc>
        <w:tc>
          <w:tcPr>
            <w:tcW w:w="0" w:type="dxa"/>
            <w:vAlign w:val="bottom"/>
          </w:tcPr>
          <w:p>
            <w:pPr>
              <w:spacing w:after="0"/>
              <w:rPr>
                <w:sz w:val="1"/>
                <w:szCs w:val="1"/>
                <w:color w:val="auto"/>
              </w:rPr>
            </w:pPr>
          </w:p>
        </w:tc>
      </w:tr>
      <w:tr>
        <w:trPr>
          <w:trHeight w:val="241"/>
        </w:trPr>
        <w:tc>
          <w:tcPr>
            <w:tcW w:w="160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Segment</w:t>
            </w: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Segment</w:t>
            </w: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Revenues from</w:t>
            </w: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external customers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265,457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$ 51,453</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$ 31,737</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$ 224,373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$ 50,730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$ 39,164</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$ 244,972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$ 51,859</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$ 50,592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$ 6,951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$ 230,737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$52,259</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Pensions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defined benefit pension plan covering the employees at our Eltmann, Germany facility. The benefits are based on the expected years of service; however, as the plan was curtailed in 2006, the plan no longer incurs service cost. The plan is unfunded. There were no prior service costs recognized in the three and nine months ended September 30, 2008 and 2007</w:t>
      </w:r>
      <w:r>
        <w:rPr>
          <w:rFonts w:ascii="Arial" w:cs="Arial" w:eastAsia="Arial" w:hAnsi="Arial"/>
          <w:sz w:val="18"/>
          <w:szCs w:val="18"/>
          <w:b w:val="1"/>
          <w:bCs w:val="1"/>
          <w:color w:val="auto"/>
        </w:rPr>
        <w:t>.</w:t>
      </w:r>
      <w:r>
        <w:rPr>
          <w:rFonts w:ascii="Arial" w:cs="Arial" w:eastAsia="Arial" w:hAnsi="Arial"/>
          <w:sz w:val="18"/>
          <w:szCs w:val="18"/>
          <w:color w:val="auto"/>
        </w:rPr>
        <w:t xml:space="preserve"> We expect to contribute approximately $266 to the Eltmann, Germany pension plan in 2008. As of September 30, 2008, approximately $200 of contributions had been made.</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and nine month periods ended September 30, 2008 and 2007:</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Amounts accrued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Payments (to) from government managed plan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8,290</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8,290</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two plans that cover our Veenendaal, The Netherlands employees. One provides an award for employees who achieve 25 or 40 years of service and the other is for employees who retire before normal retirement age. These plans are both unfunded and the benefits are based on years of service and rate of compensation. The table below summarizes the changes in the two plans combined during the three and nine month periods ended September 30, 2008 and 2007.</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provides guidance on how to measure assets and liabilities that are measured at fair value. SFAS 157 applies whenever another U.S. GAAP standard requires (or permits) assets or liabilities to be measured at fair value but does not expand the use of fair value to any new circumstances. This standard requires additional disclosures in both annual and quarterly reports. SFAS 157 was effective for financial statements issued for fiscal years beginning after November 15, 2007, excluding non-financial assets and liabilities except those that are recognized or disclosed at fair value on a recurring basis. The adoption of SFAS 157 for non-financial assets and liabilities was deferred until January 1, 2009. We are still evaluating the effect of adoption of SFAS 157 on our non-financial assets and liabilities. We adopted the provisions of SFAS 157 that pertain to financial assets and liabilities on January 1, 2008 and this has had no effect on our income from operations, cash flows, and financial condition.</w:t>
      </w: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February, 2007, the FASB issued SFAS 159, "</w:t>
      </w:r>
      <w:r>
        <w:rPr>
          <w:rFonts w:ascii="Arial" w:cs="Arial" w:eastAsia="Arial" w:hAnsi="Arial"/>
          <w:sz w:val="18"/>
          <w:szCs w:val="18"/>
          <w:i w:val="1"/>
          <w:iCs w:val="1"/>
          <w:color w:val="auto"/>
        </w:rPr>
        <w:t>The Fair Value Option for Financial Assets and Financial Liabilities—Including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(SFAS 159). SFAS 159 permits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115, "Accounting for Certain Investments in Debt and Equity Securities," applies to all entities with available for sale and trading securities. SFAS 159 was effective for us as of January 1, 2008. We have elected not to apply the provisions of SFAS 159 for our existing financial liabilities. We will continue to report our existing financial liabilities on a cost basis as we believe this is a better representation of our actual financial obligations.</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2007, the FASB issued SFAS No. 141 (revised 2007) "Business Combinations" ("SFAS No. 141R") which replaces SFAS No. 141 "Business Combinations" ("SFAS No. 141"). SFAS No. 141R retains the fundamental requirements of SFAS No. 141 that the acquisition method of accounting be used for all business combinations. However, SFAS No. 141R provides for the following changes from SFAS No. 141: an acquirer will record 100% of assets and liabilities of acquired business, including goodwill, at fair value, regardless of the level of interest acquired; certain contingent assets and liabilities will be recognized at fair value at the acquisition date; contingent consideration will be recognized at fair value on the acquisition date with changes in fair value to be recognized in earnings upon settlement; acquisition-related transaction and restructuring costs will be expensed as incurred; reversals of valuation allowances related to acquired deferred tax assets and changes to acquired income tax uncertainties will be recognized in earnings; and when making adjustments to finalize preliminary accounting, acquirers will revise any previously issued post-acquisition financial information in future financial statements to reflect any adjustments as if they occurred on the acquisition date. SFAS No. 141R applies prospectively to business combinations for which the acquisition date is on or after January 1, 2009. SFAS No. 141R will not have an impact on the Company's consolidated financial statements when effective, but the nature and magnitude of the specific effects will depend upon the nature, terms, and size of the acquisitions consummated after the effective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Note 8.  Long-Term Debt and Short-Term Debt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2"/>
          </w:tcPr>
          <w:p>
            <w:pPr>
              <w:spacing w:after="0"/>
              <w:rPr>
                <w:sz w:val="20"/>
                <w:szCs w:val="20"/>
                <w:color w:val="auto"/>
              </w:rPr>
            </w:pPr>
            <w:r>
              <w:rPr>
                <w:rFonts w:ascii="Arial" w:cs="Arial" w:eastAsia="Arial" w:hAnsi="Arial"/>
                <w:sz w:val="18"/>
                <w:szCs w:val="18"/>
                <w:color w:val="auto"/>
              </w:rPr>
              <w:t>Long-term debt at September 30, 2008 and December 31, 2007 consisted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180" w:type="dxa"/>
            <w:vAlign w:val="bottom"/>
            <w:gridSpan w:val="7"/>
          </w:tcPr>
          <w:p>
            <w:pPr>
              <w:ind w:left="80"/>
              <w:spacing w:after="0"/>
              <w:rPr>
                <w:sz w:val="20"/>
                <w:szCs w:val="20"/>
                <w:color w:val="auto"/>
              </w:rPr>
            </w:pPr>
            <w:r>
              <w:rPr>
                <w:rFonts w:ascii="Arial" w:cs="Arial" w:eastAsia="Arial" w:hAnsi="Arial"/>
                <w:sz w:val="18"/>
                <w:szCs w:val="18"/>
                <w:b w:val="1"/>
                <w:bCs w:val="1"/>
                <w:color w:val="auto"/>
                <w:w w:val="96"/>
              </w:rPr>
              <w:t>September 30, December</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31, 2007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Borrowings under our $135,000 revolving credit facility bearing interest at a floating rate equal</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to LIBOR (3.93% at September 30, 2008) plus an applicable margin of 0.60 to 0.925,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expiring September 20, 2011.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70,476</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Borrowings under our $40,000 aggregate principal amount of senior notes bearing interest at a</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fixed rate of 4.89% maturing on April 26, 2014. Annual principal payments of $5,714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began on April 26, 2008 and extend through the date of maturity.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Long term note payable with customer related to acquiring equipment from customer as part of</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long term supply agreement. Note carries a 0% rate of interest. Interest on this note has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been imputed at a rate of 5.41%. Note is reduced by applying a fixed amount per piece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purchased by customer.</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debt, excluding current maturities of long-term debt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100,193</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160" w:type="dxa"/>
            <w:vAlign w:val="bottom"/>
          </w:tcPr>
          <w:p>
            <w:pPr>
              <w:spacing w:after="0"/>
              <w:rPr>
                <w:sz w:val="24"/>
                <w:szCs w:val="24"/>
                <w:color w:val="auto"/>
              </w:rPr>
            </w:pPr>
          </w:p>
        </w:tc>
        <w:tc>
          <w:tcPr>
            <w:tcW w:w="6940" w:type="dxa"/>
            <w:vAlign w:val="bottom"/>
            <w:tcBorders>
              <w:top w:val="single" w:sz="8" w:color="CCEEFF"/>
            </w:tcBorders>
          </w:tcPr>
          <w:p>
            <w:pPr>
              <w:ind w:left="446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current maturities of long-term debt as of September 30, 2008 are composed primarily of the $5,714 second installment on our senior notes due April 26, 2009.</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were in compliance with all covenants related to the $135 million credit facility and the $40 million senior notes as of September 30, 2008. The specific covenants to which we are subject are disclosed in our annual report on Form 10-K for the year ended December 31, 2007.</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nine month period ended September 30, 2008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1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Precision</w:t>
            </w:r>
          </w:p>
        </w:tc>
        <w:tc>
          <w:tcPr>
            <w:tcW w:w="80" w:type="dxa"/>
            <w:vAlign w:val="bottom"/>
          </w:tcPr>
          <w:p>
            <w:pPr>
              <w:spacing w:after="0"/>
              <w:rPr>
                <w:sz w:val="17"/>
                <w:szCs w:val="17"/>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Plastic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Metal</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Metal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Rubber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Bearing</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Components</w:t>
            </w: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Components</w:t>
            </w:r>
          </w:p>
        </w:tc>
        <w:tc>
          <w:tcPr>
            <w:tcW w:w="12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Components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 of Dollars)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Currency impacts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2008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Goodwill balances within our balance sheet are tested for impairment on an annual basis during the fourth quarter and more often if circumstances require. Certain of our reporting units with goodwill balances have been negatively impacted, in the current three and nine month periods ended September 30, 2008, by the global economic downturn particularly due to the effect on the automotive market. Management’s opinion is that these negative effects do not constitute a triggering event for early impairment testing due to the short term nature of these negative impacts. We are currently in the process of developing long range forecasts for these reporting units, and this information will be used as part of our annual impairment testing, in order to determine if there has been any impairment in the carrying value of these reporting units. As of the date of this report, we have not yet determined if there has been any impairment in carrying value of the reporting units in question. However, depending on the severity of the current and future impacts of the global economic downturn, we may have an impairment in goodwill at one or more of our reporting units in the future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Note 10.  Intangible assets, net of 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Precision</w:t>
            </w:r>
          </w:p>
        </w:tc>
        <w:tc>
          <w:tcPr>
            <w:tcW w:w="1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Metal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Metal</w:t>
            </w: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Bearing</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Components</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Components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of Amortizable Intangible Assets as of January 1, 2008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Currency impacts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Balance of Amortizable Intangible Assets as of September 30, 2008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1,329</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 the intangible assets within the Precision Metal Components Segment, the majority of the value is a customer relationship intangible with a net carrying value of $5,790. This intangible asset has an original estimated useful life of 10 years and $551 of amortization expense was recorded in the nine months ended September 30, 2008. The remainder of the intangibles is made up of a covenant not to compete and a favorable leasehold interest with net carrying values of $12 and $36, respectively. These items were originally amortizable over two and two and a half years, respectively, and $56 and $39 in amortization expense, respectively, was recorded in 2008. The accumulated amortization related to all of these intangible assets at September 30, 2008 was $1,342. Also, in the Precision Metal Components Segment is an intangible asset not subject to amortization of $900 related to the value of the trade names of Whirlaway.</w:t>
      </w:r>
    </w:p>
    <w:p>
      <w:pPr>
        <w:spacing w:after="0" w:line="2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Within the Metal Bearing Components Segment the intangible asset is a contract intangible. This intangible asset is subject to amortization over approximately 5 years. For the nine months ended September 30, 2008, the amortization expense totaled $480 and accumulated amortization totaled $1,440 at September 30, 2008.</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Stock Compensation</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three and nine month periods ended September 30, 2008 and 2007, approximately $246 and $891 for 2008 and $317 and $682 for 2007, respectively, of compensation expense was recognized in selling, general and administrative expense for all share-based awards. On March 6, 2008, the Company granted 160,000 options to the non-executive directors, officers and certain other key employees.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2008.</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Exercise</w:t>
            </w: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Options</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Forfeited or expired</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2008</w:t>
            </w:r>
          </w:p>
        </w:tc>
        <w:tc>
          <w:tcPr>
            <w:tcW w:w="10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Exercisable at September 30, 2008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1,786</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740" w:firstLine="8"/>
        <w:spacing w:after="0" w:line="252" w:lineRule="auto"/>
        <w:tabs>
          <w:tab w:leader="none" w:pos="192"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Intrinsic value is the amount by which the market price of the stock ($12.85) was greater than the exercise price of each individual option grant at September 30,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recognized compensation costs before tax for restricted stock awards in the three and nine month periods ended September 30, 2008 and 2007 were approximately $0 and $31 for 2008, and $16 and $69 for 2007, respectively. There is no unrecognized compensation cost for these awards at September 30, 2008 as the awards fully vested during the three month period ended September 30, 2008.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Plan</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compensation expense recognized during the three and nine month periods ended September 30, 2008 and 2007 related to this plan was $113 and $339, respectively, and $113 and $113, respectively. At September 30, 2008 there was $566 of unrecognized compensation cost, before tax, to be recognized over approximately one year and three months. During the nine month period ended September 30, 2008, there have not been any performance units granted, vested or forfeited.</w:t>
      </w: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Provision for Income Taxes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three and nine month periods ended September 30, 2008, the difference between the federal statutory tax rate of 34% and our effective tax rate of 31% and 26%, respectively, is primarily due to being taxed in foreign jurisdictions at lower rates than the U.S. statutory rate. The statutory income tax rates in many of the foreign countries in which we operate are lower than the U.S federal rate. In addition, we utilized net operating loss carryforwards, which previously were 100% offset by valuation allowances, to offset taxable income at our German and Slovakian operations. During the nine month period ended September 30, 2008, we recognized a $1,142 deferred tax benefit in our Italian operation resulting from our election under a new Italian tax law to harmonize that operation’s net fixed asset values for tax and statutory reporting. Additionally, the $4,018 gain on sale of fixed assets in the second quarter of 2008 was in a jurisdiction with a lower effective tax rate than the U.S.</w:t>
      </w:r>
    </w:p>
    <w:p>
      <w:pPr>
        <w:spacing w:after="0" w:line="22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previously reported, we have joined a group of potentially responsible parties (“PRP Group”) to voluntarily address the clean up of a former waste recycler identified by the Environmental Protection Agency (“EPA”). The Company’s has contributed $28 through the end of September 30, 2008 to an escrow fund managed by the PRP Group. A Remedial Investigation report submitted to the EPA has been approved and the PRP Group is now preparing a Feasibility Study to assess acceptable cleanup methods.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100" w:firstLine="125"/>
        <w:spacing w:after="0" w:line="286" w:lineRule="auto"/>
        <w:rPr>
          <w:sz w:val="20"/>
          <w:szCs w:val="20"/>
          <w:color w:val="auto"/>
        </w:rPr>
      </w:pPr>
      <w:r>
        <w:rPr>
          <w:rFonts w:ascii="Arial" w:cs="Arial" w:eastAsia="Arial" w:hAnsi="Arial"/>
          <w:sz w:val="17"/>
          <w:szCs w:val="17"/>
          <w:color w:val="auto"/>
        </w:rPr>
        <w:t>As of the date of this report, we do not know whether we have any liability beyond the contribution to the escrow account mentioned earlier, related to this vendor’s actions, or estimatable range for any potential liability. The Company believes its contribution to the remediation of the site, if any, would be approximately 1.083% or less of the volume of waste sent to the facility and the Company asserts that its waste was non-hazardous.</w:t>
      </w:r>
    </w:p>
    <w:p>
      <w:pPr>
        <w:spacing w:after="0" w:line="19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Property, Plant and Equipment</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 period ended June 30, 2008, the Veenendaal, The Netherlands facility (part of the Metal Bearing Components Segment) disposed of excess land with a book value of $1,610 for proceeds of $5,628 and a resulting gain of $4,018 ($2,995, after tax).</w:t>
      </w:r>
    </w:p>
    <w:p>
      <w:pPr>
        <w:spacing w:after="0" w:line="19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During the three month period ended June 30, 2007, fixed assets at certain European operations of the Metal Bearing Components Segment were impaired as a result of the European restructuring (see Note 2). The total reduction in fixed assets from the impairment charge, during the three month period ended June 30, 2007, was $3,320 and was reported in the Restructuring and impairment charges line of the Consolidated Statements of Income.</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Common Stock Repurchases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12, 2008, our Board of Directors authorized a new share repurchase program. The new share repurchase program will be in effect for a period of one year beginning September 15, 2008 with a maximum approved amount of $20 million worth of shares to be repurchased on the open market from time to time in accordance with market regulations.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new plan replaces an existing $25 million share repurchase program initiated on September 13, 2007 that expired on September 13, 2008. The Company purchased approximately $7.6 million of its common shares in open market transactions under this $25 million program.</w:t>
      </w:r>
    </w:p>
    <w:p>
      <w:pPr>
        <w:spacing w:after="0" w:line="19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During the three and nine month periods ended September 30, 2008, we did not buy back any shares under either of the repurchase plans or make any other purchases of our shares. From October 1, 2008 until the date of this report, we have repurchased 85,171 shares at a value of approximately $1.0 million.</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18"/>
          <w:szCs w:val="18"/>
          <w:b w:val="1"/>
          <w:bCs w:val="1"/>
          <w:color w:val="auto"/>
        </w:rPr>
        <w:t>Management’s Discussion and Analysis of Financial Condition and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risk factors are disclosed in our Annual Report on Form 10-K for the fiscal year ended December 31, 2007 under Item 1.A. “Risk Factors”. There have been no material changes to these risk factors since December 31, 2007, except for the impact of a global recession discussed below.</w:t>
      </w:r>
    </w:p>
    <w:p>
      <w:pPr>
        <w:spacing w:after="0" w:line="1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recession impacting both U.S. and Europe automotive and industrial markets could have a material adverse effect on our ability to finance our operations and implement our growth strategy.</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last month of the three month period ended September 30, 2008, we experienced a sudden and significant reduction in customer demand in Europe driven by reductions of 20% or more in automotive end market demand. At the same time, our Plastic and Rubber Components and our Precision Metal Components Segments have continued to be negatively impacted by reductions in North American automotive demand that began in the three month period ended June 30, 2008 and worsened in the current three month period.</w:t>
      </w: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Also, during this same time period, the global financial markets experienced a severe credit crisis which is impacting our ability and the ability of our customers to obtain new credit.</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company has never been affected by a recession that has impacted both of our key geographic markets of the U.S. and Europe simultaneously. Continued sudden and significant reductions in sales to our customers could materially reduce our operating results due to the profits lost on reduced sales levels plus the inability in the short term to reduce our variable and fixed cost of operations. A continued recession could have a material adverse effect on our financial condition and results of operations.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our ability to sustain our existing committed credit facilities and our ability to obtain new credit to finance our operations and growth plans could be impaired depending on our performance against established financial covenants including our level of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2008 Compared to the Three Months Ended September 30,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7"/>
            <w:vMerge w:val="restart"/>
          </w:tcPr>
          <w:p>
            <w:pPr>
              <w:jc w:val="right"/>
              <w:ind w:right="1340"/>
              <w:spacing w:after="0"/>
              <w:rPr>
                <w:sz w:val="20"/>
                <w:szCs w:val="20"/>
                <w:color w:val="auto"/>
              </w:rPr>
            </w:pPr>
            <w:r>
              <w:rPr>
                <w:rFonts w:ascii="Arial" w:cs="Arial" w:eastAsia="Arial" w:hAnsi="Arial"/>
                <w:sz w:val="18"/>
                <w:szCs w:val="18"/>
                <w:b w:val="1"/>
                <w:bCs w:val="1"/>
                <w:color w:val="auto"/>
                <w:w w:val="91"/>
              </w:rPr>
              <w:t>Consolidated NN,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7"/>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20" w:type="dxa"/>
            <w:vAlign w:val="bottom"/>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104,866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99,021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5,845</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i w:val="1"/>
                <w:iCs w:val="1"/>
                <w:color w:val="auto"/>
              </w:rPr>
              <w:t>5,168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(2,704)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i w:val="1"/>
                <w:iCs w:val="1"/>
                <w:color w:val="auto"/>
              </w:rPr>
              <w:t>Price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i w:val="1"/>
                <w:iCs w:val="1"/>
                <w:color w:val="auto"/>
              </w:rPr>
              <w:t>469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i w:val="1"/>
                <w:iCs w:val="1"/>
                <w:color w:val="auto"/>
              </w:rPr>
              <w:t>3,399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83,784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80,264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3,520</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4,220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(1,134)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Cost reduction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(3,743)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i w:val="1"/>
                <w:iCs w:val="1"/>
                <w:color w:val="auto"/>
              </w:rPr>
              <w:t>302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3,875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1,309</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i w:val="1"/>
                <w:iCs w:val="1"/>
                <w:color w:val="auto"/>
              </w:rPr>
              <w:t>720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wage related cost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589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i w:val="1"/>
                <w:iCs w:val="1"/>
                <w:color w:val="auto"/>
              </w:rPr>
              <w:t>299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Additional depreciation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(1,362)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(237)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net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(237)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2,372</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(177)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2,947</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2,549</w:t>
            </w: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6"/>
        </w:trPr>
        <w:tc>
          <w:tcPr>
            <w:tcW w:w="116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883" w:gutter="0" w:footer="0" w:header="0"/>
        </w:sectPr>
      </w:pPr>
    </w:p>
    <w:bookmarkStart w:id="15" w:name="page16"/>
    <w:bookmarkEnd w:id="15"/>
    <w:p>
      <w:pPr>
        <w:jc w:val="both"/>
        <w:ind w:right="340"/>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Sales have increased year over year due to the appreciation in value of Euro denominated sales relative to the U.S. Dollar and due to sale price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related to material inflation and general price increases. Most of the price increases were to cover raw material inflation. The remainder of the price increases were related to recovering non material inflation or related to improving profitability. Sales have decreased due to lower sales volumes to automotive customers in both the U.S. and Europe automotive markets. The lower sales values in Europe occurred primarily during the last month of the quarter</w:t>
      </w:r>
    </w:p>
    <w:p>
      <w:pPr>
        <w:spacing w:after="0" w:line="21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Cost of products sold increased year over year primarily due to the increase in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Euro denominated costs relative to the U.S. Dollar and due to raw material, labor and utility cost inflation experienced during the three month period ended September 30, 2008. Offsetting these increases were favorable impacts from our Level 3 cost reduction program and other planned projects focused on reducing manufacturing cost at all locations and specifically from operating improvements at our three newest operations: Whirlaway, China, and Slovakia. Additionally, costs were lower due to decreased sales volume in U.S. and European automotive markets.</w:t>
      </w:r>
    </w:p>
    <w:p>
      <w:pPr>
        <w:spacing w:after="0" w:line="20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increase was primarily due to the increase in the value of Euro denominated costs relative to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 Excluding foreign exchange impacts, expenses were higher due to increased wage related cost including severance cost for a small number of employees.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These costs are higher due to the increase in the value of the Euro based depreciation and amortization relative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Additionally, depreciation expense increased on assets placed in service at our new plants in China and Slovakia.</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is lower due to decreases in the base LIBOR interest rate which reduced the cost of borrowing under our variable rate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September 30, 2007, we accrued $1.3 million for severance cost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Metal Bearing Components restructuring.</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2008 third quarter effective rate of 31% was lower than the 2007 third quarter effective rate of 79%. The tax rate of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2007 was impacted by the accrued severance cost of $1.4 million with only a 7% effective tax rate. The minimal tax impact was due to the valuation reserves placed on the tax benefits from the severance cost. The low effective rate for the severance cost increased the 2007 third quarter overall tax rate 37%.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7"/>
          </w:tcPr>
          <w:p>
            <w:pPr>
              <w:jc w:val="right"/>
              <w:ind w:right="14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59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70,814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9,893</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i w:val="1"/>
                <w:iCs w:val="1"/>
                <w:color w:val="auto"/>
              </w:rPr>
              <w:t>5,168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i w:val="1"/>
                <w:iCs w:val="1"/>
                <w:color w:val="auto"/>
              </w:rPr>
              <w:t>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(475)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i w:val="1"/>
                <w:iCs w:val="1"/>
                <w:color w:val="auto"/>
              </w:rPr>
              <w:t>3,774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7"/>
              </w:rPr>
              <w:t>Segment net income, excluding restructuring and impairment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3,157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1,980</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3"/>
          </w:tcPr>
          <w:p>
            <w:pPr>
              <w:ind w:left="1140"/>
              <w:spacing w:after="0"/>
              <w:rPr>
                <w:sz w:val="20"/>
                <w:szCs w:val="20"/>
                <w:color w:val="auto"/>
              </w:rPr>
            </w:pPr>
            <w:r>
              <w:rPr>
                <w:rFonts w:ascii="Arial" w:cs="Arial" w:eastAsia="Arial" w:hAnsi="Arial"/>
                <w:sz w:val="18"/>
                <w:szCs w:val="18"/>
                <w:color w:val="auto"/>
              </w:rPr>
              <w:t>charges, net of tax</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 net of 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1,128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income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5,137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2,029</w:t>
            </w:r>
          </w:p>
        </w:tc>
        <w:tc>
          <w:tcPr>
            <w:tcW w:w="120" w:type="dxa"/>
            <w:vAlign w:val="bottom"/>
          </w:tcPr>
          <w:p>
            <w:pPr>
              <w:spacing w:after="0"/>
              <w:rPr>
                <w:sz w:val="18"/>
                <w:szCs w:val="18"/>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3,108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sales increase in the Metal Bearing Components Segment was due to the positive impacts from the rise in value of Euro based sales relative to the U.S. Dollar. Additionally, the Metal Bearing Components Segment experienced higher sales volume in North America and Asia due to new programs, market share gains, and North American industrial end market demand. Finally, sales were higher due to price increases related to passing through raw material inflation to customers and price increase related to other inflationary impacts and overall profitability.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third quarter of 2007 segment net income included a one time unfavorable effect of $1.1 million due to severance charges that did not repeat in the third quarter of 2008. Excluding the effects of severance cost in 2007, segment net income increased due to the higher sales volume in North America and from the benefits from various cost reductions programs across all locations and improved operational results in our newest operations in China and Slovakia.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w w:val="90"/>
              </w:rPr>
              <w:t>Three months ended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15,166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15,594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(428)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i w:val="1"/>
                <w:i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(428)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(633)</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rPr>
              <w:t>483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Sales volume to our customers that serve the U.S. automotive market, particularly light trucks, were lower than third quarter 2007 levels.</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Despite the reduced sales volume, the segment’s net loss was lower due to production efficiencies resulting from cost improvement projects targeting reduction in labor and manufacturing supplies costs and from lower net interest cost.</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514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12,613</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1"/>
              </w:rPr>
              <w:t>(3,620)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(3,313)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Price/Mix</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Revenues in the Plastic and Rubber Components Segment were down from lower sales volume to customers that serve the U.S. automotive industry. The lower sales were due to a general downturn in that market. This decrease was further caused by the impact of negative price and customer mix effects.</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Segment net income was negatively affected by the volume decreases in sales net of cost of goods sold. Planned cost reduction projects, net of inflation, partially offset the volume impacts.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2008 Compared to the Nine Months Ended September 30,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300" w:type="dxa"/>
            <w:vAlign w:val="bottom"/>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6"/>
          </w:tcPr>
          <w:p>
            <w:pPr>
              <w:jc w:val="right"/>
              <w:ind w:right="1340"/>
              <w:spacing w:after="0"/>
              <w:rPr>
                <w:sz w:val="20"/>
                <w:szCs w:val="20"/>
                <w:color w:val="auto"/>
              </w:rPr>
            </w:pPr>
            <w:r>
              <w:rPr>
                <w:rFonts w:ascii="Arial" w:cs="Arial" w:eastAsia="Arial" w:hAnsi="Arial"/>
                <w:sz w:val="18"/>
                <w:szCs w:val="18"/>
                <w:b w:val="1"/>
                <w:bCs w:val="1"/>
                <w:color w:val="auto"/>
                <w:w w:val="91"/>
              </w:rPr>
              <w:t>Consolidated NN, Inc.</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348,647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314,267</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34,380</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22,963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i w:val="1"/>
                <w:iCs w:val="1"/>
                <w:color w:val="auto"/>
              </w:rPr>
              <w:t>Price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(617)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(1,110)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5,602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277,526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251,274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26,252</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19,094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7,292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Cost reduction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(8,364)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29,952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27,406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1,859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Increase in wage related cost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18,884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16,951</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1,933</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1,225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Additional depreciation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14,698</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(14,698)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(4,153)</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(4,130)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income,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23,180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23,890</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17,220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(6,211)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23,431</w:t>
            </w: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Sales have increased due to the appreciation in value of Euro denominated sales relative to the U.S. Dollar. In addition, sales were higher due to</w:t>
      </w:r>
      <w:r>
        <w:rPr>
          <w:rFonts w:ascii="Arial" w:cs="Arial" w:eastAsia="Arial" w:hAnsi="Arial"/>
          <w:sz w:val="17"/>
          <w:szCs w:val="17"/>
          <w:i w:val="1"/>
          <w:iCs w:val="1"/>
          <w:color w:val="auto"/>
        </w:rPr>
        <w:t xml:space="preserve"> </w:t>
      </w:r>
      <w:r>
        <w:rPr>
          <w:rFonts w:ascii="Arial" w:cs="Arial" w:eastAsia="Arial" w:hAnsi="Arial"/>
          <w:sz w:val="17"/>
          <w:szCs w:val="17"/>
          <w:color w:val="auto"/>
        </w:rPr>
        <w:t>sales volume increases primarily in our Metal Bearings Components Segment from market share gains and strong levels of industrial end market demand primarily in North America and in Europe to a lesser extent. Finally, sales have increased due to price increases from passing through raw material inflation to customers and price increases given to certain non-contractual customers . Partially offsetting these increases were price decreases given to several large customers in agreement with contractual terms and unfavorable product mix to existing customers.</w:t>
      </w: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00" w:right="399" w:bottom="1440" w:gutter="0" w:footer="0" w:header="0"/>
        </w:sectPr>
      </w:pPr>
    </w:p>
    <w:bookmarkStart w:id="18" w:name="page19"/>
    <w:bookmarkEnd w:id="18"/>
    <w:p>
      <w:pPr>
        <w:ind w:right="140"/>
        <w:spacing w:after="0" w:line="257"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w:t>
      </w:r>
      <w:r>
        <w:rPr>
          <w:rFonts w:ascii="Arial" w:cs="Arial" w:eastAsia="Arial" w:hAnsi="Arial"/>
          <w:sz w:val="18"/>
          <w:szCs w:val="18"/>
          <w:color w:val="auto"/>
        </w:rPr>
        <w:t>Cost of products sold increased due to the increase in value of Euro denominated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to the U.S. Dollar and due to higher sales volumes primarily in our Metal Bearing Components Segment. In addition, raw material, labor and utility inflation experienced during the nine month period of 2008 increased from 2007 levels. Offsetting these increases were favorable impacts from our Level 3 cost reduction program and other planned projects focused on reducing manufacturing costs at all locations and from operating improvements at our three newest operations: Whirlaway, China, and Slovakia.</w:t>
      </w:r>
    </w:p>
    <w:p>
      <w:pPr>
        <w:spacing w:after="0" w:line="21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increase was primarily due to the increase in the value of Euro denominated costs relative to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 In addition, spending on wage related costs were higher in the third quarter of 2008 including the effects of severance related costs for certain employees.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These costs are higher due to the increase in the value of the Euro based depreciation and amortization relative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Additionally, depreciation expense increased for assets placed in service at our new plants in China and Slovakia.</w:t>
      </w:r>
    </w:p>
    <w:p>
      <w:pPr>
        <w:spacing w:after="0" w:line="23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quarter ended June 30, 2007, we impaired certain goodwill and fixed asset balances related to the Metal</w:t>
      </w:r>
      <w:r>
        <w:rPr>
          <w:rFonts w:ascii="Arial" w:cs="Arial" w:eastAsia="Arial" w:hAnsi="Arial"/>
          <w:sz w:val="16"/>
          <w:szCs w:val="16"/>
          <w:i w:val="1"/>
          <w:iCs w:val="1"/>
          <w:color w:val="auto"/>
        </w:rPr>
        <w:t xml:space="preserve"> </w:t>
      </w:r>
      <w:r>
        <w:rPr>
          <w:rFonts w:ascii="Arial" w:cs="Arial" w:eastAsia="Arial" w:hAnsi="Arial"/>
          <w:sz w:val="16"/>
          <w:szCs w:val="16"/>
          <w:color w:val="auto"/>
        </w:rPr>
        <w:t>Bearing Components Segment restructuring totaling $13.4 million and during the third quarter of 2007, we accrued $1.3 million of severance cost.</w:t>
      </w:r>
    </w:p>
    <w:p>
      <w:pPr>
        <w:spacing w:after="0" w:line="15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lower due to decreases in the base LIBOR interest rate which reduced the cost of borrowing under our variable rate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w:t>
      </w:r>
    </w:p>
    <w:p>
      <w:pPr>
        <w:spacing w:after="0" w:line="19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During the three month period ended June 30, 2008, the Veenendaal, The Netherlands facility (part of the Metal Bearing</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Segment) disposed of excess land with a book value of $1.6 million for proceeds of $5.6 million and a resulting gain of $4.0 million ($3.0 million after tax).</w:t>
      </w:r>
    </w:p>
    <w:p>
      <w:pPr>
        <w:spacing w:after="0" w:line="20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nine month period ended September 30, 2008 effective rate of 26% was higher than the 2007 nine month period effective rate</w:t>
      </w:r>
      <w:r>
        <w:rPr>
          <w:rFonts w:ascii="Arial" w:cs="Arial" w:eastAsia="Arial" w:hAnsi="Arial"/>
          <w:sz w:val="16"/>
          <w:szCs w:val="16"/>
          <w:i w:val="1"/>
          <w:iCs w:val="1"/>
          <w:color w:val="auto"/>
        </w:rPr>
        <w:t xml:space="preserve"> </w:t>
      </w:r>
      <w:r>
        <w:rPr>
          <w:rFonts w:ascii="Arial" w:cs="Arial" w:eastAsia="Arial" w:hAnsi="Arial"/>
          <w:sz w:val="16"/>
          <w:szCs w:val="16"/>
          <w:color w:val="auto"/>
        </w:rPr>
        <w:t>of negative 774%. The 2008 rate was reduced, as compared to the U.S. statutory rate, by the effect of electing to eliminate a portion of deferred tax liabilities at our Italian location under provisions of a new Italian law. This provided a $1.1 million benefit and reduced the 2008 overall tax rate 4.7 percentage points. Additionally, the gain of the sale of land, in the second quarter of 2008, was taxed at a lower rate than our traditional blended tax rate which reduced the 2008 overall tax rate 1.8 percentage points. Finally, the tax rate for the nine months ended September 30, 2008 was favorably impacted 1.5 percentage points by a reduction in certain foreign tax rates and the utilization of net operating loss carry forwards, which previously were 100% offset by valuation allowances, to offset taxable income at certain foreign locations. The tax rate of the nine months ended September 30, 2007 was impacted by the large impairment charges and severance costs with the minimal tax impact due to valuation reserves placed on the tax benefits from the impairment and severance charges and other related tax benefits which reduced the 2007 tax rate by 703 percentage points.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7"/>
          </w:tcPr>
          <w:p>
            <w:pPr>
              <w:jc w:val="right"/>
              <w:ind w:right="144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241"/>
        </w:trPr>
        <w:tc>
          <w:tcPr>
            <w:tcW w:w="59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265,457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224,373</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41,084</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i w:val="1"/>
                <w:iCs w:val="1"/>
                <w:color w:val="auto"/>
              </w:rPr>
              <w:t>22,964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(943)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(1,099)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i w:val="1"/>
                <w:iCs w:val="1"/>
                <w:color w:val="auto"/>
              </w:rPr>
              <w:t>6,331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7"/>
              </w:rPr>
              <w:t>Segment net income, excluding restructuring and impairment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21,647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12,901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8,746</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3"/>
          </w:tcPr>
          <w:p>
            <w:pPr>
              <w:ind w:left="1140"/>
              <w:spacing w:after="0"/>
              <w:rPr>
                <w:sz w:val="20"/>
                <w:szCs w:val="20"/>
                <w:color w:val="auto"/>
              </w:rPr>
            </w:pPr>
            <w:r>
              <w:rPr>
                <w:rFonts w:ascii="Arial" w:cs="Arial" w:eastAsia="Arial" w:hAnsi="Arial"/>
                <w:sz w:val="18"/>
                <w:szCs w:val="18"/>
                <w:color w:val="auto"/>
              </w:rPr>
              <w:t>charges, net of tax</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 net of 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(14,548)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14,548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21,647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(1,647)</w:t>
            </w:r>
          </w:p>
        </w:tc>
        <w:tc>
          <w:tcPr>
            <w:tcW w:w="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23,294</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sales increase in the Metal Bearing Components Segment was due to the positive impacts from the rise in value of Euro based sales relative to the U.S. Dollar and due to higher sales volume in North America, Europe and Asia from new programs, market share gains, and strong European and North American industrial end market demand experienced prior to the last month of the current quarter. Finally, sales increased due to price increases related to passing through raw material inflation to customers and from price increases given to certain non-contractual customers. These increases were partially offset by unfavorable product and customer mix and due to contractual price decreases to certain large customers.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2008 segment net income was positively impacted by two non-operating one-time benefits. The first was a $3.0 million after tax gain on sale of excess land. The other was a $1.1 million tax benefit related to reducing certain deferred tax liabilities at our Italian operation under a new Italian tax law. Additionally, 2008 segment net income was favorable to 2007 segment net loss due to the $14.5 million of impairment charges, net of tax, in 2007 that did not repeat in 2008.</w:t>
      </w:r>
    </w:p>
    <w:p>
      <w:pPr>
        <w:spacing w:after="0" w:line="21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Factoring out the one-time non-operating benefits, segment net income increased due to the higher sales volume and from the appreciation of Euro denominated sales less Euro denominated cost. In addition, planned cost reduction initiatives at all locations, in particular at our Asia and Slovakia operations, had a positive impact, net of inflation. Offsetting these gains were the effects of price decreases given to certain customers under contractual terms and unfavorable customer and product mix impacts.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8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51,453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50,730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rPr>
              <w:t>723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723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(1,093)</w:t>
            </w:r>
          </w:p>
        </w:tc>
        <w:tc>
          <w:tcPr>
            <w:tcW w:w="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970"/>
              <w:spacing w:after="0"/>
              <w:rPr>
                <w:sz w:val="20"/>
                <w:szCs w:val="20"/>
                <w:color w:val="auto"/>
              </w:rPr>
            </w:pPr>
            <w:r>
              <w:rPr>
                <w:rFonts w:ascii="Arial" w:cs="Arial" w:eastAsia="Arial" w:hAnsi="Arial"/>
                <w:sz w:val="18"/>
                <w:szCs w:val="18"/>
                <w:b w:val="1"/>
                <w:bCs w:val="1"/>
                <w:color w:val="auto"/>
                <w:w w:val="93"/>
              </w:rPr>
              <w:t>1,869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7"/>
        </w:trPr>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ind w:right="140"/>
        <w:spacing w:after="0" w:line="264" w:lineRule="auto"/>
        <w:rPr>
          <w:sz w:val="20"/>
          <w:szCs w:val="20"/>
          <w:color w:val="auto"/>
        </w:rPr>
      </w:pPr>
      <w:r>
        <w:rPr>
          <w:rFonts w:ascii="Arial" w:cs="Arial" w:eastAsia="Arial" w:hAnsi="Arial"/>
          <w:sz w:val="18"/>
          <w:szCs w:val="18"/>
          <w:color w:val="auto"/>
        </w:rPr>
        <w:t>Sales volume increased at our largest heating, ventilation and air conditioning equipment customer from unusually low levels in 2007. However, during the second and third quarters, these volume increases were mostly offset by reduced sales to customers that serve the U.S. automotive market, particularly light trucks.</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segment’s net income increased due primarily to production efficiencies in labor and manufacturing supplies experienced in all three periods of 2008 through the application of our Level 3 and other cost improvement programs. In addition, the higher sales volume favorably impacted segment net income along with lower interest cost.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right"/>
              <w:ind w:right="144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241"/>
        </w:trPr>
        <w:tc>
          <w:tcPr>
            <w:tcW w:w="514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31,737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39,164</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1"/>
              </w:rPr>
              <w:t>(7,427)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(7,011)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Price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i w:val="1"/>
                <w:iCs w:val="1"/>
                <w:color w:val="auto"/>
              </w:rPr>
              <w:t>Mix</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(742)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Segment net income</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1,686</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910"/>
              <w:spacing w:after="0"/>
              <w:rPr>
                <w:sz w:val="20"/>
                <w:szCs w:val="20"/>
                <w:color w:val="auto"/>
              </w:rPr>
            </w:pPr>
            <w:r>
              <w:rPr>
                <w:rFonts w:ascii="Arial" w:cs="Arial" w:eastAsia="Arial" w:hAnsi="Arial"/>
                <w:sz w:val="18"/>
                <w:szCs w:val="18"/>
                <w:b w:val="1"/>
                <w:bCs w:val="1"/>
                <w:color w:val="auto"/>
                <w:w w:val="91"/>
              </w:rPr>
              <w:t>(1,510)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Revenues in the Plastic and Rubber Components Segment were down due to lower sales volume to customers that sell products to U.S. automotive manufacturers. The lower sales were due to a general downturn in that market and due to the effects of a strike at a major U.S. automotive supplier, earlier in the year, which affected several of our customers’ sales volumes. This decrease was partially offset by the impact of price increases at certain customers.</w:t>
      </w:r>
    </w:p>
    <w:p>
      <w:pPr>
        <w:spacing w:after="0" w:line="1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Segment net income was negatively affected by the volume decreases in sales net of cost of goods sold. Planned cost reduction projects and price increases, net of inflation, partially offset the volume impacts.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December 31, 2007 to September 30, 2008, our total assets and current assets increased $4.3 million and $12.0 million, respectively. The depreciation in the value of Euro denominated account balances relative to the U.S. Dollar caused total assets and current assets to decrease approximately $5.9 million and $3.2 million, respectively, from December 31, 2007. Factoring out the foreign exchange effects, accounts receivable was higher by $4.6 million due to increased sales volume in the third quarter of 2008 over the fourth quarter of 2007 and due to timing of certain customer payments. Inventories were higher $7.6 million due to increased production levels in the third quarter of 2008 and due to inflationary impacts of raw material. Factoring out foreign exchange effects, property, plant and equipment decreased $5.8 million as year to date capital spending has been lower than depreciation and land with a net book value of $1.6 million was disposed of in the second quarter of 2008.</w:t>
      </w:r>
    </w:p>
    <w:p>
      <w:pPr>
        <w:spacing w:after="0" w:line="2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From December 31, 2007 to September 30, 2008, our total liabilities and current liabilities decreased $13.0 million and $14.3 million, respectively. The depreciation in the value of Euro denominated account balances relative to the U.S. Dollar caused total liabilities and current liabilities to decrease approximately $2.0 million and $1.3 million, respectively, from December 31, 2007. Factoring out the foreign exchange effects, accounts payable was down $10.2 million due to timing of purchases from and payments to European vendors and the reduction of cash overdraft balances. In addition, current liabilities were lower due to the reduction in the current maturities of long-term debt of $5.6 million which was mostly reclassified to long- term debt.</w:t>
      </w:r>
    </w:p>
    <w:p>
      <w:pPr>
        <w:spacing w:after="0" w:line="200" w:lineRule="exact"/>
        <w:rPr>
          <w:sz w:val="20"/>
          <w:szCs w:val="20"/>
          <w:color w:val="auto"/>
        </w:rPr>
      </w:pP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was $80.1 million at September 30, 2008 as compared to $53.8 million at December 31, 2007. The ratio of current assets to current liabilities increased from 1.64:1 at December 31, 2007 to 2.14:1 at September 30, 2008. The increase in working capital was due primarily to the $4.6 million increase in accounts receivable balances, the $7.6 increase in inventory levels and the $10.2 million decrease in accounts payable. In addition, a $5.6 million reduction in the balance of the current portion of long-term debt increased working capital. The majority of that reduction was reclassified to long-term debt.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ind w:right="200"/>
        <w:spacing w:after="0" w:line="264" w:lineRule="auto"/>
        <w:rPr>
          <w:sz w:val="20"/>
          <w:szCs w:val="20"/>
          <w:color w:val="auto"/>
        </w:rPr>
      </w:pPr>
      <w:r>
        <w:rPr>
          <w:rFonts w:ascii="Arial" w:cs="Arial" w:eastAsia="Arial" w:hAnsi="Arial"/>
          <w:sz w:val="18"/>
          <w:szCs w:val="18"/>
          <w:color w:val="auto"/>
        </w:rPr>
        <w:t>Cash flow provided by operations was $12.0 million during the first nine months of 2008 compared with cash flow provided by operations of $10.8 million during the first nine months of 2007. The increase in cash flow provided by operations is due to increased net income partially offset by higher levels of working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Amounts outstanding under our $135.0 million credit facility and our $40.0 million senior notes as of September 30, 2008 were $75.6 million and $34.3 million, respectively. See Note 8 of the Notes to Consolidated Financial Statements. We were in compliance with all covenants of our $135.0 million credit facility and our $40.0 million senior notes as of September 30, 2008. As of September 30, 2008, the Company had a maximum $59.4 million of availability under the $135.0 million revolving credit facility limited by the level of Earnings before interest, taxes, depreciation and amortization (“EBITDA”) we have earned for the trailing twelve months. As of the date of this report, we have the ability to draw approximately $32.5 million of the total $59.4 million based on our current level of EBITDA.</w:t>
      </w:r>
    </w:p>
    <w:p>
      <w:pPr>
        <w:spacing w:after="0" w:line="22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Even though we have sufficient availability to borrow under our existing credit agreements at this time, due to the current global credit crisis and economic downturn our ability to obtain credit could be impaired depending on the level of reduction in our EBITDA. In the event we have to obtain credit in replacement of or in addition to our existing credit facilities, the terms are not likely to be as favorable as our current facilities due to dramatic increases, during the last 12 to 18 months, in the interest rate margins charged by lending institutions. In addition, depending on our EBITDA levels and the degree credit markets are tightened, we may not be able to enter into new or additional credit facilities in the future.</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our locations use the Euro as their functional currency. In 2008, the fluctuation of the Euro against the U.S. Dollar favorably impacted revenue and income but decreased the value of assets and liabilities. The average Euro exchange rate, which affects the income statement, was higher for the nine months ended September 30, 2008 compared with the nine months ended September 30, 2007. However, the exchange spot rate, which affects the balance sheet, at September 30, 2008 was lower than the exchange rate at December 31, 2007. As of September 30, 2008, no currency hedges were in place. Changes in value of the U.S. Dollar and/or Euro against foreign currencies could impair our ability to compete with international competitors for foreign as well as domestic sales.</w:t>
      </w:r>
    </w:p>
    <w:p>
      <w:pPr>
        <w:spacing w:after="0" w:line="22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2008, we plan to spend approximately $18.5 million on capital expenditures. Of this amount, approximately $13.8 million has been spent through September 30, 2008. We intend to finance future fixed asset purchases with cash generated from operations and funds available under the credit facilities described above. We believe that funds generated from operations and borrowings from the credit facilities will be sufficient to finance our working capital needs, projected capital expenditure requirements, possible stock repurchases and expected dividend payments through December 2009.</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the third quarter of 2008, our Board of Directors authorized a new stock repurchase program under which we are authorized to repurchase up to $20 million worth of our common stock during the subsequent 12 months in the open market or in private transactions, in accordance with applicable laws and regulations. This new plan replaced a $25 million repurchase plan that expired on September 13, 2008. During the three and nine month periods ended September 30, 2008, the Company did not repurchase any shares under either of these plans or make any other repurchases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significant accounting policies, including the assumptions and judgments underlying them, are disclosed in our annual report on Form 10-K for the year ended December 31, 2007,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nine month period ended September 30, 2008 was adoption of SFAS 157 and SFAS 159 related to accounting for financial assets and liabilities under fair value. SFAS 157 and SFAS 159 have had no effect on the financial statements for the nine month period ended September 30, 2008.</w:t>
      </w:r>
    </w:p>
    <w:p>
      <w:pPr>
        <w:spacing w:after="0" w:line="2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Goodwill balances within our balance sheet are tested for impairment on an annual basis during the fourth quarter and more often if circumstances require. Certain of our reporting units with goodwill balances have been negatively impacted, in the current three and nine month periods ended September 30, 2008, by the global economic downturn particularly due to the effect on the automotive market. Management’s opinion is that these negative effects do not constitute a triggering event for early impairment testing due to the short term nature of these negative impacts. We are currently in the process of developing long range forecasts for these reporting units, and this information will be used as part of our annual impairment testing, in order to determine if there has been any impairment in the carrying value of these reporting units. As of the date of this report, we have not yet determined if there has been any impairment in carrying value of the reporting units in question. However, depending on the severity of the current and future impacts of the global economic downturn, we may have an impairment in goodwill at one or more of our reporting units in the future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supply agreements with SKF for tapered rollers and steel cages and with the Schaeffler Group for steel balls expired May 1, 2008 and June 30, 2008, respectively. We are in the process of negotiating new supply contracts with SKF for the tapered rollers and steel cages. We have an informal agreement in principle to continue the current commercial terms until the end of 2008. A new contract for beyond 2008 is still in the process of being negotiated. In regards to the Schaeffler Group, we are still in the process of negotiating a new contract. We continue to sell to Schaeffler under similar commercial terms as the prior formal contract. For the three and nine month periods ended September 30, 2008, our percentage of total sales to SKF and Schaeffler are consistent with those reported in our Annual Report on Form 10-K for the fiscal year ended December 31,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Restructuring</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previously mentioned in our annual report on Form 10-K for the year ended December 31, 2007, during the first quarter of 2008 we officially signed an agreement with representatives of the Eltmann, Germany plant employees that contained significant contract revisions including new wage rates and increase hours worked per week. This contract is in effect for two years through December 31, 2009. During this time, we have agreed not to involuntarily downsize employment levels at this location.</w:t>
      </w:r>
    </w:p>
    <w:p>
      <w:pPr>
        <w:spacing w:after="0" w:line="21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It is possible we might incur significant cash and non-cash restructuring costs and impairment charges related to reducing or eliminating the work force at one or more of our Metal Bearing Components Segment European ball manufacturing locations depending on the facts and circumstances at that time.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18"/>
          <w:szCs w:val="18"/>
          <w:b w:val="1"/>
          <w:bCs w:val="1"/>
          <w:color w:val="auto"/>
        </w:rPr>
        <w:t>Quantitative and Qualitative Disclosures About Market Risk</w:t>
      </w:r>
    </w:p>
    <w:p>
      <w:pPr>
        <w:spacing w:after="0" w:line="2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2008, we had $75.6 million outstanding under our variable rate revolving credit facilities and $34.3 million fixed rate senior notes outstanding. See Note 8 of the Notes to Consolidated Financial Statements. At September 30, 2008, a one-percent increase in the interest rate charged on our outstanding variable rate borrowings would result in interest expense increasing annually by approximately $0.8 million.</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September 30,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Chief Executive Officer and Chief Financial Officer, concluded that our disclosure controls and procedures are effective as of September 30, 2008, the end of the period covered by this quarterly report.</w:t>
      </w:r>
    </w:p>
    <w:p>
      <w:pPr>
        <w:spacing w:after="0" w:line="19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have been no changes in the fiscal quarter ended September 30, 2008 in our internal control over financial reporting or in other factors that have materially affected, or are reasonably likely to materially affect, our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previously reported, we have joined a group of potentially responsible parties (“PRP Group”) to voluntarily address the clean up of a former waste recycler identified by the Environmental Protection Agency (“EPA”). The Company’s has contributed $28 through the end of September 30, 2008 to an escrow fund managed by the PRP Group. A Remedial Investigation report submitted to the EPA has been approved and the PRP Group is now preparing a Feasibility Study to assess acceptable cleanup methods. As of the date of this report, we do not know whether we have any liability beyond the contribution to the escrow account mentioned earlier, related to this vendor’s actions, or estimatable range for any potential liability. The Company believes its contribution to the remediation of the site, if any, would be approximately 1.083% or less of the volume of waste sent to the facility and the Company asserts that its waste was non-hazardous.</w:t>
      </w:r>
    </w:p>
    <w:p>
      <w:pPr>
        <w:spacing w:after="0" w:line="21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not been any material changes in risk factors from those disclosed in our annual report on Form 10-K for the year ended December 31, 2007 filed on March 17, 2008, except for the impact of a global recession discussed below.</w:t>
      </w:r>
    </w:p>
    <w:p>
      <w:pPr>
        <w:spacing w:after="0" w:line="19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recession impacting both U.S. and Europe automotive and industrial markets could have a material adverse effect on our ability to finance our operations and implement our growth strategy.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last month of the three month period ended September 30, 2008, we experienced a sudden and significant reduction in customer demand in Europe driven by reductions of 20% or more in automotive end market demand. At the same time, our Plastic and Rubber Components and our Precision Metal Components Segments have continued to be negatively impacted by reductions in North American automotive demand that began in the three month period ended June 30, 2008 and worsened in the current three month period.</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Also, during this same time period, the global financial markets experienced a severe credit crisis which is impacting our ability and the ability of our customers to obtain new credit.</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company has never been affected by a recession that has impacted both of our key geographic markets of the U.S. and Europe simultaneously. Continued sudden and significant reductions in sales to our customers could materially reduce our operating results due to the profits lost on reduced sales levels plus the inability in the short term to reduce our variable and fixed cost of operations. A continued recession could have a material adverse effect on our financial condition and results of operations.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our ability to sustain our existing committed credit facilities and our ability to obtain new credit to finance our operations and growth plans could be impaired depending on our performance against established financial covenants including our level of earnings.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9" w:lineRule="exact"/>
        <w:rPr>
          <w:sz w:val="20"/>
          <w:szCs w:val="20"/>
          <w:color w:val="auto"/>
        </w:rPr>
      </w:pPr>
    </w:p>
    <w:p>
      <w:pPr>
        <w:ind w:left="980" w:hanging="270"/>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None</w:t>
      </w:r>
    </w:p>
    <w:p>
      <w:pPr>
        <w:spacing w:after="0" w:line="8" w:lineRule="exact"/>
        <w:rPr>
          <w:rFonts w:ascii="Arial" w:cs="Arial" w:eastAsia="Arial" w:hAnsi="Arial"/>
          <w:sz w:val="22"/>
          <w:szCs w:val="22"/>
          <w:color w:val="auto"/>
        </w:rPr>
      </w:pPr>
    </w:p>
    <w:p>
      <w:pPr>
        <w:ind w:left="1000" w:hanging="290"/>
        <w:spacing w:after="0" w:line="230" w:lineRule="auto"/>
        <w:tabs>
          <w:tab w:leader="none" w:pos="10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None</w:t>
      </w:r>
    </w:p>
    <w:p>
      <w:pPr>
        <w:ind w:left="980" w:hanging="270"/>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19"/>
          <w:szCs w:val="19"/>
          <w:color w:val="auto"/>
        </w:rPr>
        <w:t xml:space="preserve">31.1 </w:t>
      </w:r>
      <w:r>
        <w:rPr>
          <w:rFonts w:ascii="Arial" w:cs="Arial" w:eastAsia="Arial" w:hAnsi="Arial"/>
          <w:sz w:val="16"/>
          <w:szCs w:val="16"/>
          <w:color w:val="auto"/>
        </w:rPr>
        <w:t>Certification of Chief Executive Officer pursuant to Section 302 of Sarbanes-Oxley Act.</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 xml:space="preserve">31.2 </w:t>
      </w:r>
      <w:r>
        <w:rPr>
          <w:rFonts w:ascii="Arial" w:cs="Arial" w:eastAsia="Arial" w:hAnsi="Arial"/>
          <w:sz w:val="16"/>
          <w:szCs w:val="16"/>
          <w:color w:val="auto"/>
        </w:rPr>
        <w:t>Certification of Chief Financial Officer pursuant to Section 302 of Sarbanes-Oxley Act.</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32.1 Certification of Chief Executive Officer pursuant to Section 906 of Sarbanes-Oxley Act.</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9"/>
          <w:szCs w:val="19"/>
          <w:color w:val="auto"/>
        </w:rPr>
        <w:t xml:space="preserve">32.2 </w:t>
      </w:r>
      <w:r>
        <w:rPr>
          <w:rFonts w:ascii="Arial" w:cs="Arial" w:eastAsia="Arial" w:hAnsi="Arial"/>
          <w:sz w:val="16"/>
          <w:szCs w:val="16"/>
          <w:color w:val="auto"/>
        </w:rPr>
        <w:t>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5" w:name="page26"/>
    <w:bookmarkEnd w:id="2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NN</w:t>
      </w:r>
      <w:r>
        <w:rPr>
          <w:rFonts w:ascii="Arial" w:cs="Arial" w:eastAsia="Arial" w:hAnsi="Arial"/>
          <w:sz w:val="18"/>
          <w:szCs w:val="18"/>
          <w:b w:val="1"/>
          <w:bCs w:val="1"/>
          <w:color w:val="auto"/>
        </w:rPr>
        <w: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27527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Chairman, President and Chief Executive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 Corporate Development and</w:t>
      </w:r>
    </w:p>
    <w:p>
      <w:pPr>
        <w:spacing w:after="0" w:line="2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33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William C. Kelly, Jr.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Administrative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33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7"/>
          <w:szCs w:val="17"/>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Thomas C. Burwell, Jr.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Controller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79" w:lineRule="exact"/>
        <w:rPr>
          <w:sz w:val="20"/>
          <w:szCs w:val="20"/>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79" w:lineRule="exact"/>
        <w:rPr>
          <w:rFonts w:ascii="Arial" w:cs="Arial" w:eastAsia="Arial" w:hAnsi="Arial"/>
          <w:sz w:val="18"/>
          <w:szCs w:val="18"/>
          <w:color w:val="auto"/>
        </w:rPr>
      </w:pPr>
    </w:p>
    <w:p>
      <w:pPr>
        <w:jc w:val="both"/>
        <w:ind w:right="180" w:firstLine="656"/>
        <w:spacing w:after="0" w:line="342" w:lineRule="auto"/>
        <w:tabs>
          <w:tab w:leader="none" w:pos="99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180" w:firstLine="656"/>
        <w:spacing w:after="0" w:line="308" w:lineRule="auto"/>
        <w:tabs>
          <w:tab w:leader="none" w:pos="999"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right="140" w:firstLine="656"/>
        <w:spacing w:after="0" w:line="264" w:lineRule="auto"/>
        <w:tabs>
          <w:tab w:leader="none" w:pos="99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40"/>
        <w:spacing w:after="0" w:line="286" w:lineRule="auto"/>
        <w:tabs>
          <w:tab w:leader="none" w:pos="1715" w:val="left"/>
        </w:tabs>
        <w:numPr>
          <w:ilvl w:val="2"/>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9" w:lineRule="exact"/>
        <w:rPr>
          <w:rFonts w:ascii="Arial" w:cs="Arial" w:eastAsia="Arial" w:hAnsi="Arial"/>
          <w:sz w:val="17"/>
          <w:szCs w:val="17"/>
          <w:color w:val="auto"/>
        </w:rPr>
      </w:pPr>
    </w:p>
    <w:p>
      <w:pPr>
        <w:ind w:left="1300" w:right="60" w:firstLine="113"/>
        <w:spacing w:after="0" w:line="238" w:lineRule="auto"/>
        <w:tabs>
          <w:tab w:leader="none" w:pos="1822" w:val="left"/>
        </w:tabs>
        <w:numPr>
          <w:ilvl w:val="3"/>
          <w:numId w:val="5"/>
        </w:numPr>
        <w:rPr>
          <w:rFonts w:ascii="Arial" w:cs="Arial" w:eastAsia="Arial" w:hAnsi="Arial"/>
          <w:sz w:val="22"/>
          <w:szCs w:val="22"/>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6" w:lineRule="exact"/>
        <w:rPr>
          <w:rFonts w:ascii="Arial" w:cs="Arial" w:eastAsia="Arial" w:hAnsi="Arial"/>
          <w:sz w:val="22"/>
          <w:szCs w:val="22"/>
          <w:color w:val="auto"/>
        </w:rPr>
      </w:pPr>
    </w:p>
    <w:p>
      <w:pPr>
        <w:ind w:left="1300" w:firstLine="143"/>
        <w:spacing w:after="0" w:line="297" w:lineRule="auto"/>
        <w:tabs>
          <w:tab w:leader="none" w:pos="1850" w:val="left"/>
        </w:tabs>
        <w:numPr>
          <w:ilvl w:val="4"/>
          <w:numId w:val="5"/>
        </w:numPr>
        <w:rPr>
          <w:rFonts w:ascii="Arial" w:cs="Arial" w:eastAsia="Arial" w:hAnsi="Arial"/>
          <w:sz w:val="19"/>
          <w:szCs w:val="19"/>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Arial" w:cs="Arial" w:eastAsia="Arial" w:hAnsi="Arial"/>
          <w:sz w:val="19"/>
          <w:szCs w:val="19"/>
          <w:color w:val="auto"/>
        </w:rPr>
      </w:pPr>
    </w:p>
    <w:p>
      <w:pPr>
        <w:jc w:val="both"/>
        <w:ind w:left="1300" w:firstLine="160"/>
        <w:spacing w:after="0" w:line="238" w:lineRule="auto"/>
        <w:tabs>
          <w:tab w:leader="none" w:pos="1890" w:val="left"/>
        </w:tabs>
        <w:numPr>
          <w:ilvl w:val="5"/>
          <w:numId w:val="5"/>
        </w:numPr>
        <w:rPr>
          <w:rFonts w:ascii="Arial" w:cs="Arial" w:eastAsia="Arial" w:hAnsi="Arial"/>
          <w:sz w:val="22"/>
          <w:szCs w:val="22"/>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22"/>
          <w:szCs w:val="22"/>
          <w:color w:val="auto"/>
        </w:rPr>
      </w:pPr>
    </w:p>
    <w:p>
      <w:pPr>
        <w:spacing w:after="0" w:line="300" w:lineRule="exact"/>
        <w:rPr>
          <w:rFonts w:ascii="Arial" w:cs="Arial" w:eastAsia="Arial" w:hAnsi="Arial"/>
          <w:sz w:val="22"/>
          <w:szCs w:val="22"/>
          <w:color w:val="auto"/>
        </w:rPr>
      </w:pPr>
    </w:p>
    <w:p>
      <w:pPr>
        <w:ind w:right="100" w:firstLine="656"/>
        <w:spacing w:after="0" w:line="308" w:lineRule="auto"/>
        <w:tabs>
          <w:tab w:leader="none" w:pos="99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300" w:right="340" w:hanging="158"/>
        <w:spacing w:after="0" w:line="251" w:lineRule="auto"/>
        <w:tabs>
          <w:tab w:leader="none" w:pos="1594" w:val="left"/>
        </w:tabs>
        <w:numPr>
          <w:ilvl w:val="1"/>
          <w:numId w:val="5"/>
        </w:numPr>
        <w:rPr>
          <w:rFonts w:ascii="Arial" w:cs="Arial" w:eastAsia="Arial" w:hAnsi="Arial"/>
          <w:sz w:val="21"/>
          <w:szCs w:val="21"/>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21"/>
          <w:szCs w:val="21"/>
          <w:color w:val="auto"/>
        </w:rPr>
      </w:pPr>
    </w:p>
    <w:p>
      <w:pPr>
        <w:ind w:left="1820" w:hanging="407"/>
        <w:spacing w:after="0"/>
        <w:tabs>
          <w:tab w:leader="none" w:pos="1820" w:val="left"/>
        </w:tabs>
        <w:numPr>
          <w:ilvl w:val="3"/>
          <w:numId w:val="5"/>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Chairman, President and Chief Executive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60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79" w:lineRule="exact"/>
        <w:rPr>
          <w:sz w:val="20"/>
          <w:szCs w:val="20"/>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79" w:lineRule="exact"/>
        <w:rPr>
          <w:rFonts w:ascii="Arial" w:cs="Arial" w:eastAsia="Arial" w:hAnsi="Arial"/>
          <w:sz w:val="18"/>
          <w:szCs w:val="18"/>
          <w:color w:val="auto"/>
        </w:rPr>
      </w:pPr>
    </w:p>
    <w:p>
      <w:pPr>
        <w:jc w:val="both"/>
        <w:ind w:right="180" w:firstLine="656"/>
        <w:spacing w:after="0" w:line="342" w:lineRule="auto"/>
        <w:tabs>
          <w:tab w:leader="none" w:pos="999"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180" w:firstLine="656"/>
        <w:spacing w:after="0" w:line="308" w:lineRule="auto"/>
        <w:tabs>
          <w:tab w:leader="none" w:pos="999"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right="140" w:firstLine="656"/>
        <w:spacing w:after="0" w:line="264" w:lineRule="auto"/>
        <w:tabs>
          <w:tab w:leader="none" w:pos="99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40"/>
        <w:spacing w:after="0" w:line="286" w:lineRule="auto"/>
        <w:tabs>
          <w:tab w:leader="none" w:pos="1715" w:val="left"/>
        </w:tabs>
        <w:numPr>
          <w:ilvl w:val="2"/>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9" w:lineRule="exact"/>
        <w:rPr>
          <w:rFonts w:ascii="Arial" w:cs="Arial" w:eastAsia="Arial" w:hAnsi="Arial"/>
          <w:sz w:val="17"/>
          <w:szCs w:val="17"/>
          <w:color w:val="auto"/>
        </w:rPr>
      </w:pPr>
    </w:p>
    <w:p>
      <w:pPr>
        <w:ind w:left="1300" w:right="60" w:firstLine="113"/>
        <w:spacing w:after="0" w:line="238" w:lineRule="auto"/>
        <w:tabs>
          <w:tab w:leader="none" w:pos="1822" w:val="left"/>
        </w:tabs>
        <w:numPr>
          <w:ilvl w:val="3"/>
          <w:numId w:val="6"/>
        </w:numPr>
        <w:rPr>
          <w:rFonts w:ascii="Arial" w:cs="Arial" w:eastAsia="Arial" w:hAnsi="Arial"/>
          <w:sz w:val="22"/>
          <w:szCs w:val="22"/>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6" w:lineRule="exact"/>
        <w:rPr>
          <w:rFonts w:ascii="Arial" w:cs="Arial" w:eastAsia="Arial" w:hAnsi="Arial"/>
          <w:sz w:val="22"/>
          <w:szCs w:val="22"/>
          <w:color w:val="auto"/>
        </w:rPr>
      </w:pPr>
    </w:p>
    <w:p>
      <w:pPr>
        <w:ind w:left="1300" w:firstLine="143"/>
        <w:spacing w:after="0" w:line="297" w:lineRule="auto"/>
        <w:tabs>
          <w:tab w:leader="none" w:pos="1850" w:val="left"/>
        </w:tabs>
        <w:numPr>
          <w:ilvl w:val="4"/>
          <w:numId w:val="6"/>
        </w:numPr>
        <w:rPr>
          <w:rFonts w:ascii="Arial" w:cs="Arial" w:eastAsia="Arial" w:hAnsi="Arial"/>
          <w:sz w:val="19"/>
          <w:szCs w:val="19"/>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Arial" w:cs="Arial" w:eastAsia="Arial" w:hAnsi="Arial"/>
          <w:sz w:val="19"/>
          <w:szCs w:val="19"/>
          <w:color w:val="auto"/>
        </w:rPr>
      </w:pPr>
    </w:p>
    <w:p>
      <w:pPr>
        <w:jc w:val="both"/>
        <w:ind w:left="1300" w:firstLine="160"/>
        <w:spacing w:after="0" w:line="238" w:lineRule="auto"/>
        <w:tabs>
          <w:tab w:leader="none" w:pos="1890" w:val="left"/>
        </w:tabs>
        <w:numPr>
          <w:ilvl w:val="5"/>
          <w:numId w:val="6"/>
        </w:numPr>
        <w:rPr>
          <w:rFonts w:ascii="Arial" w:cs="Arial" w:eastAsia="Arial" w:hAnsi="Arial"/>
          <w:sz w:val="22"/>
          <w:szCs w:val="22"/>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22"/>
          <w:szCs w:val="22"/>
          <w:color w:val="auto"/>
        </w:rPr>
      </w:pPr>
    </w:p>
    <w:p>
      <w:pPr>
        <w:spacing w:after="0" w:line="300" w:lineRule="exact"/>
        <w:rPr>
          <w:rFonts w:ascii="Arial" w:cs="Arial" w:eastAsia="Arial" w:hAnsi="Arial"/>
          <w:sz w:val="22"/>
          <w:szCs w:val="22"/>
          <w:color w:val="auto"/>
        </w:rPr>
      </w:pPr>
    </w:p>
    <w:p>
      <w:pPr>
        <w:ind w:right="100" w:firstLine="656"/>
        <w:spacing w:after="0" w:line="308" w:lineRule="auto"/>
        <w:tabs>
          <w:tab w:leader="none" w:pos="99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300" w:right="340" w:hanging="158"/>
        <w:spacing w:after="0" w:line="251" w:lineRule="auto"/>
        <w:tabs>
          <w:tab w:leader="none" w:pos="1594" w:val="left"/>
        </w:tabs>
        <w:numPr>
          <w:ilvl w:val="1"/>
          <w:numId w:val="6"/>
        </w:numPr>
        <w:rPr>
          <w:rFonts w:ascii="Arial" w:cs="Arial" w:eastAsia="Arial" w:hAnsi="Arial"/>
          <w:sz w:val="21"/>
          <w:szCs w:val="21"/>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21"/>
          <w:szCs w:val="21"/>
          <w:color w:val="auto"/>
        </w:rPr>
      </w:pPr>
    </w:p>
    <w:p>
      <w:pPr>
        <w:ind w:left="1820" w:hanging="407"/>
        <w:spacing w:after="0"/>
        <w:tabs>
          <w:tab w:leader="none" w:pos="1820" w:val="left"/>
        </w:tabs>
        <w:numPr>
          <w:ilvl w:val="3"/>
          <w:numId w:val="6"/>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 Corporate Development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September 30,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00" w:type="dxa"/>
            <w:vAlign w:val="bottom"/>
          </w:tcPr>
          <w:p>
            <w:pPr>
              <w:spacing w:after="0"/>
              <w:rPr>
                <w:sz w:val="20"/>
                <w:szCs w:val="20"/>
                <w:color w:val="auto"/>
              </w:rPr>
            </w:pPr>
            <w:r>
              <w:rPr>
                <w:rFonts w:ascii="Arial" w:cs="Arial" w:eastAsia="Arial" w:hAnsi="Arial"/>
                <w:sz w:val="22"/>
                <w:szCs w:val="22"/>
                <w:color w:val="auto"/>
              </w:rPr>
              <w:t>Date: November 10, 2008</w:t>
            </w:r>
          </w:p>
        </w:tc>
        <w:tc>
          <w:tcPr>
            <w:tcW w:w="1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/s/ Roderick R. Baty</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700" w:type="dxa"/>
            <w:vAlign w:val="bottom"/>
          </w:tcPr>
          <w:p>
            <w:pPr>
              <w:spacing w:after="0"/>
              <w:rPr>
                <w:sz w:val="21"/>
                <w:szCs w:val="21"/>
                <w:color w:val="auto"/>
              </w:rPr>
            </w:pPr>
          </w:p>
        </w:tc>
        <w:tc>
          <w:tcPr>
            <w:tcW w:w="3720" w:type="dxa"/>
            <w:vAlign w:val="bottom"/>
            <w:gridSpan w:val="2"/>
          </w:tcPr>
          <w:p>
            <w:pPr>
              <w:ind w:left="40"/>
              <w:spacing w:after="0" w:line="242" w:lineRule="exact"/>
              <w:rPr>
                <w:sz w:val="20"/>
                <w:szCs w:val="20"/>
                <w:color w:val="auto"/>
              </w:rPr>
            </w:pPr>
            <w:r>
              <w:rPr>
                <w:rFonts w:ascii="Arial" w:cs="Arial" w:eastAsia="Arial" w:hAnsi="Arial"/>
                <w:sz w:val="22"/>
                <w:szCs w:val="22"/>
                <w:color w:val="auto"/>
              </w:rPr>
              <w:t>Roderick R. Baty</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1"/>
                <w:szCs w:val="21"/>
                <w:color w:val="auto"/>
              </w:rPr>
            </w:pPr>
          </w:p>
        </w:tc>
        <w:tc>
          <w:tcPr>
            <w:tcW w:w="372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Chairman, President and</w:t>
            </w:r>
          </w:p>
        </w:tc>
        <w:tc>
          <w:tcPr>
            <w:tcW w:w="0" w:type="dxa"/>
            <w:vAlign w:val="bottom"/>
          </w:tcPr>
          <w:p>
            <w:pPr>
              <w:spacing w:after="0"/>
              <w:rPr>
                <w:sz w:val="1"/>
                <w:szCs w:val="1"/>
                <w:color w:val="auto"/>
              </w:rPr>
            </w:pPr>
          </w:p>
        </w:tc>
      </w:tr>
      <w:tr>
        <w:trPr>
          <w:trHeight w:val="275"/>
        </w:trPr>
        <w:tc>
          <w:tcPr>
            <w:tcW w:w="7700" w:type="dxa"/>
            <w:vAlign w:val="bottom"/>
            <w:vMerge w:val="restart"/>
          </w:tcPr>
          <w:p>
            <w:pPr>
              <w:spacing w:after="0"/>
              <w:rPr>
                <w:sz w:val="20"/>
                <w:szCs w:val="20"/>
                <w:color w:val="auto"/>
              </w:rPr>
            </w:pPr>
            <w:r>
              <w:rPr>
                <w:rFonts w:ascii="Arial" w:cs="Arial" w:eastAsia="Arial" w:hAnsi="Arial"/>
                <w:sz w:val="22"/>
                <w:szCs w:val="22"/>
                <w:color w:val="auto"/>
              </w:rPr>
              <w:t>Officer</w:t>
            </w:r>
          </w:p>
        </w:tc>
        <w:tc>
          <w:tcPr>
            <w:tcW w:w="1780" w:type="dxa"/>
            <w:vAlign w:val="bottom"/>
          </w:tcPr>
          <w:p>
            <w:pPr>
              <w:spacing w:after="0"/>
              <w:rPr>
                <w:sz w:val="23"/>
                <w:szCs w:val="23"/>
                <w:color w:val="auto"/>
              </w:rPr>
            </w:pPr>
          </w:p>
        </w:tc>
        <w:tc>
          <w:tcPr>
            <w:tcW w:w="1940" w:type="dxa"/>
            <w:vAlign w:val="bottom"/>
          </w:tcPr>
          <w:p>
            <w:pPr>
              <w:ind w:left="520"/>
              <w:spacing w:after="0"/>
              <w:rPr>
                <w:sz w:val="20"/>
                <w:szCs w:val="20"/>
                <w:color w:val="auto"/>
              </w:rPr>
            </w:pPr>
            <w:r>
              <w:rPr>
                <w:rFonts w:ascii="Arial" w:cs="Arial" w:eastAsia="Arial" w:hAnsi="Arial"/>
                <w:sz w:val="22"/>
                <w:szCs w:val="22"/>
                <w:color w:val="auto"/>
                <w:w w:val="91"/>
              </w:rPr>
              <w:t>Chief Executive</w:t>
            </w:r>
          </w:p>
        </w:tc>
        <w:tc>
          <w:tcPr>
            <w:tcW w:w="0" w:type="dxa"/>
            <w:vAlign w:val="bottom"/>
          </w:tcPr>
          <w:p>
            <w:pPr>
              <w:spacing w:after="0"/>
              <w:rPr>
                <w:sz w:val="1"/>
                <w:szCs w:val="1"/>
                <w:color w:val="auto"/>
              </w:rPr>
            </w:pPr>
          </w:p>
        </w:tc>
      </w:tr>
      <w:tr>
        <w:trPr>
          <w:trHeight w:val="243"/>
        </w:trPr>
        <w:tc>
          <w:tcPr>
            <w:tcW w:w="7700" w:type="dxa"/>
            <w:vAlign w:val="bottom"/>
            <w:vMerge w:val="continue"/>
          </w:tcPr>
          <w:p>
            <w:pPr>
              <w:spacing w:after="0"/>
              <w:rPr>
                <w:sz w:val="21"/>
                <w:szCs w:val="21"/>
                <w:color w:val="auto"/>
              </w:rPr>
            </w:pPr>
          </w:p>
        </w:tc>
        <w:tc>
          <w:tcPr>
            <w:tcW w:w="17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85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September 30,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Arial" w:cs="Arial" w:eastAsia="Arial" w:hAnsi="Arial"/>
                <w:sz w:val="18"/>
                <w:szCs w:val="18"/>
                <w:color w:val="auto"/>
              </w:rPr>
              <w:t>Date: November 10, 2008</w:t>
            </w:r>
          </w:p>
        </w:tc>
        <w:tc>
          <w:tcPr>
            <w:tcW w:w="8880" w:type="dxa"/>
            <w:vAlign w:val="bottom"/>
            <w:gridSpan w:val="2"/>
          </w:tcPr>
          <w:p>
            <w:pPr>
              <w:ind w:left="7900"/>
              <w:spacing w:after="0"/>
              <w:rPr>
                <w:sz w:val="20"/>
                <w:szCs w:val="20"/>
                <w:color w:val="auto"/>
              </w:rPr>
            </w:pPr>
            <w:r>
              <w:rPr>
                <w:rFonts w:ascii="Arial" w:cs="Arial" w:eastAsia="Arial" w:hAnsi="Arial"/>
                <w:sz w:val="18"/>
                <w:szCs w:val="18"/>
                <w:color w:val="auto"/>
                <w:w w:val="95"/>
              </w:rPr>
              <w:t>/s/ James H.</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line="196" w:lineRule="exact"/>
              <w:rPr>
                <w:sz w:val="20"/>
                <w:szCs w:val="20"/>
                <w:color w:val="auto"/>
              </w:rPr>
            </w:pPr>
            <w:r>
              <w:rPr>
                <w:rFonts w:ascii="Arial" w:cs="Arial" w:eastAsia="Arial" w:hAnsi="Arial"/>
                <w:sz w:val="18"/>
                <w:szCs w:val="18"/>
                <w:color w:val="auto"/>
              </w:rPr>
              <w:t>Dorton</w:t>
            </w:r>
          </w:p>
        </w:tc>
        <w:tc>
          <w:tcPr>
            <w:tcW w:w="79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auto"/>
            </w:tcBorders>
          </w:tcPr>
          <w:p>
            <w:pPr>
              <w:spacing w:after="0"/>
              <w:rPr>
                <w:sz w:val="20"/>
                <w:szCs w:val="20"/>
                <w:color w:val="auto"/>
              </w:rPr>
            </w:pPr>
          </w:p>
        </w:tc>
        <w:tc>
          <w:tcPr>
            <w:tcW w:w="2020" w:type="dxa"/>
            <w:vAlign w:val="bottom"/>
          </w:tcPr>
          <w:p>
            <w:pPr>
              <w:ind w:left="380"/>
              <w:spacing w:after="0"/>
              <w:rPr>
                <w:sz w:val="20"/>
                <w:szCs w:val="20"/>
                <w:color w:val="auto"/>
              </w:rPr>
            </w:pPr>
            <w:r>
              <w:rPr>
                <w:rFonts w:ascii="Arial" w:cs="Arial" w:eastAsia="Arial" w:hAnsi="Arial"/>
                <w:sz w:val="18"/>
                <w:szCs w:val="18"/>
                <w:color w:val="auto"/>
              </w:rPr>
              <w:t>James H. Dorton</w:t>
            </w:r>
          </w:p>
        </w:tc>
        <w:tc>
          <w:tcPr>
            <w:tcW w:w="8880" w:type="dxa"/>
            <w:vAlign w:val="bottom"/>
            <w:gridSpan w:val="2"/>
            <w:vMerge w:val="restart"/>
          </w:tcPr>
          <w:p>
            <w:pPr>
              <w:ind w:left="420"/>
              <w:spacing w:after="0"/>
              <w:rPr>
                <w:sz w:val="20"/>
                <w:szCs w:val="20"/>
                <w:color w:val="auto"/>
              </w:rPr>
            </w:pPr>
            <w:r>
              <w:rPr>
                <w:rFonts w:ascii="Arial" w:cs="Arial" w:eastAsia="Arial" w:hAnsi="Arial"/>
                <w:sz w:val="18"/>
                <w:szCs w:val="18"/>
                <w:color w:val="auto"/>
              </w:rPr>
              <w:t>Vice President – Corporate Developmentand Chief Financial Officer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3"/>
    </w:lvl>
    <w:lvl w:ilvl="5">
      <w:lvlJc w:val="left"/>
      <w:lvlText w:val="(%6)"/>
      <w:numFmt w:val="lowerLetter"/>
      <w:start w:val="4"/>
    </w:lvl>
  </w:abstractNum>
  <w:abstractNum w:abstractNumId="5">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3"/>
    </w:lvl>
    <w:lvl w:ilvl="5">
      <w:lvlJc w:val="left"/>
      <w:lvlText w:val="(%6)"/>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2019-12-14T02:41:41Z</dcterms:created>
  <dcterms:modified xsi:type="dcterms:W3CDTF">2019-12-14T02:41:41Z</dcterms:modified>
</cp:coreProperties>
</file>