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3962400</wp:posOffset>
            </wp:positionH>
            <wp:positionV relativeFrom="paragraph">
              <wp:posOffset>-7620</wp:posOffset>
            </wp:positionV>
            <wp:extent cx="838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2">
            <w:col w:w="7460" w:space="720"/>
            <w:col w:w="3240"/>
          </w:cols>
          <w:pgMar w:left="240" w:top="230" w:right="239" w:bottom="1440" w:gutter="0" w:footer="0" w:header="0"/>
          <w:type w:val="continuous"/>
        </w:sectPr>
      </w:pPr>
    </w:p>
    <w:p>
      <w:pPr>
        <w:spacing w:after="0" w:line="12"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80"/>
        <w:spacing w:after="0"/>
        <w:rPr>
          <w:sz w:val="20"/>
          <w:szCs w:val="20"/>
          <w:color w:val="auto"/>
        </w:rPr>
      </w:pPr>
      <w:r>
        <w:rPr>
          <w:rFonts w:ascii="Arial" w:cs="Arial" w:eastAsia="Arial" w:hAnsi="Arial"/>
          <w:sz w:val="14"/>
          <w:szCs w:val="14"/>
          <w:b w:val="1"/>
          <w:bCs w:val="1"/>
          <w:color w:val="auto"/>
        </w:rPr>
        <w:t>(I.R.S. Employer</w:t>
      </w:r>
    </w:p>
    <w:p>
      <w:pPr>
        <w:jc w:val="center"/>
        <w:ind w:right="208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00" w:space="720"/>
            <w:col w:w="3500"/>
          </w:cols>
          <w:pgMar w:left="240" w:top="230" w:right="239" w:bottom="144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207 Mockingbird Lane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Johnson City, Tennessee 37604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(423) 434-8310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36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type w:val="continuous"/>
        </w:sectPr>
      </w:pPr>
    </w:p>
    <w:p>
      <w:pPr>
        <w:spacing w:after="0" w:line="118"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2">
            <w:col w:w="8060" w:space="720"/>
            <w:col w:w="2640"/>
          </w:cols>
          <w:pgMar w:left="240" w:top="230" w:right="239" w:bottom="1440" w:gutter="0" w:footer="0" w:header="0"/>
          <w:type w:val="continuous"/>
        </w:sectPr>
      </w:pPr>
    </w:p>
    <w:p>
      <w:pPr>
        <w:ind w:left="1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3">
            <w:col w:w="1860" w:space="40"/>
            <w:col w:w="6160" w:space="720"/>
            <w:col w:w="264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8180" w:space="160"/>
            <w:col w:w="280" w:space="80"/>
            <w:col w:w="160" w:space="180"/>
            <w:col w:w="238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As of August 4, 2015, there were 26,838,339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auto"/>
        </w:rPr>
        <w:t>Page No.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4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w:t>
              </w:r>
            </w:hyperlink>
          </w:p>
        </w:tc>
        <w:tc>
          <w:tcPr>
            <w:tcW w:w="7900" w:type="dxa"/>
            <w:vAlign w:val="bottom"/>
            <w:gridSpan w:val="12"/>
          </w:tcPr>
          <w:p>
            <w:pPr>
              <w:spacing w:after="0"/>
              <w:rPr>
                <w:sz w:val="17"/>
                <w:szCs w:val="17"/>
                <w:color w:val="auto"/>
              </w:rPr>
            </w:pPr>
          </w:p>
        </w:tc>
        <w:tc>
          <w:tcPr>
            <w:tcW w:w="480" w:type="dxa"/>
            <w:vAlign w:val="bottom"/>
          </w:tcPr>
          <w:p>
            <w:pPr>
              <w:spacing w:after="0"/>
              <w:rPr>
                <w:sz w:val="17"/>
                <w:szCs w:val="17"/>
                <w:color w:val="auto"/>
              </w:rPr>
            </w:pPr>
          </w:p>
        </w:tc>
      </w:tr>
      <w:tr>
        <w:trPr>
          <w:trHeight w:val="30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Income and Comprehensive Income (Loss) for the three and six months ended June 30,</w:t>
              </w:r>
            </w:hyperlink>
          </w:p>
        </w:tc>
        <w:tc>
          <w:tcPr>
            <w:tcW w:w="300" w:type="dxa"/>
            <w:vAlign w:val="bottom"/>
          </w:tcPr>
          <w:p>
            <w:pPr>
              <w:spacing w:after="0"/>
              <w:rPr>
                <w:sz w:val="24"/>
                <w:szCs w:val="24"/>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rPr>
              <w:t>2</w:t>
            </w: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2015 and 2014 (unaudited)</w:t>
              </w:r>
            </w:hyperlink>
          </w:p>
        </w:tc>
        <w:tc>
          <w:tcPr>
            <w:tcW w:w="7520" w:type="dxa"/>
            <w:vAlign w:val="bottom"/>
            <w:gridSpan w:val="10"/>
          </w:tcPr>
          <w:p>
            <w:pPr>
              <w:spacing w:after="0"/>
              <w:rPr>
                <w:sz w:val="17"/>
                <w:szCs w:val="17"/>
                <w:color w:val="auto"/>
              </w:rPr>
            </w:pPr>
          </w:p>
        </w:tc>
        <w:tc>
          <w:tcPr>
            <w:tcW w:w="480" w:type="dxa"/>
            <w:vAlign w:val="bottom"/>
          </w:tcPr>
          <w:p>
            <w:pPr>
              <w:spacing w:after="0"/>
              <w:rPr>
                <w:sz w:val="17"/>
                <w:szCs w:val="17"/>
                <w:color w:val="auto"/>
              </w:rPr>
            </w:pPr>
          </w:p>
        </w:tc>
      </w:tr>
      <w:tr>
        <w:trPr>
          <w:trHeight w:val="30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June 30, 2015 and December 31, 2014 (unaudited)</w:t>
              </w:r>
            </w:hyperlink>
          </w:p>
        </w:tc>
        <w:tc>
          <w:tcPr>
            <w:tcW w:w="2660" w:type="dxa"/>
            <w:vAlign w:val="bottom"/>
            <w:gridSpan w:val="4"/>
          </w:tcPr>
          <w:p>
            <w:pPr>
              <w:spacing w:after="0"/>
              <w:rPr>
                <w:sz w:val="24"/>
                <w:szCs w:val="24"/>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rPr>
              <w:t>3</w:t>
            </w:r>
          </w:p>
        </w:tc>
      </w:tr>
      <w:tr>
        <w:trPr>
          <w:trHeight w:val="30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9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 of Changes in Stockholders’ Equity for the six months ended June 30, 2015 (unaudited)</w:t>
              </w:r>
            </w:hyperlink>
          </w:p>
        </w:tc>
        <w:tc>
          <w:tcPr>
            <w:tcW w:w="540" w:type="dxa"/>
            <w:vAlign w:val="bottom"/>
            <w:gridSpan w:val="2"/>
          </w:tcPr>
          <w:p>
            <w:pPr>
              <w:spacing w:after="0"/>
              <w:rPr>
                <w:sz w:val="24"/>
                <w:szCs w:val="24"/>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rPr>
              <w:t>4</w:t>
            </w:r>
          </w:p>
        </w:tc>
      </w:tr>
      <w:tr>
        <w:trPr>
          <w:trHeight w:val="30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4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June 30, 2015 and 2014 (unaudited)</w:t>
              </w:r>
            </w:hyperlink>
          </w:p>
        </w:tc>
        <w:tc>
          <w:tcPr>
            <w:tcW w:w="480" w:type="dxa"/>
            <w:vAlign w:val="bottom"/>
          </w:tcPr>
          <w:p>
            <w:pPr>
              <w:ind w:left="300"/>
              <w:spacing w:after="0"/>
              <w:rPr>
                <w:sz w:val="20"/>
                <w:szCs w:val="20"/>
                <w:color w:val="auto"/>
              </w:rPr>
            </w:pPr>
            <w:r>
              <w:rPr>
                <w:rFonts w:ascii="Arial" w:cs="Arial" w:eastAsia="Arial" w:hAnsi="Arial"/>
                <w:sz w:val="18"/>
                <w:szCs w:val="18"/>
                <w:color w:val="auto"/>
              </w:rPr>
              <w:t>5</w:t>
            </w:r>
          </w:p>
        </w:tc>
      </w:tr>
      <w:tr>
        <w:trPr>
          <w:trHeight w:val="30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40" w:type="dxa"/>
            <w:vAlign w:val="bottom"/>
            <w:tcBorders>
              <w:top w:val="single" w:sz="8" w:color="0000EE"/>
            </w:tcBorders>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300" w:type="dxa"/>
            <w:vAlign w:val="bottom"/>
            <w:gridSpan w:val="3"/>
          </w:tcPr>
          <w:p>
            <w:pPr>
              <w:spacing w:after="0"/>
              <w:rPr>
                <w:sz w:val="24"/>
                <w:szCs w:val="24"/>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3000" w:type="dxa"/>
            <w:vAlign w:val="bottom"/>
            <w:gridSpan w:val="5"/>
          </w:tcPr>
          <w:p>
            <w:pPr>
              <w:spacing w:after="0"/>
              <w:rPr>
                <w:sz w:val="24"/>
                <w:szCs w:val="24"/>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w w:val="79"/>
              </w:rPr>
              <w:t>14</w:t>
            </w: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44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480" w:type="dxa"/>
            <w:vAlign w:val="bottom"/>
          </w:tcPr>
          <w:p>
            <w:pPr>
              <w:ind w:left="300"/>
              <w:spacing w:after="0"/>
              <w:rPr>
                <w:sz w:val="20"/>
                <w:szCs w:val="20"/>
                <w:color w:val="auto"/>
              </w:rPr>
            </w:pPr>
            <w:r>
              <w:rPr>
                <w:rFonts w:ascii="Arial" w:cs="Arial" w:eastAsia="Arial" w:hAnsi="Arial"/>
                <w:sz w:val="18"/>
                <w:szCs w:val="18"/>
                <w:color w:val="auto"/>
                <w:w w:val="79"/>
              </w:rPr>
              <w:t>23</w:t>
            </w: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80" w:type="dxa"/>
            <w:vAlign w:val="bottom"/>
            <w:tcBorders>
              <w:top w:val="single" w:sz="8" w:color="0000EE"/>
            </w:tcBorders>
            <w:gridSpan w:val="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5160" w:type="dxa"/>
            <w:vAlign w:val="bottom"/>
            <w:gridSpan w:val="8"/>
          </w:tcPr>
          <w:p>
            <w:pPr>
              <w:spacing w:after="0"/>
              <w:rPr>
                <w:sz w:val="24"/>
                <w:szCs w:val="24"/>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w w:val="79"/>
              </w:rPr>
              <w:t>23</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45"/>
        </w:trPr>
        <w:tc>
          <w:tcPr>
            <w:tcW w:w="10580" w:type="dxa"/>
            <w:vAlign w:val="bottom"/>
            <w:gridSpan w:val="19"/>
          </w:tcPr>
          <w:p>
            <w:pPr>
              <w:spacing w:after="0"/>
              <w:rPr>
                <w:sz w:val="20"/>
                <w:szCs w:val="20"/>
                <w:color w:val="auto"/>
              </w:rPr>
            </w:pPr>
            <w:r>
              <w:rPr>
                <w:rFonts w:ascii="Arial" w:cs="Arial" w:eastAsia="Arial" w:hAnsi="Arial"/>
                <w:sz w:val="18"/>
                <w:szCs w:val="18"/>
                <w:b w:val="1"/>
                <w:bCs w:val="1"/>
                <w:color w:val="auto"/>
              </w:rPr>
              <w:t>Part II. Other Information</w:t>
            </w:r>
          </w:p>
        </w:tc>
        <w:tc>
          <w:tcPr>
            <w:tcW w:w="480" w:type="dxa"/>
            <w:vAlign w:val="bottom"/>
          </w:tcPr>
          <w:p>
            <w:pPr>
              <w:spacing w:after="0"/>
              <w:rPr>
                <w:sz w:val="24"/>
                <w:szCs w:val="24"/>
                <w:color w:val="auto"/>
              </w:rPr>
            </w:pPr>
          </w:p>
        </w:tc>
      </w:tr>
      <w:tr>
        <w:trPr>
          <w:trHeight w:val="284"/>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4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480" w:type="dxa"/>
            <w:vAlign w:val="bottom"/>
          </w:tcPr>
          <w:p>
            <w:pPr>
              <w:ind w:left="300"/>
              <w:spacing w:after="0"/>
              <w:rPr>
                <w:sz w:val="20"/>
                <w:szCs w:val="20"/>
                <w:color w:val="auto"/>
              </w:rPr>
            </w:pPr>
            <w:r>
              <w:rPr>
                <w:rFonts w:ascii="Arial" w:cs="Arial" w:eastAsia="Arial" w:hAnsi="Arial"/>
                <w:sz w:val="18"/>
                <w:szCs w:val="18"/>
                <w:color w:val="auto"/>
                <w:w w:val="79"/>
              </w:rPr>
              <w:t>23</w:t>
            </w: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8140" w:type="dxa"/>
            <w:vAlign w:val="bottom"/>
            <w:gridSpan w:val="13"/>
          </w:tcPr>
          <w:p>
            <w:pPr>
              <w:spacing w:after="0"/>
              <w:rPr>
                <w:sz w:val="24"/>
                <w:szCs w:val="24"/>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w w:val="79"/>
              </w:rPr>
              <w:t>24</w:t>
            </w:r>
          </w:p>
        </w:tc>
      </w:tr>
      <w:tr>
        <w:trPr>
          <w:trHeight w:val="20"/>
        </w:trPr>
        <w:tc>
          <w:tcPr>
            <w:tcW w:w="7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4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480" w:type="dxa"/>
            <w:vAlign w:val="bottom"/>
          </w:tcPr>
          <w:p>
            <w:pPr>
              <w:ind w:left="300"/>
              <w:spacing w:after="0"/>
              <w:rPr>
                <w:sz w:val="20"/>
                <w:szCs w:val="20"/>
                <w:color w:val="auto"/>
              </w:rPr>
            </w:pPr>
            <w:r>
              <w:rPr>
                <w:rFonts w:ascii="Arial" w:cs="Arial" w:eastAsia="Arial" w:hAnsi="Arial"/>
                <w:sz w:val="18"/>
                <w:szCs w:val="18"/>
                <w:color w:val="auto"/>
                <w:w w:val="79"/>
              </w:rPr>
              <w:t>24</w:t>
            </w: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5120" w:type="dxa"/>
            <w:vAlign w:val="bottom"/>
            <w:gridSpan w:val="7"/>
          </w:tcPr>
          <w:p>
            <w:pPr>
              <w:spacing w:after="0"/>
              <w:rPr>
                <w:sz w:val="24"/>
                <w:szCs w:val="24"/>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w w:val="79"/>
              </w:rPr>
              <w:t>24</w:t>
            </w: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4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480" w:type="dxa"/>
            <w:vAlign w:val="bottom"/>
          </w:tcPr>
          <w:p>
            <w:pPr>
              <w:ind w:left="300"/>
              <w:spacing w:after="0"/>
              <w:rPr>
                <w:sz w:val="20"/>
                <w:szCs w:val="20"/>
                <w:color w:val="auto"/>
              </w:rPr>
            </w:pPr>
            <w:r>
              <w:rPr>
                <w:rFonts w:ascii="Arial" w:cs="Arial" w:eastAsia="Arial" w:hAnsi="Arial"/>
                <w:sz w:val="18"/>
                <w:szCs w:val="18"/>
                <w:color w:val="auto"/>
                <w:w w:val="79"/>
              </w:rPr>
              <w:t>24</w:t>
            </w: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40" w:type="dxa"/>
            <w:vAlign w:val="bottom"/>
            <w:tcBorders>
              <w:top w:val="single" w:sz="8" w:color="0000EE"/>
            </w:tcBorders>
            <w:gridSpan w:val="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7700" w:type="dxa"/>
            <w:vAlign w:val="bottom"/>
            <w:gridSpan w:val="11"/>
          </w:tcPr>
          <w:p>
            <w:pPr>
              <w:spacing w:after="0"/>
              <w:rPr>
                <w:sz w:val="24"/>
                <w:szCs w:val="24"/>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w w:val="79"/>
              </w:rPr>
              <w:t>24</w:t>
            </w: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8160" w:type="dxa"/>
            <w:vAlign w:val="bottom"/>
            <w:gridSpan w:val="14"/>
          </w:tcPr>
          <w:p>
            <w:pPr>
              <w:spacing w:after="0"/>
              <w:rPr>
                <w:sz w:val="24"/>
                <w:szCs w:val="24"/>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w w:val="79"/>
              </w:rPr>
              <w:t>25</w:t>
            </w:r>
          </w:p>
        </w:tc>
      </w:tr>
      <w:tr>
        <w:trPr>
          <w:trHeight w:val="304"/>
        </w:trPr>
        <w:tc>
          <w:tcPr>
            <w:tcW w:w="1140" w:type="dxa"/>
            <w:vAlign w:val="bottom"/>
            <w:gridSpan w:val="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w w:val="79"/>
              </w:rPr>
              <w:t>26</w:t>
            </w:r>
          </w:p>
        </w:tc>
      </w:tr>
      <w:tr>
        <w:trPr>
          <w:trHeight w:val="385"/>
        </w:trPr>
        <w:tc>
          <w:tcPr>
            <w:tcW w:w="7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840" w:type="dxa"/>
            <w:vAlign w:val="bottom"/>
            <w:gridSpan w:val="11"/>
          </w:tcPr>
          <w:p>
            <w:pPr>
              <w:jc w:val="right"/>
              <w:ind w:right="220"/>
              <w:spacing w:after="0"/>
              <w:rPr>
                <w:sz w:val="20"/>
                <w:szCs w:val="20"/>
                <w:color w:val="auto"/>
              </w:rPr>
            </w:pPr>
            <w:r>
              <w:rPr>
                <w:rFonts w:ascii="Arial" w:cs="Arial" w:eastAsia="Arial" w:hAnsi="Arial"/>
                <w:sz w:val="18"/>
                <w:szCs w:val="18"/>
                <w:color w:val="auto"/>
              </w:rPr>
              <w:t>1</w:t>
            </w: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6"/>
        </w:trPr>
        <w:tc>
          <w:tcPr>
            <w:tcW w:w="758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 Except Per Share Data)</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5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47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164,856</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106,680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328,601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209,208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128,708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84,285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258,025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164,569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25,961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8,597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4,084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17,091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7,961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860" w:type="dxa"/>
            <w:vAlign w:val="bottom"/>
          </w:tcPr>
          <w:p>
            <w:pPr>
              <w:spacing w:after="0"/>
              <w:rPr>
                <w:sz w:val="6"/>
                <w:szCs w:val="6"/>
                <w:color w:val="auto"/>
              </w:rPr>
            </w:pPr>
          </w:p>
        </w:tc>
        <w:tc>
          <w:tcPr>
            <w:tcW w:w="4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13,589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6,021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7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580" w:type="dxa"/>
            <w:vAlign w:val="bottom"/>
            <w:gridSpan w:val="3"/>
          </w:tcPr>
          <w:p>
            <w:pPr>
              <w:spacing w:after="0"/>
              <w:rPr>
                <w:sz w:val="20"/>
                <w:szCs w:val="20"/>
                <w:color w:val="auto"/>
              </w:rPr>
            </w:pPr>
            <w:r>
              <w:rPr>
                <w:rFonts w:ascii="Arial" w:cs="Arial" w:eastAsia="Arial" w:hAnsi="Arial"/>
                <w:sz w:val="18"/>
                <w:szCs w:val="18"/>
                <w:color w:val="auto"/>
              </w:rPr>
              <w:t>Income before provision for income taxes and share of net income from joint venture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7,549</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7,557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14,146</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Share of net income from joint venture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860" w:type="dxa"/>
            <w:vAlign w:val="bottom"/>
          </w:tcPr>
          <w:p>
            <w:pPr>
              <w:spacing w:after="0"/>
              <w:rPr>
                <w:sz w:val="6"/>
                <w:szCs w:val="6"/>
                <w:color w:val="auto"/>
              </w:rPr>
            </w:pPr>
          </w:p>
        </w:tc>
        <w:tc>
          <w:tcPr>
            <w:tcW w:w="4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12,955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translation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(12,231)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340"/>
              <w:spacing w:after="0"/>
              <w:rPr>
                <w:sz w:val="20"/>
                <w:szCs w:val="20"/>
                <w:color w:val="auto"/>
              </w:rPr>
            </w:pPr>
            <w:r>
              <w:rPr>
                <w:rFonts w:ascii="Arial" w:cs="Arial" w:eastAsia="Arial" w:hAnsi="Arial"/>
                <w:sz w:val="18"/>
                <w:szCs w:val="18"/>
                <w:color w:val="auto"/>
              </w:rPr>
              <w:t>Change in fair value of interest rate hedge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860" w:type="dxa"/>
            <w:vAlign w:val="bottom"/>
          </w:tcPr>
          <w:p>
            <w:pPr>
              <w:spacing w:after="0"/>
              <w:rPr>
                <w:sz w:val="6"/>
                <w:szCs w:val="6"/>
                <w:color w:val="auto"/>
              </w:rPr>
            </w:pPr>
          </w:p>
        </w:tc>
        <w:tc>
          <w:tcPr>
            <w:tcW w:w="4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Comprehensive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9,074</w:t>
            </w:r>
          </w:p>
        </w:tc>
        <w:tc>
          <w:tcPr>
            <w:tcW w:w="0" w:type="dxa"/>
            <w:vAlign w:val="bottom"/>
          </w:tcPr>
          <w:p>
            <w:pPr>
              <w:spacing w:after="0"/>
              <w:rPr>
                <w:sz w:val="1"/>
                <w:szCs w:val="1"/>
                <w:color w:val="auto"/>
              </w:rPr>
            </w:pPr>
          </w:p>
        </w:tc>
      </w:tr>
      <w:tr>
        <w:trPr>
          <w:trHeight w:val="20"/>
        </w:trPr>
        <w:tc>
          <w:tcPr>
            <w:tcW w:w="7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580" w:type="dxa"/>
            <w:vAlign w:val="bottom"/>
            <w:gridSpan w:val="3"/>
          </w:tcPr>
          <w:p>
            <w:pPr>
              <w:spacing w:after="0"/>
              <w:rPr>
                <w:sz w:val="20"/>
                <w:szCs w:val="20"/>
                <w:color w:val="auto"/>
              </w:rPr>
            </w:pPr>
            <w:r>
              <w:rPr>
                <w:rFonts w:ascii="Arial" w:cs="Arial" w:eastAsia="Arial" w:hAnsi="Arial"/>
                <w:sz w:val="18"/>
                <w:szCs w:val="18"/>
                <w:color w:val="auto"/>
              </w:rPr>
              <w:t>Basic income per common share: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0.36</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2860" w:type="dxa"/>
            <w:vAlign w:val="bottom"/>
          </w:tcPr>
          <w:p>
            <w:pPr>
              <w:spacing w:after="0"/>
              <w:rPr>
                <w:sz w:val="5"/>
                <w:szCs w:val="5"/>
                <w:color w:val="auto"/>
              </w:rPr>
            </w:pPr>
          </w:p>
        </w:tc>
        <w:tc>
          <w:tcPr>
            <w:tcW w:w="4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19,064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17,700</w:t>
            </w:r>
          </w:p>
        </w:tc>
        <w:tc>
          <w:tcPr>
            <w:tcW w:w="0" w:type="dxa"/>
            <w:vAlign w:val="bottom"/>
          </w:tcPr>
          <w:p>
            <w:pPr>
              <w:spacing w:after="0"/>
              <w:rPr>
                <w:sz w:val="1"/>
                <w:szCs w:val="1"/>
                <w:color w:val="auto"/>
              </w:rPr>
            </w:pPr>
          </w:p>
        </w:tc>
      </w:tr>
      <w:tr>
        <w:trPr>
          <w:trHeight w:val="20"/>
        </w:trPr>
        <w:tc>
          <w:tcPr>
            <w:tcW w:w="7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580" w:type="dxa"/>
            <w:vAlign w:val="bottom"/>
            <w:gridSpan w:val="3"/>
          </w:tcPr>
          <w:p>
            <w:pPr>
              <w:spacing w:after="0"/>
              <w:rPr>
                <w:sz w:val="20"/>
                <w:szCs w:val="20"/>
                <w:color w:val="auto"/>
              </w:rPr>
            </w:pPr>
            <w:r>
              <w:rPr>
                <w:rFonts w:ascii="Arial" w:cs="Arial" w:eastAsia="Arial" w:hAnsi="Arial"/>
                <w:sz w:val="18"/>
                <w:szCs w:val="18"/>
                <w:color w:val="auto"/>
              </w:rPr>
              <w:t>Diluted income per common share: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0.36</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2860" w:type="dxa"/>
            <w:vAlign w:val="bottom"/>
          </w:tcPr>
          <w:p>
            <w:pPr>
              <w:spacing w:after="0"/>
              <w:rPr>
                <w:sz w:val="5"/>
                <w:szCs w:val="5"/>
                <w:color w:val="auto"/>
              </w:rPr>
            </w:pPr>
          </w:p>
        </w:tc>
        <w:tc>
          <w:tcPr>
            <w:tcW w:w="4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18,054</w:t>
            </w:r>
          </w:p>
        </w:tc>
        <w:tc>
          <w:tcPr>
            <w:tcW w:w="0" w:type="dxa"/>
            <w:vAlign w:val="bottom"/>
          </w:tcPr>
          <w:p>
            <w:pPr>
              <w:spacing w:after="0"/>
              <w:rPr>
                <w:sz w:val="1"/>
                <w:szCs w:val="1"/>
                <w:color w:val="auto"/>
              </w:rPr>
            </w:pPr>
          </w:p>
        </w:tc>
      </w:tr>
      <w:tr>
        <w:trPr>
          <w:trHeight w:val="20"/>
        </w:trPr>
        <w:tc>
          <w:tcPr>
            <w:tcW w:w="7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580" w:type="dxa"/>
            <w:vAlign w:val="bottom"/>
            <w:gridSpan w:val="3"/>
          </w:tcPr>
          <w:p>
            <w:pPr>
              <w:spacing w:after="0"/>
              <w:rPr>
                <w:sz w:val="20"/>
                <w:szCs w:val="20"/>
                <w:color w:val="auto"/>
              </w:rPr>
            </w:pPr>
            <w:r>
              <w:rPr>
                <w:rFonts w:ascii="Arial" w:cs="Arial" w:eastAsia="Arial" w:hAnsi="Arial"/>
                <w:sz w:val="18"/>
                <w:szCs w:val="18"/>
                <w:color w:val="auto"/>
              </w:rPr>
              <w:t>Cash dividends per common share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360" w:type="dxa"/>
            <w:vAlign w:val="bottom"/>
            <w:gridSpan w:val="2"/>
          </w:tcPr>
          <w:p>
            <w:pPr>
              <w:spacing w:after="0"/>
              <w:rPr>
                <w:sz w:val="20"/>
                <w:szCs w:val="20"/>
                <w:color w:val="auto"/>
              </w:rPr>
            </w:pPr>
            <w:r>
              <w:rPr>
                <w:rFonts w:ascii="Arial" w:cs="Arial" w:eastAsia="Arial" w:hAnsi="Arial"/>
                <w:sz w:val="14"/>
                <w:szCs w:val="14"/>
                <w:color w:val="auto"/>
              </w:rPr>
              <w:t>(In Thousands of Dollars)</w:t>
            </w: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21,409</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114,819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97,510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16,590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16,503</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3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240,746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242,799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272,047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278,442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85,436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Intangible asset, net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52,929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19,542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20,001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3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708,940</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712,713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3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63,616</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salaries, wages and benefits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23,345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Current portion of obligations under capital lease</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5,482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14,504</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3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128,741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137,598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335,938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328,026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 net of current portion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10,692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3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535,438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539,014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173,502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173,699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3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708,940</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712,713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0"/>
              </w:rPr>
              <w:t>Accumulated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5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Par</w:t>
            </w:r>
          </w:p>
        </w:tc>
        <w:tc>
          <w:tcPr>
            <w:tcW w:w="180" w:type="dxa"/>
            <w:vAlign w:val="bottom"/>
          </w:tcPr>
          <w:p>
            <w:pPr>
              <w:spacing w:after="0"/>
              <w:rPr>
                <w:sz w:val="12"/>
                <w:szCs w:val="12"/>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Other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 and Shares)</w:t>
            </w: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180" w:type="dxa"/>
            <w:vAlign w:val="bottom"/>
          </w:tcPr>
          <w:p>
            <w:pPr>
              <w:spacing w:after="0"/>
              <w:rPr>
                <w:sz w:val="12"/>
                <w:szCs w:val="12"/>
                <w:color w:val="auto"/>
              </w:rPr>
            </w:pPr>
          </w:p>
        </w:tc>
        <w:tc>
          <w:tcPr>
            <w:tcW w:w="13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60" w:type="dxa"/>
            <w:vAlign w:val="bottom"/>
            <w:gridSpan w:val="3"/>
            <w:vMerge w:val="continue"/>
          </w:tcPr>
          <w:p>
            <w:pPr>
              <w:spacing w:after="0"/>
              <w:rPr>
                <w:sz w:val="14"/>
                <w:szCs w:val="14"/>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 Capital</w:t>
            </w:r>
          </w:p>
        </w:tc>
        <w:tc>
          <w:tcPr>
            <w:tcW w:w="16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Income</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January 1, 2015</w:t>
            </w:r>
          </w:p>
        </w:tc>
        <w:tc>
          <w:tcPr>
            <w:tcW w:w="20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18,983</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99,095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$69,015</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32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$173,699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12,955</w:t>
            </w:r>
          </w:p>
        </w:tc>
        <w:tc>
          <w:tcPr>
            <w:tcW w:w="10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Dividends declared</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(2,676)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340"/>
              <w:spacing w:after="0"/>
              <w:rPr>
                <w:sz w:val="20"/>
                <w:szCs w:val="20"/>
                <w:color w:val="auto"/>
              </w:rPr>
            </w:pPr>
            <w:r>
              <w:rPr>
                <w:rFonts w:ascii="Arial" w:cs="Arial" w:eastAsia="Arial" w:hAnsi="Arial"/>
                <w:sz w:val="18"/>
                <w:szCs w:val="18"/>
                <w:color w:val="auto"/>
              </w:rPr>
              <w:t>Shares issued for option exercises</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160</w:t>
            </w:r>
          </w:p>
        </w:tc>
        <w:tc>
          <w:tcPr>
            <w:tcW w:w="760" w:type="dxa"/>
            <w:vAlign w:val="bottom"/>
            <w:gridSpan w:val="3"/>
          </w:tcPr>
          <w:p>
            <w:pPr>
              <w:jc w:val="center"/>
              <w:ind w:left="214"/>
              <w:spacing w:after="0"/>
              <w:rPr>
                <w:sz w:val="20"/>
                <w:szCs w:val="20"/>
                <w:color w:val="auto"/>
              </w:rPr>
            </w:pPr>
            <w:r>
              <w:rPr>
                <w:rFonts w:ascii="Arial" w:cs="Arial" w:eastAsia="Arial" w:hAnsi="Arial"/>
                <w:sz w:val="18"/>
                <w:szCs w:val="18"/>
                <w:color w:val="auto"/>
                <w:w w:val="99"/>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 option expense</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340"/>
              <w:spacing w:after="0"/>
              <w:rPr>
                <w:sz w:val="20"/>
                <w:szCs w:val="20"/>
                <w:color w:val="auto"/>
              </w:rPr>
            </w:pPr>
            <w:r>
              <w:rPr>
                <w:rFonts w:ascii="Arial" w:cs="Arial" w:eastAsia="Arial" w:hAnsi="Arial"/>
                <w:sz w:val="18"/>
                <w:szCs w:val="18"/>
                <w:color w:val="auto"/>
              </w:rPr>
              <w:t>Restricted stock expense</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115</w:t>
            </w:r>
          </w:p>
        </w:tc>
        <w:tc>
          <w:tcPr>
            <w:tcW w:w="760" w:type="dxa"/>
            <w:vAlign w:val="bottom"/>
            <w:gridSpan w:val="3"/>
          </w:tcPr>
          <w:p>
            <w:pPr>
              <w:jc w:val="center"/>
              <w:ind w:left="214"/>
              <w:spacing w:after="0"/>
              <w:rPr>
                <w:sz w:val="20"/>
                <w:szCs w:val="20"/>
                <w:color w:val="auto"/>
              </w:rPr>
            </w:pPr>
            <w:r>
              <w:rPr>
                <w:rFonts w:ascii="Arial" w:cs="Arial" w:eastAsia="Arial" w:hAnsi="Arial"/>
                <w:sz w:val="18"/>
                <w:szCs w:val="18"/>
                <w:color w:val="auto"/>
                <w:w w:val="99"/>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Performance Stock Unit expense</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Restricted shares withheld from employees for</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tcPr>
          <w:p>
            <w:pPr>
              <w:ind w:left="520"/>
              <w:spacing w:after="0"/>
              <w:rPr>
                <w:sz w:val="20"/>
                <w:szCs w:val="20"/>
                <w:color w:val="auto"/>
              </w:rPr>
            </w:pPr>
            <w:r>
              <w:rPr>
                <w:rFonts w:ascii="Arial" w:cs="Arial" w:eastAsia="Arial" w:hAnsi="Arial"/>
                <w:sz w:val="18"/>
                <w:szCs w:val="18"/>
                <w:color w:val="auto"/>
              </w:rPr>
              <w:t>tax obligations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translation loss</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(12,231)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340"/>
              <w:spacing w:after="0"/>
              <w:rPr>
                <w:sz w:val="20"/>
                <w:szCs w:val="20"/>
                <w:color w:val="auto"/>
              </w:rPr>
            </w:pPr>
            <w:r>
              <w:rPr>
                <w:rFonts w:ascii="Arial" w:cs="Arial" w:eastAsia="Arial" w:hAnsi="Arial"/>
                <w:sz w:val="18"/>
                <w:szCs w:val="18"/>
                <w:color w:val="auto"/>
              </w:rPr>
              <w:t>Change in fair value of interest rate hedge</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(1,625)</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1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2015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19,249</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192</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102,473</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79,294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32</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(8,489)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173,502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7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966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660" w:type="dxa"/>
            <w:vAlign w:val="bottom"/>
            <w:gridSpan w:val="3"/>
            <w:vMerge w:val="continue"/>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2"/>
              </w:rPr>
              <w:t>Operating Activities:</w:t>
            </w:r>
          </w:p>
        </w:tc>
        <w:tc>
          <w:tcPr>
            <w:tcW w:w="8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$ 12,955</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70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jc w:val="right"/>
              <w:spacing w:after="0"/>
              <w:rPr>
                <w:sz w:val="20"/>
                <w:szCs w:val="20"/>
                <w:color w:val="auto"/>
              </w:rPr>
            </w:pPr>
            <w:r>
              <w:rPr>
                <w:rFonts w:ascii="Arial" w:cs="Arial" w:eastAsia="Arial" w:hAnsi="Arial"/>
                <w:sz w:val="18"/>
                <w:szCs w:val="18"/>
                <w:color w:val="auto"/>
              </w:rPr>
              <w:t>17,091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Amortization of debt issuance costs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700"/>
              <w:spacing w:after="0"/>
              <w:rPr>
                <w:sz w:val="20"/>
                <w:szCs w:val="20"/>
                <w:color w:val="auto"/>
              </w:rPr>
            </w:pPr>
            <w:r>
              <w:rPr>
                <w:rFonts w:ascii="Arial" w:cs="Arial" w:eastAsia="Arial" w:hAnsi="Arial"/>
                <w:sz w:val="18"/>
                <w:szCs w:val="18"/>
                <w:color w:val="auto"/>
              </w:rPr>
              <w:t>Joint venture net income in excess of cash received</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Share-based compensation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(17,393)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700"/>
              <w:spacing w:after="0"/>
              <w:rPr>
                <w:sz w:val="20"/>
                <w:szCs w:val="20"/>
                <w:color w:val="auto"/>
              </w:rPr>
            </w:pPr>
            <w:r>
              <w:rPr>
                <w:rFonts w:ascii="Arial" w:cs="Arial" w:eastAsia="Arial" w:hAnsi="Arial"/>
                <w:sz w:val="18"/>
                <w:szCs w:val="18"/>
                <w:color w:val="auto"/>
              </w:rPr>
              <w:t>Inventories</w:t>
            </w:r>
          </w:p>
        </w:tc>
        <w:tc>
          <w:tcPr>
            <w:tcW w:w="660" w:type="dxa"/>
            <w:vAlign w:val="bottom"/>
          </w:tcPr>
          <w:p>
            <w:pPr>
              <w:jc w:val="right"/>
              <w:spacing w:after="0"/>
              <w:rPr>
                <w:sz w:val="20"/>
                <w:szCs w:val="20"/>
                <w:color w:val="auto"/>
              </w:rPr>
            </w:pPr>
            <w:r>
              <w:rPr>
                <w:rFonts w:ascii="Arial" w:cs="Arial" w:eastAsia="Arial" w:hAnsi="Arial"/>
                <w:sz w:val="18"/>
                <w:szCs w:val="18"/>
                <w:color w:val="auto"/>
              </w:rPr>
              <w:t>1,305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(6,317)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700"/>
              <w:spacing w:after="0"/>
              <w:rPr>
                <w:sz w:val="20"/>
                <w:szCs w:val="20"/>
                <w:color w:val="auto"/>
              </w:rPr>
            </w:pPr>
            <w:r>
              <w:rPr>
                <w:rFonts w:ascii="Arial" w:cs="Arial" w:eastAsia="Arial" w:hAnsi="Arial"/>
                <w:sz w:val="18"/>
                <w:szCs w:val="18"/>
                <w:color w:val="auto"/>
              </w:rPr>
              <w:t>Other assets and liabilities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(4,399)</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16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5,701</w:t>
            </w:r>
          </w:p>
        </w:tc>
        <w:tc>
          <w:tcPr>
            <w:tcW w:w="0" w:type="dxa"/>
            <w:vAlign w:val="bottom"/>
          </w:tcPr>
          <w:p>
            <w:pPr>
              <w:spacing w:after="0"/>
              <w:rPr>
                <w:sz w:val="1"/>
                <w:szCs w:val="1"/>
                <w:color w:val="auto"/>
              </w:rPr>
            </w:pPr>
          </w:p>
        </w:tc>
      </w:tr>
      <w:tr>
        <w:trPr>
          <w:trHeight w:val="291"/>
        </w:trPr>
        <w:tc>
          <w:tcPr>
            <w:tcW w:w="9660" w:type="dxa"/>
            <w:vAlign w:val="bottom"/>
            <w:gridSpan w:val="3"/>
          </w:tcPr>
          <w:p>
            <w:pPr>
              <w:spacing w:after="0"/>
              <w:rPr>
                <w:sz w:val="20"/>
                <w:szCs w:val="20"/>
                <w:color w:val="auto"/>
              </w:rPr>
            </w:pPr>
            <w:r>
              <w:rPr>
                <w:rFonts w:ascii="Arial" w:cs="Arial" w:eastAsia="Arial" w:hAnsi="Arial"/>
                <w:sz w:val="18"/>
                <w:szCs w:val="18"/>
                <w:b w:val="1"/>
                <w:bCs w:val="1"/>
                <w:color w:val="auto"/>
              </w:rPr>
              <w:t>Investing Activities:</w:t>
            </w: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Acquisition of property, plant and equipment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(16,166)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Cash paid to acquire business, net of cash received</w:t>
            </w:r>
          </w:p>
        </w:tc>
        <w:tc>
          <w:tcPr>
            <w:tcW w:w="100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(8,966)</w:t>
            </w:r>
          </w:p>
        </w:tc>
        <w:tc>
          <w:tcPr>
            <w:tcW w:w="100" w:type="dxa"/>
            <w:vAlign w:val="bottom"/>
          </w:tcPr>
          <w:p>
            <w:pPr>
              <w:spacing w:after="0"/>
              <w:rPr>
                <w:sz w:val="17"/>
                <w:szCs w:val="17"/>
                <w:color w:val="auto"/>
              </w:rPr>
            </w:pPr>
          </w:p>
        </w:tc>
        <w:tc>
          <w:tcPr>
            <w:tcW w:w="66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w w:val="89"/>
              </w:rPr>
              <w:t>(16,217)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640" w:type="dxa"/>
            <w:vAlign w:val="bottom"/>
            <w:gridSpan w:val="2"/>
          </w:tcPr>
          <w:p>
            <w:pPr>
              <w:ind w:left="340"/>
              <w:spacing w:after="0"/>
              <w:rPr>
                <w:sz w:val="20"/>
                <w:szCs w:val="20"/>
                <w:color w:val="auto"/>
              </w:rPr>
            </w:pPr>
            <w:r>
              <w:rPr>
                <w:rFonts w:ascii="Arial" w:cs="Arial" w:eastAsia="Arial" w:hAnsi="Arial"/>
                <w:sz w:val="18"/>
                <w:szCs w:val="18"/>
                <w:color w:val="auto"/>
              </w:rPr>
              <w:t>Proceeds from disposals of property, plant and equipment</w:t>
            </w:r>
          </w:p>
        </w:tc>
        <w:tc>
          <w:tcPr>
            <w:tcW w:w="660" w:type="dxa"/>
            <w:vAlign w:val="bottom"/>
          </w:tcPr>
          <w:p>
            <w:pPr>
              <w:jc w:val="right"/>
              <w:spacing w:after="0"/>
              <w:rPr>
                <w:sz w:val="20"/>
                <w:szCs w:val="20"/>
                <w:color w:val="auto"/>
              </w:rPr>
            </w:pPr>
            <w:r>
              <w:rPr>
                <w:rFonts w:ascii="Arial" w:cs="Arial" w:eastAsia="Arial" w:hAnsi="Arial"/>
                <w:sz w:val="18"/>
                <w:szCs w:val="18"/>
                <w:color w:val="auto"/>
              </w:rPr>
              <w:t>433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 in joint venture</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640" w:type="dxa"/>
            <w:vAlign w:val="bottom"/>
            <w:gridSpan w:val="2"/>
          </w:tcPr>
          <w:p>
            <w:pPr>
              <w:ind w:left="1060"/>
              <w:spacing w:after="0"/>
              <w:rPr>
                <w:sz w:val="20"/>
                <w:szCs w:val="20"/>
                <w:color w:val="auto"/>
              </w:rPr>
            </w:pPr>
            <w:r>
              <w:rPr>
                <w:rFonts w:ascii="Arial" w:cs="Arial" w:eastAsia="Arial" w:hAnsi="Arial"/>
                <w:sz w:val="18"/>
                <w:szCs w:val="18"/>
                <w:color w:val="auto"/>
              </w:rPr>
              <w:t>Net cash used by investing activities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(26,071)</w:t>
            </w: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(22,029)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480" w:type="dxa"/>
            <w:vAlign w:val="bottom"/>
          </w:tcPr>
          <w:p>
            <w:pPr>
              <w:spacing w:after="0"/>
              <w:rPr>
                <w:sz w:val="6"/>
                <w:szCs w:val="6"/>
                <w:color w:val="auto"/>
              </w:rPr>
            </w:pPr>
          </w:p>
        </w:tc>
        <w:tc>
          <w:tcPr>
            <w:tcW w:w="816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340"/>
              <w:spacing w:after="0"/>
              <w:rPr>
                <w:sz w:val="20"/>
                <w:szCs w:val="20"/>
                <w:color w:val="auto"/>
              </w:rPr>
            </w:pPr>
            <w:r>
              <w:rPr>
                <w:rFonts w:ascii="Arial" w:cs="Arial" w:eastAsia="Arial" w:hAnsi="Arial"/>
                <w:sz w:val="18"/>
                <w:szCs w:val="18"/>
                <w:color w:val="auto"/>
              </w:rPr>
              <w:t>Proceeds/(Repayment) from short-term debt, net</w:t>
            </w:r>
          </w:p>
        </w:tc>
        <w:tc>
          <w:tcPr>
            <w:tcW w:w="660" w:type="dxa"/>
            <w:vAlign w:val="bottom"/>
          </w:tcPr>
          <w:p>
            <w:pPr>
              <w:jc w:val="right"/>
              <w:spacing w:after="0"/>
              <w:rPr>
                <w:sz w:val="20"/>
                <w:szCs w:val="20"/>
                <w:color w:val="auto"/>
              </w:rPr>
            </w:pPr>
            <w:r>
              <w:rPr>
                <w:rFonts w:ascii="Arial" w:cs="Arial" w:eastAsia="Arial" w:hAnsi="Arial"/>
                <w:sz w:val="18"/>
                <w:szCs w:val="18"/>
                <w:color w:val="auto"/>
              </w:rPr>
              <w:t>1,453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Debt issue costs paid</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340"/>
              <w:spacing w:after="0"/>
              <w:rPr>
                <w:sz w:val="20"/>
                <w:szCs w:val="20"/>
                <w:color w:val="auto"/>
              </w:rPr>
            </w:pPr>
            <w:r>
              <w:rPr>
                <w:rFonts w:ascii="Arial" w:cs="Arial" w:eastAsia="Arial" w:hAnsi="Arial"/>
                <w:sz w:val="18"/>
                <w:szCs w:val="18"/>
                <w:color w:val="auto"/>
              </w:rPr>
              <w:t>Principal payments on capital lease</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long-term debt, net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340"/>
              <w:spacing w:after="0"/>
              <w:rPr>
                <w:sz w:val="20"/>
                <w:szCs w:val="20"/>
                <w:color w:val="auto"/>
              </w:rPr>
            </w:pPr>
            <w:r>
              <w:rPr>
                <w:rFonts w:ascii="Arial" w:cs="Arial" w:eastAsia="Arial" w:hAnsi="Arial"/>
                <w:sz w:val="18"/>
                <w:szCs w:val="18"/>
                <w:color w:val="auto"/>
              </w:rPr>
              <w:t>Dividends paid</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issuance of stock and exercise of stock options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640" w:type="dxa"/>
            <w:vAlign w:val="bottom"/>
            <w:gridSpan w:val="2"/>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tcPr>
          <w:p>
            <w:pPr>
              <w:jc w:val="right"/>
              <w:spacing w:after="0"/>
              <w:rPr>
                <w:sz w:val="20"/>
                <w:szCs w:val="20"/>
                <w:color w:val="auto"/>
              </w:rPr>
            </w:pPr>
            <w:r>
              <w:rPr>
                <w:rFonts w:ascii="Arial" w:cs="Arial" w:eastAsia="Arial" w:hAnsi="Arial"/>
                <w:sz w:val="18"/>
                <w:szCs w:val="18"/>
                <w:color w:val="auto"/>
              </w:rPr>
              <w:t>6,371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19,110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480" w:type="dxa"/>
            <w:vAlign w:val="bottom"/>
          </w:tcPr>
          <w:p>
            <w:pPr>
              <w:spacing w:after="0"/>
              <w:rPr>
                <w:sz w:val="6"/>
                <w:szCs w:val="6"/>
                <w:color w:val="auto"/>
              </w:rPr>
            </w:pPr>
          </w:p>
        </w:tc>
        <w:tc>
          <w:tcPr>
            <w:tcW w:w="816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flows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(15,908)</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at Beginning of Period</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37,317</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660" w:type="dxa"/>
            <w:vAlign w:val="bottom"/>
            <w:gridSpan w:val="3"/>
          </w:tcPr>
          <w:p>
            <w:pPr>
              <w:spacing w:after="0"/>
              <w:rPr>
                <w:sz w:val="20"/>
                <w:szCs w:val="20"/>
                <w:color w:val="auto"/>
              </w:rPr>
            </w:pPr>
            <w:r>
              <w:rPr>
                <w:rFonts w:ascii="Arial" w:cs="Arial" w:eastAsia="Arial" w:hAnsi="Arial"/>
                <w:sz w:val="18"/>
                <w:szCs w:val="18"/>
                <w:b w:val="1"/>
                <w:bCs w:val="1"/>
                <w:color w:val="auto"/>
              </w:rPr>
              <w:t>Cash at End of Period</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$ 21,409</w:t>
            </w:r>
          </w:p>
        </w:tc>
        <w:tc>
          <w:tcPr>
            <w:tcW w:w="3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2015 and 2014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condensed consolidated financial statements of NN, Inc. have not been audited, except that the condensed consolidated balance sheet at December 31, 2014 was derived from our audited consolidated financial statements included in our Annual Report on Form 10-K for the year ended December 31, 2014, which was filed with the U.S. Securities and Exchange Commission, or SEC, on March 16, 2015. In our opinion, these financial statements reflect all adjustments necessary to fairly state the results of operations for the three and six month periods ended June 30, 2015 and 2014, our financial position at June 30, 2015 and December 31, 2014, and the cash flows for the six month periods ended June 30, 2015 and 2014 on a basis consistent with our audited financial statements.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7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and consolidated financial statements should be read in conjunction with our audited consolidated financial statements and the notes thereto included in our most recent Annual Report on Form 10-K for the year ended December 31, 2014, which we filed with the SEC on March 16, 2015. The results for the three and six month periods ended June 30, 2015 are not necessarily indicative of results for the year ending December 31, 2015 or any other future periods.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May 29, 2015, NN completed the acquisition of Caprock Manufacturing, Inc. and Caprock Enclosures, LLC (collectively referred to as “Caprock”) for approximately $9,000 in cash. Caprock was a privately held plastic components supplier located in Lubbock, TX. Caprock serves multiple end markets including aerospace, medical and general industrial. The acquisition provides further balancing of our end markets and represents the first step in our focused plan toward transforming our plastics business. The results of Caprock have been consolidated with NN since the date of acquisition as part of the Plastic and Rubber Components Segment. We are in the process of finalizing fair market valuations of all the net assets acquired given the purchase was made close to the end of the quarter. The preliminary purchase price allocation includes $1,452 in net working capital, $2,960 in property plant and equipment, $2,490 in intangible assets, and $2,099 in goodwill, which we expect to be fully deductible for tax purposes. The goodwill is attributable to expected cost synergies and revenue growth plus the assembled work force.</w:t>
      </w:r>
    </w:p>
    <w:p>
      <w:pPr>
        <w:spacing w:after="0" w:line="17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June 20, 2014, we acquired 79.2% of the outstanding shares of RFK Valjcici d. d. Konjic (“RFK”) for $9,756 in cash. RFK is a manufacturer of tapered rollers with operations in Konjic, Bosnia &amp; Herzegovina. As of June 30, 2014, we reported a non-controlling interest of $2,559 for RFK representing the fair value of the 20.8% of the shares outstanding we did not own. NN purchased up to 99.7% of the shares of RFK in the second half of 2014 for $2,528 in cash and reclassified this amount from a non-controlling interest. RFK’s products, while complementary to NN’s existing roller bearing components, broadened our product offering and allowed penetration into adjacent markets. The results of the operations of RFK have been consolidated with NN since the date of acquisition as a part of the Metal Bearing Components Segment.</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January 30, 2014, we purchased the majority of the operating assets of V-S Industries, V-S Precision, LLC and V-S Precision SA de DV (collectively referred to as “VS”) from the secured creditors of V-S Industries for $5,580 in cash and assumed certain liabilities totaling $2,968. This was accounted for as a business combination. VS is a precision metal components manufacturer that supplies customers in a variety of industries including electric motors, HVAC, power tools, automotive and medical. The acquisition of VS provided us with a complementary, broader product offering and allowed penetration into adjacent markets. VS has two locations in Wheeling, Illinois and Juarez, Mexico and is included in Autocam Precision Components Segment.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 and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5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6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37,104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35,191</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Work in process</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20,470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21,883</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30,354</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34,395</w:t>
            </w:r>
          </w:p>
        </w:tc>
        <w:tc>
          <w:tcPr>
            <w:tcW w:w="100" w:type="dxa"/>
            <w:vAlign w:val="bottom"/>
            <w:shd w:val="clear" w:color="auto" w:fill="CCEEFF"/>
          </w:tcPr>
          <w:p>
            <w:pPr>
              <w:spacing w:after="0"/>
              <w:rPr>
                <w:sz w:val="18"/>
                <w:szCs w:val="18"/>
                <w:color w:val="auto"/>
              </w:rPr>
            </w:pPr>
          </w:p>
        </w:tc>
      </w:tr>
      <w:tr>
        <w:trPr>
          <w:trHeight w:val="291"/>
        </w:trPr>
        <w:tc>
          <w:tcPr>
            <w:tcW w:w="6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87,928</w:t>
            </w:r>
          </w:p>
        </w:tc>
        <w:tc>
          <w:tcPr>
            <w:tcW w:w="7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91,469</w:t>
            </w:r>
          </w:p>
        </w:tc>
        <w:tc>
          <w:tcPr>
            <w:tcW w:w="100" w:type="dxa"/>
            <w:vAlign w:val="bottom"/>
          </w:tcPr>
          <w:p>
            <w:pPr>
              <w:spacing w:after="0"/>
              <w:rPr>
                <w:sz w:val="24"/>
                <w:szCs w:val="24"/>
                <w:color w:val="auto"/>
              </w:rPr>
            </w:pPr>
          </w:p>
        </w:tc>
      </w:tr>
      <w:tr>
        <w:trPr>
          <w:trHeight w:val="20"/>
        </w:trPr>
        <w:tc>
          <w:tcPr>
            <w:tcW w:w="6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Inventories on consignment at customer locations as of June 30, 2015 and December 31, 2014 totaled $4,981 and $5,857, respectively.</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Inventories are stated at the lower of cost or market. Cost is determined using the average cost method. 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Per Share</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4"/>
                <w:szCs w:val="14"/>
                <w:color w:val="auto"/>
              </w:rPr>
            </w:pPr>
          </w:p>
        </w:tc>
        <w:tc>
          <w:tcPr>
            <w:tcW w:w="19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19,215</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17,779</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19,064</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Effective of dilutive stock options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59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920" w:type="dxa"/>
            <w:vAlign w:val="bottom"/>
            <w:gridSpan w:val="2"/>
          </w:tcPr>
          <w:p>
            <w:pPr>
              <w:spacing w:after="0"/>
              <w:rPr>
                <w:sz w:val="20"/>
                <w:szCs w:val="20"/>
                <w:color w:val="auto"/>
              </w:rPr>
            </w:pPr>
            <w:r>
              <w:rPr>
                <w:rFonts w:ascii="Arial" w:cs="Arial" w:eastAsia="Arial" w:hAnsi="Arial"/>
                <w:sz w:val="18"/>
                <w:szCs w:val="18"/>
                <w:color w:val="auto"/>
              </w:rPr>
              <w:t>Diluted shares outstanding</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19,582</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18,172</w:t>
            </w:r>
          </w:p>
        </w:tc>
        <w:tc>
          <w:tcPr>
            <w:tcW w:w="10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19,416</w:t>
            </w:r>
          </w:p>
        </w:tc>
        <w:tc>
          <w:tcPr>
            <w:tcW w:w="1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59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20" w:type="dxa"/>
            <w:vAlign w:val="bottom"/>
            <w:gridSpan w:val="2"/>
          </w:tcPr>
          <w:p>
            <w:pPr>
              <w:spacing w:after="0"/>
              <w:rPr>
                <w:sz w:val="20"/>
                <w:szCs w:val="20"/>
                <w:color w:val="auto"/>
              </w:rPr>
            </w:pPr>
            <w:r>
              <w:rPr>
                <w:rFonts w:ascii="Arial" w:cs="Arial" w:eastAsia="Arial" w:hAnsi="Arial"/>
                <w:sz w:val="18"/>
                <w:szCs w:val="18"/>
                <w:color w:val="auto"/>
              </w:rPr>
              <w:t>Diluted net income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0.36</w:t>
            </w:r>
          </w:p>
        </w:tc>
        <w:tc>
          <w:tcPr>
            <w:tcW w:w="4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0.29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0.67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There were no anti-dilutive options excluded from the dilutive shares outstanding for the three and six month periods ended June 30, 2015 and 2014.</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Information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segment information and the accounting policies of each segment are the same as those described in the notes to the consolidated financial statements entitled “Segment Information” and “Summary of Significant Accounting Policies and Practices,” respectively, included in our Annual Report on Form 10-K for the fiscal year ended December 31, 2014, which we filed with the SEC on March 16, 2015. Autocam Corporation (“Autocam”) was added to the Precision Metal Components segment during the third quarter of 2014 and the segment was renamed the Autocam Precision Components Segment during the fourth quarter of 2014. We account for inter-segment sales and transfers at current market prices. We did not have any significant inter-segment transactions during the three and six month periods ended June 30, 2015 and 2014.</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Metal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Autocam</w:t>
            </w:r>
          </w:p>
        </w:tc>
        <w:tc>
          <w:tcPr>
            <w:tcW w:w="11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9"/>
              </w:rPr>
              <w:t>Plastic and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Bearing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Precision</w:t>
            </w:r>
          </w:p>
        </w:tc>
        <w:tc>
          <w:tcPr>
            <w:tcW w:w="100" w:type="dxa"/>
            <w:vAlign w:val="bottom"/>
          </w:tcPr>
          <w:p>
            <w:pPr>
              <w:spacing w:after="0"/>
              <w:rPr>
                <w:sz w:val="12"/>
                <w:szCs w:val="12"/>
                <w:color w:val="auto"/>
              </w:rPr>
            </w:pPr>
          </w:p>
        </w:tc>
        <w:tc>
          <w:tcPr>
            <w:tcW w:w="108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Rubber</w:t>
            </w:r>
          </w:p>
        </w:tc>
        <w:tc>
          <w:tcPr>
            <w:tcW w:w="13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Corporate and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gridSpan w:val="5"/>
            <w:vMerge w:val="restart"/>
          </w:tcPr>
          <w:p>
            <w:pPr>
              <w:spacing w:after="0"/>
              <w:rPr>
                <w:sz w:val="20"/>
                <w:szCs w:val="20"/>
                <w:color w:val="auto"/>
              </w:rPr>
            </w:pPr>
            <w:r>
              <w:rPr>
                <w:rFonts w:ascii="Arial" w:cs="Arial" w:eastAsia="Arial" w:hAnsi="Arial"/>
                <w:sz w:val="14"/>
                <w:szCs w:val="14"/>
                <w:color w:val="auto"/>
              </w:rPr>
              <w:t>(In Thousands of Dollars)</w:t>
            </w:r>
          </w:p>
        </w:tc>
        <w:tc>
          <w:tcPr>
            <w:tcW w:w="1520" w:type="dxa"/>
            <w:vAlign w:val="bottom"/>
          </w:tcPr>
          <w:p>
            <w:pPr>
              <w:spacing w:after="0"/>
              <w:rPr>
                <w:sz w:val="12"/>
                <w:szCs w:val="12"/>
                <w:color w:val="auto"/>
              </w:rPr>
            </w:pPr>
          </w:p>
        </w:tc>
        <w:tc>
          <w:tcPr>
            <w:tcW w:w="10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Components</w:t>
            </w:r>
          </w:p>
        </w:tc>
        <w:tc>
          <w:tcPr>
            <w:tcW w:w="140" w:type="dxa"/>
            <w:vAlign w:val="bottom"/>
          </w:tcPr>
          <w:p>
            <w:pPr>
              <w:spacing w:after="0"/>
              <w:rPr>
                <w:sz w:val="12"/>
                <w:szCs w:val="12"/>
                <w:color w:val="auto"/>
              </w:rPr>
            </w:pPr>
          </w:p>
        </w:tc>
        <w:tc>
          <w:tcPr>
            <w:tcW w:w="11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18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Components</w:t>
            </w:r>
          </w:p>
        </w:tc>
        <w:tc>
          <w:tcPr>
            <w:tcW w:w="13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180" w:type="dxa"/>
            <w:vAlign w:val="bottom"/>
            <w:gridSpan w:val="5"/>
            <w:vMerge w:val="continue"/>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Segment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rPr>
              <w:t>Segment</w:t>
            </w:r>
          </w:p>
        </w:tc>
        <w:tc>
          <w:tcPr>
            <w:tcW w:w="100" w:type="dxa"/>
            <w:vAlign w:val="bottom"/>
          </w:tcPr>
          <w:p>
            <w:pPr>
              <w:spacing w:after="0"/>
              <w:rPr>
                <w:sz w:val="14"/>
                <w:szCs w:val="14"/>
                <w:color w:val="auto"/>
              </w:rPr>
            </w:pPr>
          </w:p>
        </w:tc>
        <w:tc>
          <w:tcPr>
            <w:tcW w:w="10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1"/>
              </w:rPr>
              <w:t>Segment</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Consolidations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2"/>
              </w:rPr>
              <w:t>Three Months ended</w:t>
            </w:r>
          </w:p>
        </w:tc>
        <w:tc>
          <w:tcPr>
            <w:tcW w:w="1200" w:type="dxa"/>
            <w:vAlign w:val="bottom"/>
            <w:tcBorders>
              <w:top w:val="single" w:sz="8" w:color="CCEEFF"/>
              <w:bottom w:val="single" w:sz="8" w:color="auto"/>
            </w:tcBorders>
            <w:gridSpan w:val="2"/>
            <w:shd w:val="clear" w:color="auto" w:fill="CCEEFF"/>
          </w:tcPr>
          <w:p>
            <w:pPr>
              <w:ind w:left="140"/>
              <w:spacing w:after="0" w:line="156" w:lineRule="exact"/>
              <w:rPr>
                <w:sz w:val="20"/>
                <w:szCs w:val="20"/>
                <w:color w:val="auto"/>
              </w:rPr>
            </w:pPr>
            <w:r>
              <w:rPr>
                <w:rFonts w:ascii="Arial" w:cs="Arial" w:eastAsia="Arial" w:hAnsi="Arial"/>
                <w:sz w:val="18"/>
                <w:szCs w:val="18"/>
                <w:b w:val="1"/>
                <w:bCs w:val="1"/>
                <w:color w:val="auto"/>
                <w:w w:val="88"/>
              </w:rPr>
              <w:t>June 30, 2015</w:t>
            </w: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Revenues from external customers</w:t>
            </w:r>
          </w:p>
        </w:tc>
        <w:tc>
          <w:tcPr>
            <w:tcW w:w="1620" w:type="dxa"/>
            <w:vAlign w:val="bottom"/>
            <w:gridSpan w:val="2"/>
          </w:tcPr>
          <w:p>
            <w:pPr>
              <w:ind w:left="152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69,261</w:t>
            </w:r>
          </w:p>
        </w:tc>
        <w:tc>
          <w:tcPr>
            <w:tcW w:w="16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86,471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9,124</w:t>
            </w:r>
          </w:p>
        </w:tc>
        <w:tc>
          <w:tcPr>
            <w:tcW w:w="3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w w:val="90"/>
              </w:rPr>
              <w:t>$164,856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9,403</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13,589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Metal</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Autocam</w:t>
            </w:r>
          </w:p>
        </w:tc>
        <w:tc>
          <w:tcPr>
            <w:tcW w:w="11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9"/>
              </w:rPr>
              <w:t>Plastic and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Bearing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Precision</w:t>
            </w:r>
          </w:p>
        </w:tc>
        <w:tc>
          <w:tcPr>
            <w:tcW w:w="100" w:type="dxa"/>
            <w:vAlign w:val="bottom"/>
          </w:tcPr>
          <w:p>
            <w:pPr>
              <w:spacing w:after="0"/>
              <w:rPr>
                <w:sz w:val="12"/>
                <w:szCs w:val="12"/>
                <w:color w:val="auto"/>
              </w:rPr>
            </w:pPr>
          </w:p>
        </w:tc>
        <w:tc>
          <w:tcPr>
            <w:tcW w:w="108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Rubber</w:t>
            </w:r>
          </w:p>
        </w:tc>
        <w:tc>
          <w:tcPr>
            <w:tcW w:w="13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Corporate and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gridSpan w:val="5"/>
            <w:vMerge w:val="restart"/>
          </w:tcPr>
          <w:p>
            <w:pPr>
              <w:spacing w:after="0"/>
              <w:rPr>
                <w:sz w:val="20"/>
                <w:szCs w:val="20"/>
                <w:color w:val="auto"/>
              </w:rPr>
            </w:pPr>
            <w:r>
              <w:rPr>
                <w:rFonts w:ascii="Arial" w:cs="Arial" w:eastAsia="Arial" w:hAnsi="Arial"/>
                <w:sz w:val="14"/>
                <w:szCs w:val="14"/>
                <w:color w:val="auto"/>
              </w:rPr>
              <w:t>(In Thousands of Dollars)</w:t>
            </w:r>
          </w:p>
        </w:tc>
        <w:tc>
          <w:tcPr>
            <w:tcW w:w="1520" w:type="dxa"/>
            <w:vAlign w:val="bottom"/>
          </w:tcPr>
          <w:p>
            <w:pPr>
              <w:spacing w:after="0"/>
              <w:rPr>
                <w:sz w:val="12"/>
                <w:szCs w:val="12"/>
                <w:color w:val="auto"/>
              </w:rPr>
            </w:pPr>
          </w:p>
        </w:tc>
        <w:tc>
          <w:tcPr>
            <w:tcW w:w="10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Components</w:t>
            </w:r>
          </w:p>
        </w:tc>
        <w:tc>
          <w:tcPr>
            <w:tcW w:w="140" w:type="dxa"/>
            <w:vAlign w:val="bottom"/>
          </w:tcPr>
          <w:p>
            <w:pPr>
              <w:spacing w:after="0"/>
              <w:rPr>
                <w:sz w:val="12"/>
                <w:szCs w:val="12"/>
                <w:color w:val="auto"/>
              </w:rPr>
            </w:pPr>
          </w:p>
        </w:tc>
        <w:tc>
          <w:tcPr>
            <w:tcW w:w="11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18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Components</w:t>
            </w:r>
          </w:p>
        </w:tc>
        <w:tc>
          <w:tcPr>
            <w:tcW w:w="13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180" w:type="dxa"/>
            <w:vAlign w:val="bottom"/>
            <w:gridSpan w:val="5"/>
            <w:vMerge w:val="continue"/>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Segment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rPr>
              <w:t>Segment</w:t>
            </w:r>
          </w:p>
        </w:tc>
        <w:tc>
          <w:tcPr>
            <w:tcW w:w="100" w:type="dxa"/>
            <w:vAlign w:val="bottom"/>
          </w:tcPr>
          <w:p>
            <w:pPr>
              <w:spacing w:after="0"/>
              <w:rPr>
                <w:sz w:val="14"/>
                <w:szCs w:val="14"/>
                <w:color w:val="auto"/>
              </w:rPr>
            </w:pPr>
          </w:p>
        </w:tc>
        <w:tc>
          <w:tcPr>
            <w:tcW w:w="10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1"/>
              </w:rPr>
              <w:t>Segment</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Consolidations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4"/>
              </w:rPr>
              <w:t>Six Months ended</w:t>
            </w:r>
          </w:p>
        </w:tc>
        <w:tc>
          <w:tcPr>
            <w:tcW w:w="9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1"/>
              </w:rPr>
              <w:t>June 30, 2015</w:t>
            </w:r>
          </w:p>
        </w:tc>
        <w:tc>
          <w:tcPr>
            <w:tcW w:w="17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5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Revenues from external customers</w:t>
            </w:r>
          </w:p>
        </w:tc>
        <w:tc>
          <w:tcPr>
            <w:tcW w:w="1620" w:type="dxa"/>
            <w:vAlign w:val="bottom"/>
            <w:gridSpan w:val="2"/>
          </w:tcPr>
          <w:p>
            <w:pPr>
              <w:ind w:left="152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142,496</w:t>
            </w:r>
          </w:p>
        </w:tc>
        <w:tc>
          <w:tcPr>
            <w:tcW w:w="16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169,093</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17,012</w:t>
            </w:r>
          </w:p>
        </w:tc>
        <w:tc>
          <w:tcPr>
            <w:tcW w:w="3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w w:val="90"/>
              </w:rPr>
              <w:t>$328,601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18,491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27,524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1620" w:type="dxa"/>
            <w:vAlign w:val="bottom"/>
            <w:gridSpan w:val="2"/>
          </w:tcPr>
          <w:p>
            <w:pPr>
              <w:ind w:left="152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209,986</w:t>
            </w:r>
          </w:p>
        </w:tc>
        <w:tc>
          <w:tcPr>
            <w:tcW w:w="160" w:type="dxa"/>
            <w:vAlign w:val="bottom"/>
          </w:tcPr>
          <w:p>
            <w:pPr>
              <w:spacing w:after="0"/>
              <w:rPr>
                <w:sz w:val="20"/>
                <w:szCs w:val="20"/>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439,526</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28,202</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31,226</w:t>
            </w:r>
          </w:p>
        </w:tc>
        <w:tc>
          <w:tcPr>
            <w:tcW w:w="300" w:type="dxa"/>
            <w:vAlign w:val="bottom"/>
          </w:tcPr>
          <w:p>
            <w:pPr>
              <w:spacing w:after="0"/>
              <w:rPr>
                <w:sz w:val="20"/>
                <w:szCs w:val="20"/>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w w:val="90"/>
              </w:rPr>
              <w:t>$708,940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Metal</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Autocam</w:t>
            </w:r>
          </w:p>
        </w:tc>
        <w:tc>
          <w:tcPr>
            <w:tcW w:w="100" w:type="dxa"/>
            <w:vAlign w:val="bottom"/>
          </w:tcPr>
          <w:p>
            <w:pPr>
              <w:spacing w:after="0"/>
              <w:rPr>
                <w:sz w:val="24"/>
                <w:szCs w:val="24"/>
                <w:color w:val="auto"/>
              </w:rPr>
            </w:pPr>
          </w:p>
        </w:tc>
        <w:tc>
          <w:tcPr>
            <w:tcW w:w="10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Plastic and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Bearing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Precision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Rubber</w:t>
            </w:r>
          </w:p>
        </w:tc>
        <w:tc>
          <w:tcPr>
            <w:tcW w:w="80" w:type="dxa"/>
            <w:vAlign w:val="bottom"/>
          </w:tcPr>
          <w:p>
            <w:pPr>
              <w:spacing w:after="0"/>
              <w:rPr>
                <w:sz w:val="12"/>
                <w:szCs w:val="12"/>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Corporate and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gridSpan w:val="5"/>
            <w:vMerge w:val="restart"/>
          </w:tcPr>
          <w:p>
            <w:pPr>
              <w:spacing w:after="0"/>
              <w:rPr>
                <w:sz w:val="20"/>
                <w:szCs w:val="20"/>
                <w:color w:val="auto"/>
              </w:rPr>
            </w:pPr>
            <w:r>
              <w:rPr>
                <w:rFonts w:ascii="Arial" w:cs="Arial" w:eastAsia="Arial" w:hAnsi="Arial"/>
                <w:sz w:val="14"/>
                <w:szCs w:val="14"/>
                <w:color w:val="auto"/>
              </w:rPr>
              <w:t>(In Thousands of Dollars)</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00" w:type="dxa"/>
            <w:vAlign w:val="bottom"/>
          </w:tcPr>
          <w:p>
            <w:pPr>
              <w:spacing w:after="0"/>
              <w:rPr>
                <w:sz w:val="12"/>
                <w:szCs w:val="12"/>
                <w:color w:val="auto"/>
              </w:rPr>
            </w:pPr>
          </w:p>
        </w:tc>
        <w:tc>
          <w:tcPr>
            <w:tcW w:w="10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Components</w:t>
            </w:r>
          </w:p>
        </w:tc>
        <w:tc>
          <w:tcPr>
            <w:tcW w:w="8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80" w:type="dxa"/>
            <w:vAlign w:val="bottom"/>
            <w:gridSpan w:val="5"/>
            <w:vMerge w:val="continue"/>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Segment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Segment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Segment</w:t>
            </w:r>
          </w:p>
        </w:tc>
        <w:tc>
          <w:tcPr>
            <w:tcW w:w="80" w:type="dxa"/>
            <w:vAlign w:val="bottom"/>
          </w:tcPr>
          <w:p>
            <w:pPr>
              <w:spacing w:after="0"/>
              <w:rPr>
                <w:sz w:val="14"/>
                <w:szCs w:val="14"/>
                <w:color w:val="auto"/>
              </w:rPr>
            </w:pP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Consolidations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2"/>
              </w:rPr>
              <w:t>Three Months ended</w:t>
            </w:r>
          </w:p>
        </w:tc>
        <w:tc>
          <w:tcPr>
            <w:tcW w:w="1200" w:type="dxa"/>
            <w:vAlign w:val="bottom"/>
            <w:tcBorders>
              <w:top w:val="single" w:sz="8" w:color="CCEEFF"/>
              <w:bottom w:val="single" w:sz="8" w:color="auto"/>
            </w:tcBorders>
            <w:gridSpan w:val="2"/>
            <w:shd w:val="clear" w:color="auto" w:fill="CCEEFF"/>
          </w:tcPr>
          <w:p>
            <w:pPr>
              <w:ind w:left="140"/>
              <w:spacing w:after="0" w:line="156" w:lineRule="exact"/>
              <w:rPr>
                <w:sz w:val="20"/>
                <w:szCs w:val="20"/>
                <w:color w:val="auto"/>
              </w:rPr>
            </w:pPr>
            <w:r>
              <w:rPr>
                <w:rFonts w:ascii="Arial" w:cs="Arial" w:eastAsia="Arial" w:hAnsi="Arial"/>
                <w:sz w:val="18"/>
                <w:szCs w:val="18"/>
                <w:b w:val="1"/>
                <w:bCs w:val="1"/>
                <w:color w:val="auto"/>
                <w:w w:val="88"/>
              </w:rPr>
              <w:t>June 30, 2014</w:t>
            </w: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Revenues from external customers</w:t>
            </w:r>
          </w:p>
        </w:tc>
        <w:tc>
          <w:tcPr>
            <w:tcW w:w="1720" w:type="dxa"/>
            <w:vAlign w:val="bottom"/>
            <w:gridSpan w:val="3"/>
          </w:tcPr>
          <w:p>
            <w:pPr>
              <w:ind w:left="162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73,038</w:t>
            </w: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25,267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8,375</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$106,680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720" w:type="dxa"/>
            <w:vAlign w:val="bottom"/>
            <w:gridSpan w:val="3"/>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8,748</w:t>
            </w: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414</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Metal</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Autocam</w:t>
            </w:r>
          </w:p>
        </w:tc>
        <w:tc>
          <w:tcPr>
            <w:tcW w:w="100" w:type="dxa"/>
            <w:vAlign w:val="bottom"/>
          </w:tcPr>
          <w:p>
            <w:pPr>
              <w:spacing w:after="0"/>
              <w:rPr>
                <w:sz w:val="24"/>
                <w:szCs w:val="24"/>
                <w:color w:val="auto"/>
              </w:rPr>
            </w:pPr>
          </w:p>
        </w:tc>
        <w:tc>
          <w:tcPr>
            <w:tcW w:w="10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Plastic and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Bearing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Precision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Rubber</w:t>
            </w:r>
          </w:p>
        </w:tc>
        <w:tc>
          <w:tcPr>
            <w:tcW w:w="80" w:type="dxa"/>
            <w:vAlign w:val="bottom"/>
          </w:tcPr>
          <w:p>
            <w:pPr>
              <w:spacing w:after="0"/>
              <w:rPr>
                <w:sz w:val="12"/>
                <w:szCs w:val="12"/>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Corporate and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gridSpan w:val="5"/>
            <w:vMerge w:val="restart"/>
          </w:tcPr>
          <w:p>
            <w:pPr>
              <w:spacing w:after="0"/>
              <w:rPr>
                <w:sz w:val="20"/>
                <w:szCs w:val="20"/>
                <w:color w:val="auto"/>
              </w:rPr>
            </w:pPr>
            <w:r>
              <w:rPr>
                <w:rFonts w:ascii="Arial" w:cs="Arial" w:eastAsia="Arial" w:hAnsi="Arial"/>
                <w:sz w:val="14"/>
                <w:szCs w:val="14"/>
                <w:color w:val="auto"/>
              </w:rPr>
              <w:t>(In Thousands of Dollars)</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00" w:type="dxa"/>
            <w:vAlign w:val="bottom"/>
          </w:tcPr>
          <w:p>
            <w:pPr>
              <w:spacing w:after="0"/>
              <w:rPr>
                <w:sz w:val="12"/>
                <w:szCs w:val="12"/>
                <w:color w:val="auto"/>
              </w:rPr>
            </w:pPr>
          </w:p>
        </w:tc>
        <w:tc>
          <w:tcPr>
            <w:tcW w:w="10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Components</w:t>
            </w:r>
          </w:p>
        </w:tc>
        <w:tc>
          <w:tcPr>
            <w:tcW w:w="8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80" w:type="dxa"/>
            <w:vAlign w:val="bottom"/>
            <w:gridSpan w:val="5"/>
            <w:vMerge w:val="continue"/>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Segment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Segment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Segment</w:t>
            </w:r>
          </w:p>
        </w:tc>
        <w:tc>
          <w:tcPr>
            <w:tcW w:w="80" w:type="dxa"/>
            <w:vAlign w:val="bottom"/>
          </w:tcPr>
          <w:p>
            <w:pPr>
              <w:spacing w:after="0"/>
              <w:rPr>
                <w:sz w:val="14"/>
                <w:szCs w:val="14"/>
                <w:color w:val="auto"/>
              </w:rPr>
            </w:pP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Consolidations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4"/>
              </w:rPr>
              <w:t>Six Months ended</w:t>
            </w:r>
          </w:p>
        </w:tc>
        <w:tc>
          <w:tcPr>
            <w:tcW w:w="9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1"/>
              </w:rPr>
              <w:t>June 30, 2014</w:t>
            </w:r>
          </w:p>
        </w:tc>
        <w:tc>
          <w:tcPr>
            <w:tcW w:w="17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5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Revenues from external customers</w:t>
            </w:r>
          </w:p>
        </w:tc>
        <w:tc>
          <w:tcPr>
            <w:tcW w:w="1720" w:type="dxa"/>
            <w:vAlign w:val="bottom"/>
            <w:gridSpan w:val="3"/>
          </w:tcPr>
          <w:p>
            <w:pPr>
              <w:ind w:left="162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143,938</w:t>
            </w: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49,005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16,265</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$209,208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720" w:type="dxa"/>
            <w:vAlign w:val="bottom"/>
            <w:gridSpan w:val="3"/>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17,520</w:t>
            </w: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649</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(6,463)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16,574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1720" w:type="dxa"/>
            <w:vAlign w:val="bottom"/>
            <w:gridSpan w:val="3"/>
          </w:tcPr>
          <w:p>
            <w:pPr>
              <w:ind w:left="162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227,313</w:t>
            </w: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54,529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17,718</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7,860</w:t>
            </w:r>
          </w:p>
        </w:tc>
        <w:tc>
          <w:tcPr>
            <w:tcW w:w="300" w:type="dxa"/>
            <w:vAlign w:val="bottom"/>
          </w:tcPr>
          <w:p>
            <w:pPr>
              <w:spacing w:after="0"/>
              <w:rPr>
                <w:sz w:val="20"/>
                <w:szCs w:val="20"/>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$307,420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2015 and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Debt and Short-Term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short-term debt at June 30, 2015 and December 31, 2014 consisted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4"/>
                <w:szCs w:val="14"/>
                <w:b w:val="1"/>
                <w:bCs w:val="1"/>
                <w:color w:val="auto"/>
                <w:w w:val="99"/>
              </w:rPr>
              <w:t>June 30,</w:t>
            </w:r>
          </w:p>
        </w:tc>
        <w:tc>
          <w:tcPr>
            <w:tcW w:w="152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460" w:type="dxa"/>
            <w:vAlign w:val="bottom"/>
          </w:tcPr>
          <w:p>
            <w:pPr>
              <w:spacing w:after="0"/>
              <w:rPr>
                <w:sz w:val="14"/>
                <w:szCs w:val="14"/>
                <w:color w:val="auto"/>
              </w:rPr>
            </w:pPr>
          </w:p>
        </w:tc>
        <w:tc>
          <w:tcPr>
            <w:tcW w:w="70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82"/>
        </w:trPr>
        <w:tc>
          <w:tcPr>
            <w:tcW w:w="64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8"/>
              </w:rPr>
              <w:t>Borrowings under our $350,000 Term Loan B bearing interest at the greater of 1%</w:t>
            </w:r>
          </w:p>
        </w:tc>
        <w:tc>
          <w:tcPr>
            <w:tcW w:w="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 3 month LIBOR (0.283% at June 30, 2015) plus an applicable margin of</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 at June 30, 2015 expiring August 29, 2021, net of discount of $4,620.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$331,630</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340,005</w:t>
            </w:r>
          </w:p>
        </w:tc>
        <w:tc>
          <w:tcPr>
            <w:tcW w:w="100" w:type="dxa"/>
            <w:vAlign w:val="bottom"/>
            <w:shd w:val="clear" w:color="auto" w:fill="CCEEFF"/>
          </w:tcPr>
          <w:p>
            <w:pPr>
              <w:spacing w:after="0"/>
              <w:rPr>
                <w:sz w:val="20"/>
                <w:szCs w:val="20"/>
                <w:color w:val="auto"/>
              </w:rPr>
            </w:pPr>
          </w:p>
        </w:tc>
      </w:tr>
      <w:tr>
        <w:trPr>
          <w:trHeight w:val="202"/>
        </w:trPr>
        <w:tc>
          <w:tcPr>
            <w:tcW w:w="6460" w:type="dxa"/>
            <w:vAlign w:val="bottom"/>
          </w:tcPr>
          <w:p>
            <w:pPr>
              <w:spacing w:after="0" w:line="201" w:lineRule="exact"/>
              <w:rPr>
                <w:sz w:val="20"/>
                <w:szCs w:val="20"/>
                <w:color w:val="auto"/>
              </w:rPr>
            </w:pPr>
            <w:r>
              <w:rPr>
                <w:rFonts w:ascii="Arial" w:cs="Arial" w:eastAsia="Arial" w:hAnsi="Arial"/>
                <w:sz w:val="18"/>
                <w:szCs w:val="18"/>
                <w:color w:val="auto"/>
              </w:rPr>
              <w:t>Borrowings under our $100,000 ABL Revolver bearing interest at a floating rate</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8"/>
                <w:szCs w:val="18"/>
                <w:color w:val="auto"/>
              </w:rPr>
              <w:t>equal to LIBOR (0.187% at June 30, 2015) plus an applicable margin of 1.75%</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at June 30, 2015 expiring August 29, 2019.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17,000</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French Safeguard obligations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Brazilian lines of credit and equipment notes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4,864</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5,304</w:t>
            </w: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Chinese line of credit</w:t>
            </w: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00" w:type="dxa"/>
            <w:vAlign w:val="bottom"/>
            <w:shd w:val="clear" w:color="auto" w:fill="CCEEFF"/>
          </w:tcPr>
          <w:p>
            <w:pPr>
              <w:spacing w:after="0"/>
              <w:rPr>
                <w:sz w:val="18"/>
                <w:szCs w:val="18"/>
                <w:color w:val="auto"/>
              </w:rPr>
            </w:pPr>
          </w:p>
        </w:tc>
      </w:tr>
      <w:tr>
        <w:trPr>
          <w:trHeight w:val="291"/>
        </w:trPr>
        <w:tc>
          <w:tcPr>
            <w:tcW w:w="646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359,283</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350,186</w:t>
            </w:r>
          </w:p>
        </w:tc>
        <w:tc>
          <w:tcPr>
            <w:tcW w:w="100" w:type="dxa"/>
            <w:vAlign w:val="bottom"/>
          </w:tcPr>
          <w:p>
            <w:pPr>
              <w:spacing w:after="0"/>
              <w:rPr>
                <w:sz w:val="24"/>
                <w:szCs w:val="24"/>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current maturities of long-term debt</w:t>
            </w: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23,345</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22,160</w:t>
            </w:r>
          </w:p>
        </w:tc>
        <w:tc>
          <w:tcPr>
            <w:tcW w:w="100" w:type="dxa"/>
            <w:vAlign w:val="bottom"/>
            <w:shd w:val="clear" w:color="auto" w:fill="CCEEFF"/>
          </w:tcPr>
          <w:p>
            <w:pPr>
              <w:spacing w:after="0"/>
              <w:rPr>
                <w:sz w:val="18"/>
                <w:szCs w:val="18"/>
                <w:color w:val="auto"/>
              </w:rPr>
            </w:pPr>
          </w:p>
        </w:tc>
      </w:tr>
      <w:tr>
        <w:trPr>
          <w:trHeight w:val="291"/>
        </w:trPr>
        <w:tc>
          <w:tcPr>
            <w:tcW w:w="6460" w:type="dxa"/>
            <w:vAlign w:val="bottom"/>
          </w:tcPr>
          <w:p>
            <w:pPr>
              <w:ind w:left="360"/>
              <w:spacing w:after="0"/>
              <w:rPr>
                <w:sz w:val="20"/>
                <w:szCs w:val="20"/>
                <w:color w:val="auto"/>
              </w:rPr>
            </w:pPr>
            <w:r>
              <w:rPr>
                <w:rFonts w:ascii="Arial" w:cs="Arial" w:eastAsia="Arial" w:hAnsi="Arial"/>
                <w:sz w:val="18"/>
                <w:szCs w:val="18"/>
                <w:color w:val="auto"/>
              </w:rPr>
              <w:t>Long-term debt, excluding current maturities of long-term debt</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335,938</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328,026</w:t>
            </w:r>
          </w:p>
        </w:tc>
        <w:tc>
          <w:tcPr>
            <w:tcW w:w="100" w:type="dxa"/>
            <w:vAlign w:val="bottom"/>
          </w:tcPr>
          <w:p>
            <w:pPr>
              <w:spacing w:after="0"/>
              <w:rPr>
                <w:sz w:val="24"/>
                <w:szCs w:val="24"/>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$350,000 term loan facility may be expanded upon our request with approval of the lenders by up to $50,000 under the same terms and conditions. The term loan has a seven year maturity with a 5% per annum repayment. The term loan agreement is a covenant lite agreement with no financial covenants. The term loan agreement does contain customary restrictions on, among other things, additional indebtedness, liens on our assets, sales or transfers of assets, investments, issuance of equity securities, and mergers, acquisitions and other fundamental changes in our business including a “material adverse change” clause, which if triggered would give the lenders the right to accelerate the maturity of the debt. Costs associated with entering into the revolving credit facility were capitalized and will be amortized into interest expense over the life of the facility. As of June 30, 2015, $8,434 of net capitalized loan origination costs related to the term loan are reflected in the condensed consolidated balance sheet within other non-current assets.</w:t>
      </w:r>
    </w:p>
    <w:p>
      <w:pPr>
        <w:spacing w:after="0" w:line="16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$100,000 asset backed loan, or ABL, may be expanded upon our request with approval of the lenders by up to $50,000 under the same terms and conditions. The ABL has a five year maturity and has one springing financial covenant in the event our availability on the ABL is less than $8,000. The ABL contains customary restrictions on, among other things, additional indebtedness, liens on our assets, sales or transfers of assets, investments, issuance of equity securities, and mergers, acquisitions and other fundamental changes in our business including a “material adverse change” clause, which if triggered would give the lenders the right to accelerate the maturity of the debt. The facility has a swing line feature to meet short term cash flow needs. Any borrowings under this swing line are considered short term. We incurred costs as a result of issuing the ABL, which have been recorded in the condensed consolidated balance sheet within other non-current assets and are being amortized over the term of the notes. The unamortized balance at June 30, 2015 was $1,158.</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the book values of the above credit facilities approximate their fair values given the interest rates are variable and are consistent with market rates for a company with our credit profile.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 and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Our French operation (acquired with Autocam) has liabilities with certain creditors subject to Safeguard protection. The liabilities are being paid annually over a 10-year period until 2019 and carry a zero percent interest rate. Amounts due as of June 30, 2015, to those creditors opting to be paid over a 10-year period totaled $2,362 and are included in current maturities of long-term debt of $304 and long-term debt, net of current portion of $2,058.</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Brazilian lines of credit include facilities with certain Brazilian banks used to fund working capital needs, while the equipment notes represent borrowings from certain Brazilian banks to fund equipment purchases for Autocam’s Brazilian plants. These credit facilities have annual interest rates ranging from 2.5% to 22.4%.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Chinese line of credit is a working capital line of credit with a Chinese bank bearing an annual interest rate of 4.95%.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net for the six month period ended June 30, 2015 are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Metal Bearing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Autocam</w:t>
            </w:r>
          </w:p>
        </w:tc>
        <w:tc>
          <w:tcPr>
            <w:tcW w:w="260" w:type="dxa"/>
            <w:vAlign w:val="bottom"/>
          </w:tcPr>
          <w:p>
            <w:pPr>
              <w:spacing w:after="0"/>
              <w:rPr>
                <w:sz w:val="14"/>
                <w:szCs w:val="14"/>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Plastic and</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Precision</w:t>
            </w:r>
          </w:p>
        </w:tc>
        <w:tc>
          <w:tcPr>
            <w:tcW w:w="2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gridSpan w:val="2"/>
            <w:vMerge w:val="restart"/>
          </w:tcPr>
          <w:p>
            <w:pPr>
              <w:spacing w:after="0"/>
              <w:rPr>
                <w:sz w:val="20"/>
                <w:szCs w:val="20"/>
                <w:color w:val="auto"/>
              </w:rPr>
            </w:pPr>
            <w:r>
              <w:rPr>
                <w:rFonts w:ascii="Arial" w:cs="Arial" w:eastAsia="Arial" w:hAnsi="Arial"/>
                <w:sz w:val="14"/>
                <w:szCs w:val="14"/>
                <w:color w:val="auto"/>
              </w:rPr>
              <w:t>(In Thousands of Dollars)</w:t>
            </w:r>
          </w:p>
        </w:tc>
        <w:tc>
          <w:tcPr>
            <w:tcW w:w="20" w:type="dxa"/>
            <w:vAlign w:val="bottom"/>
          </w:tcPr>
          <w:p>
            <w:pPr>
              <w:spacing w:after="0"/>
              <w:rPr>
                <w:sz w:val="12"/>
                <w:szCs w:val="12"/>
                <w:color w:val="auto"/>
              </w:rPr>
            </w:pPr>
          </w:p>
        </w:tc>
        <w:tc>
          <w:tcPr>
            <w:tcW w:w="118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3"/>
              </w:rPr>
              <w:t>Components</w:t>
            </w:r>
          </w:p>
        </w:tc>
        <w:tc>
          <w:tcPr>
            <w:tcW w:w="24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Components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w w:val="93"/>
              </w:rPr>
              <w:t>Rubber</w:t>
            </w:r>
          </w:p>
        </w:tc>
        <w:tc>
          <w:tcPr>
            <w:tcW w:w="520" w:type="dxa"/>
            <w:vAlign w:val="bottom"/>
          </w:tcPr>
          <w:p>
            <w:pPr>
              <w:spacing w:after="0"/>
              <w:rPr>
                <w:sz w:val="12"/>
                <w:szCs w:val="12"/>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Segment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Segment</w:t>
            </w:r>
          </w:p>
        </w:tc>
        <w:tc>
          <w:tcPr>
            <w:tcW w:w="2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Segment</w:t>
            </w:r>
          </w:p>
        </w:tc>
        <w:tc>
          <w:tcPr>
            <w:tcW w:w="5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Balance as of January</w:t>
            </w:r>
          </w:p>
        </w:tc>
        <w:tc>
          <w:tcPr>
            <w:tcW w:w="4340" w:type="dxa"/>
            <w:vAlign w:val="bottom"/>
            <w:tcBorders>
              <w:top w:val="single" w:sz="8" w:color="CCEEFF"/>
            </w:tcBorders>
            <w:shd w:val="clear" w:color="auto" w:fill="CCEEFF"/>
          </w:tcPr>
          <w:p>
            <w:pPr>
              <w:jc w:val="right"/>
              <w:ind w:right="3590"/>
              <w:spacing w:after="0"/>
              <w:rPr>
                <w:sz w:val="20"/>
                <w:szCs w:val="20"/>
                <w:color w:val="auto"/>
              </w:rPr>
            </w:pPr>
            <w:r>
              <w:rPr>
                <w:rFonts w:ascii="Arial" w:cs="Arial" w:eastAsia="Arial" w:hAnsi="Arial"/>
                <w:sz w:val="18"/>
                <w:szCs w:val="18"/>
                <w:color w:val="auto"/>
              </w:rPr>
              <w:t>1, 2015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73,992</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$83,941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Goodwill acquired in acquisition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2,099</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impacts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
        </w:trPr>
        <w:tc>
          <w:tcPr>
            <w:tcW w:w="5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40" w:type="dxa"/>
            <w:vAlign w:val="bottom"/>
            <w:gridSpan w:val="2"/>
          </w:tcPr>
          <w:p>
            <w:pPr>
              <w:spacing w:after="0"/>
              <w:rPr>
                <w:sz w:val="20"/>
                <w:szCs w:val="20"/>
                <w:color w:val="auto"/>
              </w:rPr>
            </w:pPr>
            <w:r>
              <w:rPr>
                <w:rFonts w:ascii="Arial" w:cs="Arial" w:eastAsia="Arial" w:hAnsi="Arial"/>
                <w:sz w:val="18"/>
                <w:szCs w:val="18"/>
                <w:color w:val="auto"/>
              </w:rPr>
              <w:t>Balance as of June 30, 2015</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9,345</w:t>
            </w:r>
          </w:p>
        </w:tc>
        <w:tc>
          <w:tcPr>
            <w:tcW w:w="3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73,992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2,099</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85,436</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goodwill balances are tested for impairment on an annual basis during the fourth quarter and between annual tests if a triggering event occurs. As of June 30, 2015, there were no indications of impairment at the reporting units with goodwill balances.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 Net</w:t>
      </w:r>
    </w:p>
    <w:p>
      <w:pPr>
        <w:spacing w:after="0" w:line="12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With the Caprock acquisition, we acquired intangible assets with a preliminary aggregate acquired value of $2,490. The intangible assets are a customer relationship intangible asset with a preliminary estimated value of $2,430 and a trade name intangible asset with a preliminary estimated value of $60. The preliminary estimated useful lives of the intangibles are 12 years and one year, respectively. These intangible assets are subject to amortization of approximately $203 per year with year- to-date amortization expense and accumulated amortization of $22 at June 30, 2015.</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Including the intangibles from the Caprock acquisition, we have gross intangible assets of $57,226 with accumulated amortization of 4,297, year to date amortization expense of $2,013 and annual expected amortization expense of $4,090.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Shared-Based Compensation</w:t>
      </w:r>
    </w:p>
    <w:p>
      <w:pPr>
        <w:spacing w:after="0" w:line="121"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During the three and six month periods ended June 30, 2015 and 2014, approximately $988 and $1,771 in 2015 and $714 and $1,286 in 2014, respectively, of compensation expense was recognized in selling, general and administrative expense for all share-based awards. During the six month period ended June 30, 2015, there were 115 restricted stock awards and 55 option awards to non-executive directors, officers and certain other key employees. Additionally, during the six months ended June 30, 2015, there were 70 performance stock units issued. During the six month period ended June 30, 2014, there were 97 restricted stock awards and 98 option awards to non-executive directors, officers and certain other key employees.</w:t>
      </w:r>
    </w:p>
    <w:p>
      <w:pPr>
        <w:spacing w:after="0" w:line="1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restricted shares granted during the six month period ended June 30, 2015, vest pro-rata over three years for officers and certain other key employees and over one year for non-executive directors. The restricted shares granted during the six month period ended June 30, 2014, vest pro-rata over three years. During the six month periods ended June 30, 2015 and 2014, we incurred $1,079 and $575, respectively, in expense related to restricted stock. The fair value of the shares issued was determined by using the grant date closing price of our common stock.</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2015 and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The performance stock units granted during the six month period ended June 30, 2015, will be satisfied in the form of company stock during 2018 depending on meeting certain performance and/or market conditions. We are recognizing the compensation expense over the three year period in which the performance and market conditions are measured. During the six month periods ended June 30, 2015 and 2014, we incurred $182 and $0, respectively, in expense related to performance stock units. The fair value of the shares issued was determined by using the grant date closing price of our common stock for the units with a performance condition and a Monte Carlo valuation model was used to determine the fair value for shares that have a market condition.</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incurred $510 and $711 of stock option expense in the six month periods ended June 30, 2015 and 2014, respectively. The fair value of our options cannot be determined by market value, because our options are not traded in an open market. Accordingly, we utilized the Black Scholes financial pricing model to estimate the fair value.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option activity for the six month period ended June 30,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89"/>
              </w:rPr>
              <w:t>Shares</w:t>
            </w:r>
          </w:p>
        </w:tc>
        <w:tc>
          <w:tcPr>
            <w:tcW w:w="12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1080" w:type="dxa"/>
            <w:vAlign w:val="bottom"/>
            <w:gridSpan w:val="2"/>
            <w:vMerge w:val="continue"/>
          </w:tcPr>
          <w:p>
            <w:pPr>
              <w:spacing w:after="0"/>
              <w:rPr>
                <w:sz w:val="12"/>
                <w:szCs w:val="12"/>
                <w:color w:val="auto"/>
              </w:rPr>
            </w:pPr>
          </w:p>
        </w:tc>
        <w:tc>
          <w:tcPr>
            <w:tcW w:w="12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Exercise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6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1"/>
        </w:trPr>
        <w:tc>
          <w:tcPr>
            <w:tcW w:w="5700" w:type="dxa"/>
            <w:vAlign w:val="bottom"/>
            <w:gridSpan w:val="3"/>
            <w:vMerge w:val="continue"/>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Price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99"/>
              <w:spacing w:after="0"/>
              <w:rPr>
                <w:sz w:val="20"/>
                <w:szCs w:val="20"/>
                <w:color w:val="auto"/>
              </w:rPr>
            </w:pPr>
            <w:r>
              <w:rPr>
                <w:rFonts w:ascii="Arial" w:cs="Arial" w:eastAsia="Arial" w:hAnsi="Arial"/>
                <w:sz w:val="14"/>
                <w:szCs w:val="14"/>
                <w:b w:val="1"/>
                <w:bCs w:val="1"/>
                <w:color w:val="auto"/>
              </w:rPr>
              <w:t>($000)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1,175</w:t>
            </w:r>
          </w:p>
        </w:tc>
        <w:tc>
          <w:tcPr>
            <w:tcW w:w="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11.40</w:t>
            </w:r>
          </w:p>
        </w:tc>
        <w:tc>
          <w:tcPr>
            <w:tcW w:w="60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6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25.16</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11.49</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13.12</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80" w:type="dxa"/>
            <w:vAlign w:val="bottom"/>
          </w:tcPr>
          <w:p>
            <w:pPr>
              <w:spacing w:after="0"/>
              <w:rPr>
                <w:sz w:val="6"/>
                <w:szCs w:val="6"/>
                <w:color w:val="auto"/>
              </w:rPr>
            </w:pPr>
          </w:p>
        </w:tc>
        <w:tc>
          <w:tcPr>
            <w:tcW w:w="52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June 30, 2015</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1,067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12.08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14,341</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5700" w:type="dxa"/>
            <w:vAlign w:val="bottom"/>
            <w:gridSpan w:val="3"/>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700" w:type="dxa"/>
            <w:vAlign w:val="bottom"/>
            <w:gridSpan w:val="3"/>
          </w:tcPr>
          <w:p>
            <w:pPr>
              <w:spacing w:after="0"/>
              <w:rPr>
                <w:sz w:val="20"/>
                <w:szCs w:val="20"/>
                <w:color w:val="auto"/>
              </w:rPr>
            </w:pPr>
            <w:r>
              <w:rPr>
                <w:rFonts w:ascii="Arial" w:cs="Arial" w:eastAsia="Arial" w:hAnsi="Arial"/>
                <w:sz w:val="18"/>
                <w:szCs w:val="18"/>
                <w:color w:val="auto"/>
              </w:rPr>
              <w:t>Exercisable at June 30, 2015</w:t>
            </w:r>
          </w:p>
        </w:tc>
        <w:tc>
          <w:tcPr>
            <w:tcW w:w="480" w:type="dxa"/>
            <w:vAlign w:val="bottom"/>
          </w:tcPr>
          <w:p>
            <w:pPr>
              <w:jc w:val="right"/>
              <w:spacing w:after="0"/>
              <w:rPr>
                <w:sz w:val="20"/>
                <w:szCs w:val="20"/>
                <w:color w:val="auto"/>
              </w:rPr>
            </w:pPr>
            <w:r>
              <w:rPr>
                <w:rFonts w:ascii="Arial" w:cs="Arial" w:eastAsia="Arial" w:hAnsi="Arial"/>
                <w:sz w:val="18"/>
                <w:szCs w:val="18"/>
                <w:color w:val="auto"/>
              </w:rPr>
              <w:t>857</w:t>
            </w:r>
          </w:p>
        </w:tc>
        <w:tc>
          <w:tcPr>
            <w:tcW w:w="6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10.91</w:t>
            </w: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12,516</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right="200" w:hanging="452"/>
        <w:spacing w:after="0" w:line="277"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The intrinsic value is the amount by which the market price of our stock was greater than the exercise price of any individual option grant at June 30,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Provision for Income Taxes</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For the six month periods ended June 30, 2015 and 2014, our effective tax rates were 22% and 32%, respectively. The difference between the U.S. federal statutory tax rate of 34% and our effective tax rates was due to non-U.S. based earnings being taxed at lower rates reducing the effective rates for the six month periods ended June 30, 2015 and 2014, by 8% and 2%, respectively. As of June 30, 2015, we do not foresee any significant changes to our unrecognized tax benefits within the next twelve months.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Brazil ICMS Tax Matter</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Prior to our acquisition of Autocam,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processes. Autocam Brazil filed an administrative defense with the Brazilian tax authority arguing, among other matters, that it should qualify for ICMS tax credit, contending that the intermediary materials are directly related to the manufacturing process.</w:t>
      </w:r>
    </w:p>
    <w:p>
      <w:pPr>
        <w:spacing w:after="0" w:line="173"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We believe that we have substantial legal and factual defenses and plan to defend our interests in this matter vigorously. While we believe a loss is not probable, we estimate the range of possible loss related to this assessment is from $0 to $6,000. No amount was accrued at June 30, 2015 for this matter. There has been no change in the status of this matter from December 31, 2014 to June 30, 2015.</w:t>
      </w:r>
    </w:p>
    <w:p>
      <w:pPr>
        <w:spacing w:after="0" w:line="16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are entitled to indemnification from the former shareholders of Autocam, subject to the limitations and procedures set forth in the agreement and plan of merger. Management believes the indemnification would include amounts owed for the tax, interest and penalties related to this matter.</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ectPr>
          <w:pgSz w:w="11900" w:h="16838" w:orient="portrait"/>
          <w:cols w:equalWidth="0" w:num="1">
            <w:col w:w="11400"/>
          </w:cols>
          <w:pgMar w:left="240" w:top="459" w:right="25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459" w:right="2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2015 and 2014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Investment in Non-Consolidated Joint Venture</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part of the acquisition of Autocam, we acquired a 49% investment in a joint venture with an unrelated entity called Wuxi Weifu Autocam Precision Machinery Company, Ltd. (“JV”), a Chinese company located in Wuxi, China.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gridSpan w:val="3"/>
          </w:tcPr>
          <w:p>
            <w:pPr>
              <w:spacing w:after="0"/>
              <w:rPr>
                <w:sz w:val="20"/>
                <w:szCs w:val="20"/>
                <w:color w:val="auto"/>
              </w:rPr>
            </w:pPr>
            <w:r>
              <w:rPr>
                <w:rFonts w:ascii="Arial" w:cs="Arial" w:eastAsia="Arial" w:hAnsi="Arial"/>
                <w:sz w:val="18"/>
                <w:szCs w:val="18"/>
                <w:color w:val="auto"/>
              </w:rPr>
              <w:t>Below are the components of our JV investment balance at June 30, 2015:</w:t>
            </w: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460" w:type="dxa"/>
            <w:vAlign w:val="bottom"/>
            <w:vMerge w:val="restart"/>
          </w:tcPr>
          <w:p>
            <w:pPr>
              <w:spacing w:after="0"/>
              <w:rPr>
                <w:sz w:val="21"/>
                <w:szCs w:val="21"/>
                <w:color w:val="auto"/>
              </w:rPr>
            </w:pPr>
          </w:p>
        </w:tc>
        <w:tc>
          <w:tcPr>
            <w:tcW w:w="5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$34,703</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Capital contributed to the joint venture</w:t>
            </w: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Our share of cumulative earnings</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Accretion of basis difference from purchase accounting</w:t>
            </w: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5"/>
          </w:tcPr>
          <w:p>
            <w:pPr>
              <w:jc w:val="right"/>
              <w:ind w:right="60"/>
              <w:spacing w:after="0"/>
              <w:rPr>
                <w:sz w:val="20"/>
                <w:szCs w:val="20"/>
                <w:color w:val="auto"/>
              </w:rPr>
            </w:pPr>
            <w:r>
              <w:rPr>
                <w:rFonts w:ascii="Arial" w:cs="Arial" w:eastAsia="Arial" w:hAnsi="Arial"/>
                <w:sz w:val="18"/>
                <w:szCs w:val="18"/>
                <w:color w:val="auto"/>
              </w:rPr>
              <w:t>(593)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380" w:type="dxa"/>
            <w:vAlign w:val="bottom"/>
            <w:vMerge w:val="restart"/>
          </w:tcPr>
          <w:p>
            <w:pPr>
              <w:spacing w:after="0"/>
              <w:rPr>
                <w:sz w:val="6"/>
                <w:szCs w:val="6"/>
                <w:color w:val="auto"/>
              </w:rPr>
            </w:pPr>
          </w:p>
        </w:tc>
        <w:tc>
          <w:tcPr>
            <w:tcW w:w="460" w:type="dxa"/>
            <w:vAlign w:val="bottom"/>
            <w:vMerge w:val="restart"/>
          </w:tcPr>
          <w:p>
            <w:pPr>
              <w:spacing w:after="0"/>
              <w:rPr>
                <w:sz w:val="6"/>
                <w:szCs w:val="6"/>
                <w:color w:val="auto"/>
              </w:rPr>
            </w:pPr>
          </w:p>
        </w:tc>
        <w:tc>
          <w:tcPr>
            <w:tcW w:w="5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June 30, 2015</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38,240</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Arial" w:cs="Arial" w:eastAsia="Arial" w:hAnsi="Arial"/>
                <w:sz w:val="18"/>
                <w:szCs w:val="18"/>
                <w:color w:val="auto"/>
              </w:rPr>
              <w:t>Set forth below is summarized balance sheet information for the JV:</w:t>
            </w: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88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6"/>
              </w:rPr>
              <w:t>June 30,</w:t>
            </w:r>
          </w:p>
        </w:tc>
        <w:tc>
          <w:tcPr>
            <w:tcW w:w="360" w:type="dxa"/>
            <w:vAlign w:val="bottom"/>
          </w:tcPr>
          <w:p>
            <w:pPr>
              <w:spacing w:after="0"/>
              <w:rPr>
                <w:sz w:val="24"/>
                <w:szCs w:val="24"/>
                <w:color w:val="auto"/>
              </w:rPr>
            </w:pPr>
          </w:p>
        </w:tc>
        <w:tc>
          <w:tcPr>
            <w:tcW w:w="1160" w:type="dxa"/>
            <w:vAlign w:val="bottom"/>
            <w:gridSpan w:val="6"/>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66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$28,507</w:t>
            </w:r>
          </w:p>
        </w:tc>
        <w:tc>
          <w:tcPr>
            <w:tcW w:w="5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24,140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23,299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21,519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380" w:type="dxa"/>
            <w:vAlign w:val="bottom"/>
            <w:vMerge w:val="restart"/>
          </w:tcPr>
          <w:p>
            <w:pPr>
              <w:spacing w:after="0"/>
              <w:rPr>
                <w:sz w:val="6"/>
                <w:szCs w:val="6"/>
                <w:color w:val="auto"/>
              </w:rPr>
            </w:pPr>
          </w:p>
        </w:tc>
        <w:tc>
          <w:tcPr>
            <w:tcW w:w="460" w:type="dxa"/>
            <w:vAlign w:val="bottom"/>
          </w:tcPr>
          <w:p>
            <w:pPr>
              <w:spacing w:after="0"/>
              <w:rPr>
                <w:sz w:val="6"/>
                <w:szCs w:val="6"/>
                <w:color w:val="auto"/>
              </w:rPr>
            </w:pPr>
          </w:p>
        </w:tc>
        <w:tc>
          <w:tcPr>
            <w:tcW w:w="5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51,806</w:t>
            </w:r>
          </w:p>
        </w:tc>
        <w:tc>
          <w:tcPr>
            <w:tcW w:w="7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880" w:type="dxa"/>
            <w:vAlign w:val="bottom"/>
            <w:gridSpan w:val="3"/>
          </w:tcPr>
          <w:p>
            <w:pPr>
              <w:ind w:left="1380"/>
              <w:spacing w:after="0"/>
              <w:rPr>
                <w:sz w:val="20"/>
                <w:szCs w:val="20"/>
                <w:color w:val="auto"/>
              </w:rPr>
            </w:pPr>
            <w:r>
              <w:rPr>
                <w:rFonts w:ascii="Arial" w:cs="Arial" w:eastAsia="Arial" w:hAnsi="Arial"/>
                <w:sz w:val="18"/>
                <w:szCs w:val="18"/>
                <w:color w:val="auto"/>
              </w:rPr>
              <w:t>Current liabilities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11,919</w:t>
            </w:r>
          </w:p>
        </w:tc>
        <w:tc>
          <w:tcPr>
            <w:tcW w:w="7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14,162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380" w:type="dxa"/>
            <w:vAlign w:val="bottom"/>
            <w:vMerge w:val="restart"/>
          </w:tcPr>
          <w:p>
            <w:pPr>
              <w:spacing w:after="0"/>
              <w:rPr>
                <w:sz w:val="6"/>
                <w:szCs w:val="6"/>
                <w:color w:val="auto"/>
              </w:rPr>
            </w:pPr>
          </w:p>
        </w:tc>
        <w:tc>
          <w:tcPr>
            <w:tcW w:w="460" w:type="dxa"/>
            <w:vAlign w:val="bottom"/>
          </w:tcPr>
          <w:p>
            <w:pPr>
              <w:spacing w:after="0"/>
              <w:rPr>
                <w:sz w:val="6"/>
                <w:szCs w:val="6"/>
                <w:color w:val="auto"/>
              </w:rPr>
            </w:pPr>
          </w:p>
        </w:tc>
        <w:tc>
          <w:tcPr>
            <w:tcW w:w="5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11,919</w:t>
            </w:r>
          </w:p>
        </w:tc>
        <w:tc>
          <w:tcPr>
            <w:tcW w:w="7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No dividends were declared by the JV during the three and six months ended June 30, 2015. We had sales to the JV of $44 and $64 during the three and six months ended June 30, 2015, respectively. Amounts due to us from the JV were $122 as of June 30, 2015. The JV had net sales in 2014 of $50,466 and net income of $9,004. In the first half of 2015, the JV had net sales and net income of $27,887 and $5,630,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Interest Rate Hedging</w:t>
      </w:r>
    </w:p>
    <w:p>
      <w:pPr>
        <w:spacing w:after="0" w:line="121"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Our policy is to manage interest expense using a mix of fixed and variable rate debt. To manage this mix effectively, we may enter into interest rate swaps in which we agree to exchange the difference between fixed and variable interest amounts calculated by reference to an agreed upon notional principal amount.</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December 16, 2014, we entered into a $150,000 interest rate swap that will go into effect on December 29, 2015 (one year delayed start), at which time our interest rate will be locked at 7.216% until December 31, 2018. Prior to December 16, 2014, we did not have any existing interest rate hedges. The hedge instrument will be 100% effective and as such the mark to market gains or losses on this hedge will be included in accumulated other comprehensive income (loss) to the extent effective, and reclassified into interest expense over the term of the related debt instruments.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 and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 fair value measurements of the gross asset and liability of this swap as of June 30, 2015, valued on a recurring basis:</w:t>
      </w:r>
    </w:p>
    <w:p>
      <w:pPr>
        <w:spacing w:after="0" w:line="259"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28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color w:val="auto"/>
                <w:w w:val="90"/>
              </w:rPr>
              <w:t>Fair Value Measurements at June 30, 2015</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98"/>
              </w:rPr>
              <w:t>Quoted Prices in</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w w:val="96"/>
              </w:rPr>
              <w:t>Active Markets for</w:t>
            </w:r>
          </w:p>
        </w:tc>
        <w:tc>
          <w:tcPr>
            <w:tcW w:w="740" w:type="dxa"/>
            <w:vAlign w:val="bottom"/>
          </w:tcPr>
          <w:p>
            <w:pPr>
              <w:spacing w:after="0"/>
              <w:rPr>
                <w:sz w:val="12"/>
                <w:szCs w:val="12"/>
                <w:color w:val="auto"/>
              </w:rPr>
            </w:pPr>
          </w:p>
        </w:tc>
        <w:tc>
          <w:tcPr>
            <w:tcW w:w="1800" w:type="dxa"/>
            <w:vAlign w:val="bottom"/>
            <w:gridSpan w:val="3"/>
          </w:tcPr>
          <w:p>
            <w:pPr>
              <w:jc w:val="right"/>
              <w:ind w:right="780"/>
              <w:spacing w:after="0" w:line="149" w:lineRule="exact"/>
              <w:rPr>
                <w:sz w:val="20"/>
                <w:szCs w:val="20"/>
                <w:color w:val="auto"/>
              </w:rPr>
            </w:pPr>
            <w:r>
              <w:rPr>
                <w:rFonts w:ascii="Arial" w:cs="Arial" w:eastAsia="Arial" w:hAnsi="Arial"/>
                <w:sz w:val="14"/>
                <w:szCs w:val="14"/>
                <w:color w:val="auto"/>
                <w:w w:val="96"/>
              </w:rPr>
              <w:t>Significant Other</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Significant</w:t>
            </w:r>
          </w:p>
        </w:tc>
        <w:tc>
          <w:tcPr>
            <w:tcW w:w="0" w:type="dxa"/>
            <w:vAlign w:val="bottom"/>
          </w:tcPr>
          <w:p>
            <w:pPr>
              <w:spacing w:after="0"/>
              <w:rPr>
                <w:sz w:val="1"/>
                <w:szCs w:val="1"/>
                <w:color w:val="auto"/>
              </w:rPr>
            </w:pPr>
          </w:p>
        </w:tc>
      </w:tr>
      <w:tr>
        <w:trPr>
          <w:trHeight w:val="149"/>
        </w:trPr>
        <w:tc>
          <w:tcPr>
            <w:tcW w:w="4280" w:type="dxa"/>
            <w:vAlign w:val="bottom"/>
            <w:gridSpan w:val="2"/>
            <w:vMerge w:val="restart"/>
          </w:tcPr>
          <w:p>
            <w:pPr>
              <w:spacing w:after="0"/>
              <w:rPr>
                <w:sz w:val="20"/>
                <w:szCs w:val="20"/>
                <w:color w:val="auto"/>
              </w:rPr>
            </w:pPr>
            <w:r>
              <w:rPr>
                <w:rFonts w:ascii="Arial" w:cs="Arial" w:eastAsia="Arial" w:hAnsi="Arial"/>
                <w:sz w:val="14"/>
                <w:szCs w:val="14"/>
                <w:color w:val="auto"/>
              </w:rPr>
              <w:t>Description</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w w:val="91"/>
              </w:rPr>
              <w:t>Identical Assets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0" w:type="dxa"/>
            <w:vAlign w:val="bottom"/>
            <w:gridSpan w:val="3"/>
          </w:tcPr>
          <w:p>
            <w:pPr>
              <w:spacing w:after="0" w:line="149" w:lineRule="exact"/>
              <w:rPr>
                <w:sz w:val="20"/>
                <w:szCs w:val="20"/>
                <w:color w:val="auto"/>
              </w:rPr>
            </w:pPr>
            <w:r>
              <w:rPr>
                <w:rFonts w:ascii="Arial" w:cs="Arial" w:eastAsia="Arial" w:hAnsi="Arial"/>
                <w:sz w:val="14"/>
                <w:szCs w:val="14"/>
                <w:color w:val="auto"/>
              </w:rPr>
              <w:t>Observable Inputs</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67"/>
        </w:trPr>
        <w:tc>
          <w:tcPr>
            <w:tcW w:w="4280" w:type="dxa"/>
            <w:vAlign w:val="bottom"/>
            <w:gridSpan w:val="2"/>
            <w:vMerge w:val="continue"/>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June 30, 2015</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37"/>
              <w:spacing w:after="0"/>
              <w:rPr>
                <w:sz w:val="20"/>
                <w:szCs w:val="20"/>
                <w:color w:val="auto"/>
              </w:rPr>
            </w:pPr>
            <w:r>
              <w:rPr>
                <w:rFonts w:ascii="Arial" w:cs="Arial" w:eastAsia="Arial" w:hAnsi="Arial"/>
                <w:sz w:val="14"/>
                <w:szCs w:val="14"/>
                <w:color w:val="auto"/>
              </w:rPr>
              <w:t>(Level 1)</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1000"/>
              <w:spacing w:after="0"/>
              <w:rPr>
                <w:sz w:val="20"/>
                <w:szCs w:val="20"/>
                <w:color w:val="auto"/>
              </w:rPr>
            </w:pPr>
            <w:r>
              <w:rPr>
                <w:rFonts w:ascii="Arial" w:cs="Arial" w:eastAsia="Arial" w:hAnsi="Arial"/>
                <w:sz w:val="14"/>
                <w:szCs w:val="14"/>
                <w:color w:val="auto"/>
              </w:rPr>
              <w:t>(Level 2)</w:t>
            </w:r>
          </w:p>
        </w:tc>
        <w:tc>
          <w:tcPr>
            <w:tcW w:w="1020" w:type="dxa"/>
            <w:vAlign w:val="bottom"/>
            <w:gridSpan w:val="3"/>
          </w:tcPr>
          <w:p>
            <w:pPr>
              <w:spacing w:after="0"/>
              <w:rPr>
                <w:sz w:val="20"/>
                <w:szCs w:val="20"/>
                <w:color w:val="auto"/>
              </w:rPr>
            </w:pPr>
            <w:r>
              <w:rPr>
                <w:rFonts w:ascii="Arial" w:cs="Arial" w:eastAsia="Arial" w:hAnsi="Arial"/>
                <w:sz w:val="14"/>
                <w:szCs w:val="14"/>
                <w:color w:val="auto"/>
              </w:rPr>
              <w:t>Inputs (Level 3)</w:t>
            </w:r>
          </w:p>
        </w:tc>
        <w:tc>
          <w:tcPr>
            <w:tcW w:w="0" w:type="dxa"/>
            <w:vAlign w:val="bottom"/>
          </w:tcPr>
          <w:p>
            <w:pPr>
              <w:spacing w:after="0"/>
              <w:rPr>
                <w:sz w:val="1"/>
                <w:szCs w:val="1"/>
                <w:color w:val="auto"/>
              </w:rPr>
            </w:pPr>
          </w:p>
        </w:tc>
      </w:tr>
      <w:tr>
        <w:trPr>
          <w:trHeight w:val="210"/>
        </w:trPr>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2"/>
              </w:rPr>
              <w:t>Derivative</w:t>
            </w:r>
          </w:p>
        </w:tc>
        <w:tc>
          <w:tcPr>
            <w:tcW w:w="36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asset</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Derivative liability</w:t>
            </w:r>
          </w:p>
        </w:tc>
        <w:tc>
          <w:tcPr>
            <w:tcW w:w="2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(3,033)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(3,033)</w:t>
            </w:r>
          </w:p>
        </w:tc>
        <w:tc>
          <w:tcPr>
            <w:tcW w:w="12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680" w:type="dxa"/>
            <w:vAlign w:val="bottom"/>
          </w:tcPr>
          <w:p>
            <w:pPr>
              <w:spacing w:after="0"/>
              <w:rPr>
                <w:sz w:val="6"/>
                <w:szCs w:val="6"/>
                <w:color w:val="auto"/>
              </w:rPr>
            </w:pPr>
          </w:p>
        </w:tc>
        <w:tc>
          <w:tcPr>
            <w:tcW w:w="360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(2,056)</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interest rate swap derivative is classified as Level 2.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Counterparties to these derivative contracts are highly rated financial institutions which we believe carry only a minimal risk of nonperformance.</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have elected to present the derivative contracts on a gross basis in the Condensed Consolidated Balance Sheet included within other non-current assets and other non-current liabilities. Had we chosen to present the derivative contract on a net basis, we would have a derivative in a net liability position of $2,056 as of June 30, 2015. We do not have any cash collateral due under such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Hedging Relationships</w:t>
      </w:r>
    </w:p>
    <w:p>
      <w:pPr>
        <w:sectPr>
          <w:pgSz w:w="11900" w:h="16838" w:orient="portrait"/>
          <w:cols w:equalWidth="0" w:num="1">
            <w:col w:w="11400"/>
          </w:cols>
          <w:pgMar w:left="240" w:top="459" w:right="259" w:bottom="1440" w:gutter="0" w:footer="0" w:header="0"/>
        </w:sect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vMerge w:val="restart"/>
          </w:tcPr>
          <w:p>
            <w:pPr>
              <w:jc w:val="center"/>
              <w:ind w:left="42"/>
              <w:spacing w:after="0"/>
              <w:rPr>
                <w:sz w:val="20"/>
                <w:szCs w:val="20"/>
                <w:color w:val="auto"/>
              </w:rPr>
            </w:pPr>
            <w:r>
              <w:rPr>
                <w:rFonts w:ascii="Arial" w:cs="Arial" w:eastAsia="Arial" w:hAnsi="Arial"/>
                <w:sz w:val="14"/>
                <w:szCs w:val="14"/>
                <w:color w:val="auto"/>
                <w:w w:val="96"/>
              </w:rPr>
              <w:t>Amount of after tax of gain/</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Location of gain/(loss)</w:t>
            </w:r>
          </w:p>
        </w:tc>
        <w:tc>
          <w:tcPr>
            <w:tcW w:w="0" w:type="dxa"/>
            <w:vAlign w:val="bottom"/>
          </w:tcPr>
          <w:p>
            <w:pPr>
              <w:spacing w:after="0"/>
              <w:rPr>
                <w:sz w:val="1"/>
                <w:szCs w:val="1"/>
                <w:color w:val="auto"/>
              </w:rPr>
            </w:pPr>
          </w:p>
        </w:tc>
      </w:tr>
      <w:tr>
        <w:trPr>
          <w:trHeight w:val="95"/>
        </w:trPr>
        <w:tc>
          <w:tcPr>
            <w:tcW w:w="27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00" w:type="dxa"/>
            <w:vAlign w:val="bottom"/>
            <w:gridSpan w:val="5"/>
            <w:vMerge w:val="continue"/>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color w:val="auto"/>
                <w:w w:val="96"/>
              </w:rPr>
              <w:t>reclassified from</w:t>
            </w:r>
          </w:p>
        </w:tc>
        <w:tc>
          <w:tcPr>
            <w:tcW w:w="0" w:type="dxa"/>
            <w:vAlign w:val="bottom"/>
          </w:tcPr>
          <w:p>
            <w:pPr>
              <w:spacing w:after="0"/>
              <w:rPr>
                <w:sz w:val="1"/>
                <w:szCs w:val="1"/>
                <w:color w:val="auto"/>
              </w:rPr>
            </w:pPr>
          </w:p>
        </w:tc>
      </w:tr>
      <w:tr>
        <w:trPr>
          <w:trHeight w:val="54"/>
        </w:trPr>
        <w:tc>
          <w:tcPr>
            <w:tcW w:w="27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00" w:type="dxa"/>
            <w:vAlign w:val="bottom"/>
            <w:gridSpan w:val="5"/>
            <w:vMerge w:val="restart"/>
          </w:tcPr>
          <w:p>
            <w:pPr>
              <w:jc w:val="center"/>
              <w:ind w:left="42"/>
              <w:spacing w:after="0" w:line="149" w:lineRule="exact"/>
              <w:rPr>
                <w:sz w:val="20"/>
                <w:szCs w:val="20"/>
                <w:color w:val="auto"/>
              </w:rPr>
            </w:pPr>
            <w:r>
              <w:rPr>
                <w:rFonts w:ascii="Arial" w:cs="Arial" w:eastAsia="Arial" w:hAnsi="Arial"/>
                <w:sz w:val="14"/>
                <w:szCs w:val="14"/>
                <w:color w:val="auto"/>
                <w:w w:val="93"/>
              </w:rPr>
              <w:t>(loss) recognized in Other</w:t>
            </w: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7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00" w:type="dxa"/>
            <w:vAlign w:val="bottom"/>
            <w:gridSpan w:val="5"/>
            <w:vMerge w:val="continue"/>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color w:val="auto"/>
                <w:w w:val="95"/>
              </w:rPr>
              <w:t>Accumulated Other</w:t>
            </w:r>
          </w:p>
        </w:tc>
        <w:tc>
          <w:tcPr>
            <w:tcW w:w="0" w:type="dxa"/>
            <w:vAlign w:val="bottom"/>
          </w:tcPr>
          <w:p>
            <w:pPr>
              <w:spacing w:after="0"/>
              <w:rPr>
                <w:sz w:val="1"/>
                <w:szCs w:val="1"/>
                <w:color w:val="auto"/>
              </w:rPr>
            </w:pPr>
          </w:p>
        </w:tc>
      </w:tr>
      <w:tr>
        <w:trPr>
          <w:trHeight w:val="54"/>
        </w:trPr>
        <w:tc>
          <w:tcPr>
            <w:tcW w:w="27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00" w:type="dxa"/>
            <w:vAlign w:val="bottom"/>
            <w:gridSpan w:val="5"/>
            <w:vMerge w:val="restart"/>
          </w:tcPr>
          <w:p>
            <w:pPr>
              <w:jc w:val="center"/>
              <w:ind w:left="62"/>
              <w:spacing w:after="0" w:line="149" w:lineRule="exact"/>
              <w:rPr>
                <w:sz w:val="20"/>
                <w:szCs w:val="20"/>
                <w:color w:val="auto"/>
              </w:rPr>
            </w:pPr>
            <w:r>
              <w:rPr>
                <w:rFonts w:ascii="Arial" w:cs="Arial" w:eastAsia="Arial" w:hAnsi="Arial"/>
                <w:sz w:val="14"/>
                <w:szCs w:val="14"/>
                <w:color w:val="auto"/>
                <w:w w:val="93"/>
              </w:rPr>
              <w:t>Comprehensive Income on</w:t>
            </w: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7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00" w:type="dxa"/>
            <w:vAlign w:val="bottom"/>
            <w:gridSpan w:val="5"/>
            <w:vMerge w:val="continue"/>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color w:val="auto"/>
                <w:w w:val="93"/>
              </w:rPr>
              <w:t>Comprehensive Income</w:t>
            </w:r>
          </w:p>
        </w:tc>
        <w:tc>
          <w:tcPr>
            <w:tcW w:w="0" w:type="dxa"/>
            <w:vAlign w:val="bottom"/>
          </w:tcPr>
          <w:p>
            <w:pPr>
              <w:spacing w:after="0"/>
              <w:rPr>
                <w:sz w:val="1"/>
                <w:szCs w:val="1"/>
                <w:color w:val="auto"/>
              </w:rPr>
            </w:pPr>
          </w:p>
        </w:tc>
      </w:tr>
      <w:tr>
        <w:trPr>
          <w:trHeight w:val="54"/>
        </w:trPr>
        <w:tc>
          <w:tcPr>
            <w:tcW w:w="404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w:t>
            </w:r>
          </w:p>
        </w:tc>
        <w:tc>
          <w:tcPr>
            <w:tcW w:w="200" w:type="dxa"/>
            <w:vAlign w:val="bottom"/>
          </w:tcPr>
          <w:p>
            <w:pPr>
              <w:spacing w:after="0"/>
              <w:rPr>
                <w:sz w:val="4"/>
                <w:szCs w:val="4"/>
                <w:color w:val="auto"/>
              </w:rPr>
            </w:pPr>
          </w:p>
        </w:tc>
        <w:tc>
          <w:tcPr>
            <w:tcW w:w="820" w:type="dxa"/>
            <w:vAlign w:val="bottom"/>
            <w:gridSpan w:val="3"/>
            <w:vMerge w:val="restart"/>
          </w:tcPr>
          <w:p>
            <w:pPr>
              <w:jc w:val="right"/>
              <w:ind w:right="40"/>
              <w:spacing w:after="0" w:line="147" w:lineRule="exact"/>
              <w:rPr>
                <w:sz w:val="20"/>
                <w:szCs w:val="20"/>
                <w:color w:val="auto"/>
              </w:rPr>
            </w:pPr>
            <w:r>
              <w:rPr>
                <w:rFonts w:ascii="Arial" w:cs="Arial" w:eastAsia="Arial" w:hAnsi="Arial"/>
                <w:sz w:val="14"/>
                <w:szCs w:val="14"/>
                <w:color w:val="auto"/>
              </w:rPr>
              <w:t>Derivatives</w:t>
            </w:r>
          </w:p>
        </w:tc>
        <w:tc>
          <w:tcPr>
            <w:tcW w:w="1080" w:type="dxa"/>
            <w:vAlign w:val="bottom"/>
            <w:gridSpan w:val="2"/>
            <w:vMerge w:val="restart"/>
          </w:tcPr>
          <w:p>
            <w:pPr>
              <w:ind w:left="40"/>
              <w:spacing w:after="0" w:line="147" w:lineRule="exact"/>
              <w:rPr>
                <w:sz w:val="20"/>
                <w:szCs w:val="20"/>
                <w:color w:val="auto"/>
              </w:rPr>
            </w:pPr>
            <w:r>
              <w:rPr>
                <w:rFonts w:ascii="Arial" w:cs="Arial" w:eastAsia="Arial" w:hAnsi="Arial"/>
                <w:sz w:val="14"/>
                <w:szCs w:val="14"/>
                <w:color w:val="auto"/>
                <w:w w:val="94"/>
              </w:rPr>
              <w:t>(effective portion)</w:t>
            </w: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4040" w:type="dxa"/>
            <w:vAlign w:val="bottom"/>
            <w:gridSpan w:val="2"/>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vMerge w:val="continue"/>
          </w:tcPr>
          <w:p>
            <w:pPr>
              <w:spacing w:after="0"/>
              <w:rPr>
                <w:sz w:val="10"/>
                <w:szCs w:val="10"/>
                <w:color w:val="auto"/>
              </w:rPr>
            </w:pPr>
          </w:p>
        </w:tc>
        <w:tc>
          <w:tcPr>
            <w:tcW w:w="1080" w:type="dxa"/>
            <w:vAlign w:val="bottom"/>
            <w:tcBorders>
              <w:bottom w:val="single" w:sz="8" w:color="auto"/>
            </w:tcBorders>
            <w:gridSpan w:val="2"/>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gridSpan w:val="2"/>
          </w:tcPr>
          <w:p>
            <w:pPr>
              <w:jc w:val="center"/>
              <w:ind w:right="40"/>
              <w:spacing w:after="0" w:line="121" w:lineRule="exact"/>
              <w:rPr>
                <w:sz w:val="20"/>
                <w:szCs w:val="20"/>
                <w:color w:val="auto"/>
              </w:rPr>
            </w:pPr>
            <w:r>
              <w:rPr>
                <w:rFonts w:ascii="Arial" w:cs="Arial" w:eastAsia="Arial" w:hAnsi="Arial"/>
                <w:sz w:val="13"/>
                <w:szCs w:val="13"/>
                <w:color w:val="auto"/>
              </w:rPr>
              <w:t>into Income (effective</w:t>
            </w:r>
          </w:p>
        </w:tc>
        <w:tc>
          <w:tcPr>
            <w:tcW w:w="0" w:type="dxa"/>
            <w:vAlign w:val="bottom"/>
          </w:tcPr>
          <w:p>
            <w:pPr>
              <w:spacing w:after="0"/>
              <w:rPr>
                <w:sz w:val="1"/>
                <w:szCs w:val="1"/>
                <w:color w:val="auto"/>
              </w:rPr>
            </w:pPr>
          </w:p>
        </w:tc>
      </w:tr>
      <w:tr>
        <w:trPr>
          <w:trHeight w:val="176"/>
        </w:trPr>
        <w:tc>
          <w:tcPr>
            <w:tcW w:w="4040" w:type="dxa"/>
            <w:vAlign w:val="bottom"/>
            <w:gridSpan w:val="2"/>
          </w:tcPr>
          <w:p>
            <w:pPr>
              <w:spacing w:after="0"/>
              <w:rPr>
                <w:sz w:val="20"/>
                <w:szCs w:val="20"/>
                <w:color w:val="auto"/>
              </w:rPr>
            </w:pPr>
            <w:r>
              <w:rPr>
                <w:rFonts w:ascii="Arial" w:cs="Arial" w:eastAsia="Arial" w:hAnsi="Arial"/>
                <w:sz w:val="14"/>
                <w:szCs w:val="14"/>
                <w:color w:val="auto"/>
              </w:rPr>
              <w:t>Derivatives’ Cash Flow Hedging Relationships</w:t>
            </w:r>
          </w:p>
        </w:tc>
        <w:tc>
          <w:tcPr>
            <w:tcW w:w="1020" w:type="dxa"/>
            <w:vAlign w:val="bottom"/>
            <w:gridSpan w:val="4"/>
          </w:tcPr>
          <w:p>
            <w:pPr>
              <w:spacing w:after="0"/>
              <w:rPr>
                <w:sz w:val="20"/>
                <w:szCs w:val="20"/>
                <w:color w:val="auto"/>
              </w:rPr>
            </w:pPr>
            <w:r>
              <w:rPr>
                <w:rFonts w:ascii="Arial" w:cs="Arial" w:eastAsia="Arial" w:hAnsi="Arial"/>
                <w:sz w:val="14"/>
                <w:szCs w:val="14"/>
                <w:color w:val="auto"/>
              </w:rPr>
              <w:t>June 30, 2015</w:t>
            </w:r>
          </w:p>
        </w:tc>
        <w:tc>
          <w:tcPr>
            <w:tcW w:w="28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Arial" w:cs="Arial" w:eastAsia="Arial" w:hAnsi="Arial"/>
                <w:sz w:val="14"/>
                <w:szCs w:val="14"/>
                <w:color w:val="auto"/>
              </w:rPr>
              <w:t>December 31, 2014</w:t>
            </w:r>
          </w:p>
        </w:tc>
        <w:tc>
          <w:tcPr>
            <w:tcW w:w="1400" w:type="dxa"/>
            <w:vAlign w:val="bottom"/>
            <w:gridSpan w:val="2"/>
          </w:tcPr>
          <w:p>
            <w:pPr>
              <w:jc w:val="center"/>
              <w:ind w:right="20"/>
              <w:spacing w:after="0"/>
              <w:rPr>
                <w:sz w:val="20"/>
                <w:szCs w:val="20"/>
                <w:color w:val="auto"/>
              </w:rPr>
            </w:pPr>
            <w:r>
              <w:rPr>
                <w:rFonts w:ascii="Arial" w:cs="Arial" w:eastAsia="Arial" w:hAnsi="Arial"/>
                <w:sz w:val="14"/>
                <w:szCs w:val="14"/>
                <w:color w:val="auto"/>
                <w:w w:val="96"/>
              </w:rPr>
              <w:t>portion)</w:t>
            </w:r>
          </w:p>
        </w:tc>
        <w:tc>
          <w:tcPr>
            <w:tcW w:w="0" w:type="dxa"/>
            <w:vAlign w:val="bottom"/>
          </w:tcPr>
          <w:p>
            <w:pPr>
              <w:spacing w:after="0"/>
              <w:rPr>
                <w:sz w:val="1"/>
                <w:szCs w:val="1"/>
                <w:color w:val="auto"/>
              </w:rPr>
            </w:pPr>
          </w:p>
        </w:tc>
      </w:tr>
      <w:tr>
        <w:trPr>
          <w:trHeight w:val="20"/>
        </w:trPr>
        <w:tc>
          <w:tcPr>
            <w:tcW w:w="27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74"/>
              </w:rPr>
              <w:t>)</w:t>
            </w: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tcPr>
          <w:p>
            <w:pPr>
              <w:spacing w:after="0"/>
              <w:rPr>
                <w:sz w:val="20"/>
                <w:szCs w:val="20"/>
                <w:color w:val="auto"/>
              </w:rPr>
            </w:pPr>
            <w:r>
              <w:rPr>
                <w:rFonts w:ascii="Arial" w:cs="Arial" w:eastAsia="Arial" w:hAnsi="Arial"/>
                <w:sz w:val="18"/>
                <w:szCs w:val="18"/>
                <w:color w:val="auto"/>
              </w:rPr>
              <w:t>Forward starting interest rate swap contract</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22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6"/>
              </w:rPr>
              <w:t>(431)</w:t>
            </w:r>
          </w:p>
        </w:tc>
        <w:tc>
          <w:tcPr>
            <w:tcW w:w="500" w:type="dxa"/>
            <w:vAlign w:val="bottom"/>
            <w:vMerge w:val="continue"/>
          </w:tcPr>
          <w:p>
            <w:pPr>
              <w:spacing w:after="0"/>
              <w:rPr>
                <w:sz w:val="18"/>
                <w:szCs w:val="18"/>
                <w:color w:val="auto"/>
              </w:rPr>
            </w:pPr>
          </w:p>
        </w:tc>
        <w:tc>
          <w:tcPr>
            <w:tcW w:w="1380" w:type="dxa"/>
            <w:vAlign w:val="bottom"/>
          </w:tcPr>
          <w:p>
            <w:pPr>
              <w:ind w:left="180"/>
              <w:spacing w:after="0"/>
              <w:rPr>
                <w:sz w:val="20"/>
                <w:szCs w:val="20"/>
                <w:color w:val="auto"/>
              </w:rPr>
            </w:pPr>
            <w:r>
              <w:rPr>
                <w:rFonts w:ascii="Arial" w:cs="Arial" w:eastAsia="Arial" w:hAnsi="Arial"/>
                <w:sz w:val="18"/>
                <w:szCs w:val="18"/>
                <w:color w:val="auto"/>
                <w:w w:val="87"/>
              </w:rPr>
              <w:t>Interest Expense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(2,056)</w:t>
            </w: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spacing w:after="0"/>
              <w:rPr>
                <w:sz w:val="20"/>
                <w:szCs w:val="20"/>
                <w:color w:val="auto"/>
              </w:rPr>
            </w:pPr>
            <w:r>
              <w:rPr>
                <w:rFonts w:ascii="Arial" w:cs="Arial" w:eastAsia="Arial" w:hAnsi="Arial"/>
                <w:sz w:val="18"/>
                <w:szCs w:val="18"/>
                <w:color w:val="auto"/>
              </w:rPr>
              <w:t>(431)</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both"/>
        <w:ind w:left="340" w:right="420" w:firstLine="47"/>
        <w:spacing w:after="0" w:line="256" w:lineRule="auto"/>
        <w:rPr>
          <w:sz w:val="20"/>
          <w:szCs w:val="20"/>
          <w:color w:val="auto"/>
        </w:rPr>
      </w:pPr>
      <w:r>
        <w:rPr>
          <w:rFonts w:ascii="Arial" w:cs="Arial" w:eastAsia="Arial" w:hAnsi="Arial"/>
          <w:sz w:val="13"/>
          <w:szCs w:val="13"/>
          <w:color w:val="auto"/>
        </w:rPr>
        <w:t>Pre-tax amount of gain/(loss) reclassified from Accumulated Other Comprehensive Income into Income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15608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87"/>
              </w:rPr>
              <w:t>June 30, 2015</w:t>
            </w:r>
          </w:p>
        </w:tc>
        <w:tc>
          <w:tcPr>
            <w:tcW w:w="520" w:type="dxa"/>
            <w:vAlign w:val="bottom"/>
          </w:tcPr>
          <w:p>
            <w:pPr>
              <w:spacing w:after="0"/>
              <w:rPr>
                <w:sz w:val="14"/>
                <w:szCs w:val="1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89"/>
              </w:rPr>
              <w:t>December 31, 2014</w:t>
            </w:r>
          </w:p>
        </w:tc>
      </w:tr>
      <w:tr>
        <w:trPr>
          <w:trHeight w:val="210"/>
        </w:trPr>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r>
      <w:tr>
        <w:trPr>
          <w:trHeight w:val="291"/>
        </w:trPr>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714" w:lineRule="exact"/>
        <w:rPr>
          <w:sz w:val="20"/>
          <w:szCs w:val="20"/>
          <w:color w:val="auto"/>
        </w:rPr>
      </w:pPr>
    </w:p>
    <w:p>
      <w:pPr>
        <w:sectPr>
          <w:pgSz w:w="11900" w:h="16838" w:orient="portrait"/>
          <w:cols w:equalWidth="0" w:num="2">
            <w:col w:w="8360" w:space="500"/>
            <w:col w:w="2540"/>
          </w:cols>
          <w:pgMar w:left="240" w:top="459" w:right="259" w:bottom="1440" w:gutter="0" w:footer="0" w:header="0"/>
          <w:type w:val="continuous"/>
        </w:sectPr>
      </w:pPr>
    </w:p>
    <w:p>
      <w:pPr>
        <w:spacing w:after="0" w:line="276" w:lineRule="auto"/>
        <w:rPr>
          <w:sz w:val="20"/>
          <w:szCs w:val="20"/>
          <w:color w:val="auto"/>
        </w:rPr>
      </w:pPr>
      <w:r>
        <w:rPr>
          <w:rFonts w:ascii="Arial" w:cs="Arial" w:eastAsia="Arial" w:hAnsi="Arial"/>
          <w:sz w:val="17"/>
          <w:szCs w:val="17"/>
          <w:color w:val="auto"/>
        </w:rPr>
        <w:t>On July 1, 2015, we closed an underwritten registered public offering of common stock offered pursuant to a shelf registration statement on Form S-3 that was previously filed with, and declared effective by, the SEC. The total number of shares of common stock sold was 7,590 at a public offering price of $24.00 per share. All of the shares in the offering were sold by NN. The net proceeds to NN from the offering, after deducting underwriting discounts and commissions and offering expenses, were approximately $173,052. Of these proceeds, $148,739 was used for repayment of principal and interest on our Term Loan B and ABL Revolver subsequent to quarter end and the remainder is currently being held in cash.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98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right="20"/>
        <w:spacing w:after="0" w:line="257" w:lineRule="auto"/>
        <w:rPr>
          <w:sz w:val="20"/>
          <w:szCs w:val="20"/>
          <w:color w:val="auto"/>
        </w:rPr>
      </w:pPr>
      <w:r>
        <w:rPr>
          <w:rFonts w:ascii="Arial" w:cs="Arial" w:eastAsia="Arial" w:hAnsi="Arial"/>
          <w:sz w:val="18"/>
          <w:szCs w:val="18"/>
          <w:color w:val="auto"/>
        </w:rPr>
        <w:t>We wish to caution readers that this report contains, and our future filings, press releases and oral statements made by our authorized representatives may contain, forward-looking statements that involve certain risks and uncertainties. Such statements concern matters that involve risks, uncertainties and other factors which may cause the actual performance of the Company and its subsidiaries to differ materially from those expressed or implied by this discussion. All forward-looking information contained herein is provided by us pursuant to the safe harbor established under the Private Securities Litigation Reform Act of 1995 and should be evaluated in the context of these factors.</w:t>
      </w:r>
    </w:p>
    <w:p>
      <w:pPr>
        <w:spacing w:after="0" w:line="18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our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our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our ability to obtain required regulatory approvals or satisfy closing conditions, the costs of an acquisition and source(s) of financing, the future performance and prospects of an acquired business, the expected benefits of an acquisition on our future business and operations and our ability to successfully integrate recently acquired businesses.</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additional information concerning such risk factors and cautionary statements, please see the section titled “Item 1A. Risk Factors” in our Annual Report on Form 10-K for the fiscal year ended December 31, 2014, which we filed with the SEC on March 16,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Influence Results of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description of factors that have influenced our three and six months ended June 30, 2015 results of operations that we believe are important to provide an understanding of our business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2014 and 2015 Acquisitions</w:t>
      </w:r>
    </w:p>
    <w:p>
      <w:pPr>
        <w:spacing w:after="0" w:line="12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During the year ended December 31, 2014, we completed the acquisition of four companies: Autocam Corporation (“Autocam”), RFK Valjcici d. d. Konjic (“RFK”), V-S Industries, V-S Precision, LLC and V-S Precision SA de DV(collectively referred to as “VS”) and Chelsea Grinding (“Chelsea”). The acquisitions of Autocam and Chelsea occurred subsequent to June 30, 2014. The RFK acquisition was completed June 20, 2014, which allowed for only ten days being included in the second quarter of 2014. Additionally, we acquired Caprock on May 29, 2015 and included one month of sales and income in the second quarter of 2015. In an effort to enhance the comparability of the current and prior year periods, we have aggregated into “acquisitions” within each financial line item comparison below for the three and six month periods ended June 30, 2015, the impacts of the four acquisitions completed subsequent to the second quarter of 2014. The remaining changes relate to the legacy NN businesses. For more information about the 2014 acquisitions including background on the acquired companies, the purchase price allocations and pro forma information, as required, please refer to Note 2 of the Notes to Consolidated Financial Statements included in our Annual Report on Form 10-K for the year ended December 31, 2014 which we filed with the SEC on March 16, 2015 and Note 2 of the Notes to Condensed Consolidated Financial Statements included in this Quarterly Report on Form 10-Q.</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Devaluation of the Euro against the U.S. Dollar</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Euro devalued against the U.S. Dollar beginning in the latter part of the third quarter of 2014 and accelerating during the fourth quarter of 2014 and the first quarter of 2015. During these periods, the Euro to U.S. Dollar rate dropped from approximately 1.36 in mid-July 2014 to 1.08 at March 31, 2015 representing an approximate 20% decline in value. During the second quarter of 2015 the euro recovered 3.5% of its value to end up at 1.12. The devaluation of the Euro significantly impacted the translation of our Euro denominated sales and costs when comparing the three and six months ended June 30, 2015 to the three and six months ended June 30, 2014. The Euro devaluation from translation negatively impacted the three and six months ended June 30, 2015 sales by $9.3 million and $17.6, respectively, and net income by $0.9 million and $1.7 million, respectively. The Euro translation impact, and the translation impact of other currencies, is highlighted below as “foreign exchange effects”. In addition to the translation effects, the devaluation of the Euro impacted the value of certain intercompany loan receivables denominated in Euros that resulted in an unfavorable transactional impact to earnings of $1.0 million reported below in “Other expense, net” for the six months ended June 30, 2015.</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provided a reconciliation of net income to adjusted net income (a non-GAAP measure used by management) and income from operations to adjusted income from operations (a non-GAAP measure used by management) to provide supplementary information about the impacts of acquisition related expenses and foreign exchange impacts on intercompany loans. We believe that the presentation of adjusted income from operations and adjusted net income provides useful information to investors in assessing our results of operations and potential future results. These measures should not be considered as an alternative to GAAP net income or income from operations. You should not consider adjusted net income or adjusted income from operations in isolation, or as a substitute for analysis of our results as reported under GAAP. Additionally, because adjusted net income or adjusted income from operations may be defined differently by other companies in our industry, our definitions may not be comparable to similarly titled measures of other companies, thereby diminishing their utility.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2015 Compared to the Three Months Ended June 30, 2014</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7"/>
          </w:tcPr>
          <w:p>
            <w:pPr>
              <w:spacing w:after="0"/>
              <w:rPr>
                <w:sz w:val="20"/>
                <w:szCs w:val="20"/>
                <w:color w:val="auto"/>
              </w:rPr>
            </w:pPr>
            <w:r>
              <w:rPr>
                <w:rFonts w:ascii="Arial" w:cs="Arial" w:eastAsia="Arial" w:hAnsi="Arial"/>
                <w:sz w:val="14"/>
                <w:szCs w:val="14"/>
                <w:b w:val="1"/>
                <w:bCs w:val="1"/>
                <w:color w:val="auto"/>
              </w:rPr>
              <w:t>Consolidated NN, Inc.</w:t>
            </w:r>
          </w:p>
        </w:tc>
        <w:tc>
          <w:tcPr>
            <w:tcW w:w="0" w:type="dxa"/>
            <w:vAlign w:val="bottom"/>
          </w:tcPr>
          <w:p>
            <w:pPr>
              <w:spacing w:after="0"/>
              <w:rPr>
                <w:sz w:val="1"/>
                <w:szCs w:val="1"/>
                <w:color w:val="auto"/>
              </w:rPr>
            </w:pPr>
          </w:p>
        </w:tc>
      </w:tr>
      <w:tr>
        <w:trPr>
          <w:trHeight w:val="171"/>
        </w:trPr>
        <w:tc>
          <w:tcPr>
            <w:tcW w:w="66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9"/>
          </w:tcPr>
          <w:p>
            <w:pPr>
              <w:jc w:val="right"/>
              <w:ind w:right="1060"/>
              <w:spacing w:after="0"/>
              <w:rPr>
                <w:sz w:val="20"/>
                <w:szCs w:val="20"/>
                <w:color w:val="auto"/>
              </w:rPr>
            </w:pPr>
            <w:r>
              <w:rPr>
                <w:rFonts w:ascii="Arial" w:cs="Arial" w:eastAsia="Arial" w:hAnsi="Arial"/>
                <w:sz w:val="14"/>
                <w:szCs w:val="14"/>
                <w:b w:val="1"/>
                <w:bCs w:val="1"/>
                <w:color w:val="auto"/>
                <w:w w:val="97"/>
              </w:rPr>
              <w:t>Three Months ended June 30,</w:t>
            </w:r>
          </w:p>
        </w:tc>
        <w:tc>
          <w:tcPr>
            <w:tcW w:w="0" w:type="dxa"/>
            <w:vAlign w:val="bottom"/>
          </w:tcPr>
          <w:p>
            <w:pPr>
              <w:spacing w:after="0"/>
              <w:rPr>
                <w:sz w:val="1"/>
                <w:szCs w:val="1"/>
                <w:color w:val="auto"/>
              </w:rPr>
            </w:pPr>
          </w:p>
        </w:tc>
      </w:tr>
      <w:tr>
        <w:trPr>
          <w:trHeight w:val="142"/>
        </w:trPr>
        <w:tc>
          <w:tcPr>
            <w:tcW w:w="66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164,856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106,680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87"/>
              </w:rPr>
              <w:t>58,176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64,301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3,439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Price/ material inflation pass-through/mix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 and amortization shown separately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below)</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128,708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84,285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960"/>
              <w:spacing w:after="0"/>
              <w:rPr>
                <w:sz w:val="20"/>
                <w:szCs w:val="20"/>
                <w:color w:val="auto"/>
              </w:rPr>
            </w:pPr>
            <w:r>
              <w:rPr>
                <w:rFonts w:ascii="Arial" w:cs="Arial" w:eastAsia="Arial" w:hAnsi="Arial"/>
                <w:sz w:val="18"/>
                <w:szCs w:val="18"/>
                <w:color w:val="auto"/>
                <w:w w:val="87"/>
              </w:rPr>
              <w:t>44,423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49,265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(7,269)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i w:val="1"/>
                <w:iCs w:val="1"/>
                <w:color w:val="auto"/>
              </w:rPr>
              <w:t>Other cost changes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13,962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3,234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i w:val="1"/>
                <w:iCs w:val="1"/>
                <w:color w:val="auto"/>
              </w:rPr>
              <w:t>Increase in spending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4,530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i w:val="1"/>
                <w:iCs w:val="1"/>
                <w:color w:val="auto"/>
              </w:rPr>
              <w:t>Increase in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266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13,589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8,237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5,352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6,021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960"/>
              <w:spacing w:after="0"/>
              <w:rPr>
                <w:sz w:val="20"/>
                <w:szCs w:val="20"/>
                <w:color w:val="auto"/>
              </w:rPr>
            </w:pPr>
            <w:r>
              <w:rPr>
                <w:rFonts w:ascii="Arial" w:cs="Arial" w:eastAsia="Arial" w:hAnsi="Arial"/>
                <w:sz w:val="18"/>
                <w:szCs w:val="18"/>
                <w:color w:val="auto"/>
              </w:rPr>
              <w:t>5,470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2,357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900"/>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6,953</w:t>
            </w:r>
          </w:p>
        </w:tc>
        <w:tc>
          <w:tcPr>
            <w:tcW w:w="12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5,200</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1,753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of net income to adjusted net income:</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6,953</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$5,200</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$1,753</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After-tax acquisition and integration expenses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436</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818</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After-tax foreign exchange gain on inter-company loans</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75"/>
        </w:trPr>
        <w:tc>
          <w:tcPr>
            <w:tcW w:w="7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7,157</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6,018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1,139</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income from operations to adjusted income from operations: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1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7"/>
              </w:rPr>
              <w:t>13,589</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$8,237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$5,352</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Acquisition and integration expenses</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681</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1,279</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75"/>
        </w:trPr>
        <w:tc>
          <w:tcPr>
            <w:tcW w:w="7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income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7"/>
              </w:rPr>
              <w:t>14,270</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9,516</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4,754</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increased during the second quarter of 2015 from the second quarter of 2014 principally due to sales from the companies acquired in</w:t>
      </w:r>
      <w:r>
        <w:rPr>
          <w:rFonts w:ascii="Arial" w:cs="Arial" w:eastAsia="Arial" w:hAnsi="Arial"/>
          <w:sz w:val="17"/>
          <w:szCs w:val="17"/>
          <w:i w:val="1"/>
          <w:iCs w:val="1"/>
          <w:color w:val="auto"/>
        </w:rPr>
        <w:t xml:space="preserve"> </w:t>
      </w:r>
      <w:r>
        <w:rPr>
          <w:rFonts w:ascii="Arial" w:cs="Arial" w:eastAsia="Arial" w:hAnsi="Arial"/>
          <w:sz w:val="17"/>
          <w:szCs w:val="17"/>
          <w:color w:val="auto"/>
        </w:rPr>
        <w:t>2014 and 2015 subsequent to the second quarter of 2014. Additionally, sales increased from greater demand for our products in the European and North American markets served by our Metal Bearing Components Segment, namely automotive and general industrial markets. Partially offsetting these increases was the impact of devaluation of the Euro on Euro denominated sales, as discussed above.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shown separately below). </w:t>
      </w:r>
      <w:r>
        <w:rPr>
          <w:rFonts w:ascii="Arial" w:cs="Arial" w:eastAsia="Arial" w:hAnsi="Arial"/>
          <w:sz w:val="18"/>
          <w:szCs w:val="18"/>
          <w:color w:val="auto"/>
        </w:rPr>
        <w:t>Cost of products sold was primarily impacted by the addition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costs from the companies acquired during 2014 and 2015, as discussed above. Additionally, the total was impacted by increased production costs at those units that experienced higher sales volumes, as discussed above. Partially offsetting these increases was the impact of the devaluation of the Euro on Euro denominated costs, as discussed above.</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The majority of the increase during 2015 was due to the selling, general and administrative costs carried over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acquired in 2014 and 2015.</w:t>
      </w:r>
    </w:p>
    <w:p>
      <w:pPr>
        <w:spacing w:after="0" w:line="170" w:lineRule="exact"/>
        <w:rPr>
          <w:sz w:val="20"/>
          <w:szCs w:val="20"/>
          <w:color w:val="auto"/>
        </w:rPr>
      </w:pPr>
    </w:p>
    <w:p>
      <w:pPr>
        <w:jc w:val="both"/>
        <w:ind w:right="620"/>
        <w:spacing w:after="0" w:line="28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The increase in 2015 was due to depreciation and amortization from the acquisitions closed in 2014. This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and amortization includes the related step-ups of certain property, plant and equipment to fair value and the addition of intangible assets principally for customer relationships and trade names related to the purchase price allocation of the new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increased $5.4 million in 2015 from the interest on the debt we undertook to complete the four acquisitions in 2014.</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second quarter of 2015 effective tax rate of 21% is lower than the second quarter of 2014 effective tax rate of 31%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geographic mix of pre-tax income. In the second quarter of 2015, a larger proportion of the pre-tax income was earned in foreign jurisdictions with lower statutory rates than that of the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140" w:type="dxa"/>
            <w:vAlign w:val="bottom"/>
            <w:gridSpan w:val="2"/>
          </w:tcPr>
          <w:p>
            <w:pPr>
              <w:spacing w:after="0"/>
              <w:rPr>
                <w:sz w:val="20"/>
                <w:szCs w:val="20"/>
                <w:color w:val="auto"/>
              </w:rPr>
            </w:pPr>
            <w:r>
              <w:rPr>
                <w:rFonts w:ascii="Arial" w:cs="Arial" w:eastAsia="Arial" w:hAnsi="Arial"/>
                <w:sz w:val="14"/>
                <w:szCs w:val="14"/>
                <w:i w:val="1"/>
                <w:iCs w:val="1"/>
                <w:color w:val="auto"/>
              </w:rPr>
              <w:t>(In Thousands of Dollars)</w:t>
            </w: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w w:val="97"/>
              </w:rPr>
              <w:t>Three Months Ended June 30,</w:t>
            </w:r>
          </w:p>
        </w:tc>
      </w:tr>
      <w:tr>
        <w:trPr>
          <w:trHeight w:val="142"/>
        </w:trPr>
        <w:tc>
          <w:tcPr>
            <w:tcW w:w="1500" w:type="dxa"/>
            <w:vAlign w:val="bottom"/>
            <w:tcBorders>
              <w:top w:val="single" w:sz="8" w:color="auto"/>
              <w:bottom w:val="single" w:sz="8" w:color="CCEEFF"/>
            </w:tcBorders>
          </w:tcPr>
          <w:p>
            <w:pPr>
              <w:spacing w:after="0"/>
              <w:rPr>
                <w:sz w:val="12"/>
                <w:szCs w:val="12"/>
                <w:color w:val="auto"/>
              </w:rPr>
            </w:pPr>
          </w:p>
        </w:tc>
        <w:tc>
          <w:tcPr>
            <w:tcW w:w="364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r>
      <w:tr>
        <w:trPr>
          <w:trHeight w:val="210"/>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69,261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73,038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shd w:val="clear" w:color="auto" w:fill="CCEEFF"/>
          </w:tcPr>
          <w:p>
            <w:pPr>
              <w:jc w:val="right"/>
              <w:ind w:right="793"/>
              <w:spacing w:after="0"/>
              <w:rPr>
                <w:sz w:val="20"/>
                <w:szCs w:val="20"/>
                <w:color w:val="auto"/>
              </w:rPr>
            </w:pPr>
            <w:r>
              <w:rPr>
                <w:rFonts w:ascii="Arial" w:cs="Arial" w:eastAsia="Arial" w:hAnsi="Arial"/>
                <w:sz w:val="18"/>
                <w:szCs w:val="18"/>
                <w:b w:val="1"/>
                <w:bCs w:val="1"/>
                <w:color w:val="auto"/>
                <w:w w:val="91"/>
              </w:rPr>
              <w:t>(3,777)</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gridSpan w:val="2"/>
          </w:tcPr>
          <w:p>
            <w:pPr>
              <w:ind w:left="360"/>
              <w:spacing w:after="0"/>
              <w:rPr>
                <w:sz w:val="20"/>
                <w:szCs w:val="20"/>
                <w:color w:val="auto"/>
              </w:rPr>
            </w:pPr>
            <w:r>
              <w:rPr>
                <w:rFonts w:ascii="Arial" w:cs="Arial" w:eastAsia="Arial" w:hAnsi="Arial"/>
                <w:sz w:val="18"/>
                <w:szCs w:val="18"/>
                <w:i w:val="1"/>
                <w:iCs w:val="1"/>
                <w:color w:val="auto"/>
              </w:rPr>
              <w:t>Acquisitions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2,640</w:t>
            </w:r>
          </w:p>
        </w:tc>
      </w:tr>
      <w:tr>
        <w:trPr>
          <w:trHeight w:val="216"/>
        </w:trPr>
        <w:tc>
          <w:tcPr>
            <w:tcW w:w="514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(9,323)</w:t>
            </w:r>
          </w:p>
        </w:tc>
      </w:tr>
      <w:tr>
        <w:trPr>
          <w:trHeight w:val="216"/>
        </w:trPr>
        <w:tc>
          <w:tcPr>
            <w:tcW w:w="5140" w:type="dxa"/>
            <w:vAlign w:val="bottom"/>
            <w:gridSpan w:val="2"/>
          </w:tcPr>
          <w:p>
            <w:pPr>
              <w:ind w:left="360"/>
              <w:spacing w:after="0"/>
              <w:rPr>
                <w:sz w:val="20"/>
                <w:szCs w:val="20"/>
                <w:color w:val="auto"/>
              </w:rPr>
            </w:pPr>
            <w:r>
              <w:rPr>
                <w:rFonts w:ascii="Arial" w:cs="Arial" w:eastAsia="Arial" w:hAnsi="Arial"/>
                <w:sz w:val="18"/>
                <w:szCs w:val="18"/>
                <w:i w:val="1"/>
                <w:iCs w:val="1"/>
                <w:color w:val="auto"/>
              </w:rPr>
              <w:t>Volume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3,015</w:t>
            </w:r>
          </w:p>
        </w:tc>
      </w:tr>
      <w:tr>
        <w:trPr>
          <w:trHeight w:val="216"/>
        </w:trPr>
        <w:tc>
          <w:tcPr>
            <w:tcW w:w="514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Price/material inflation pass-through/mix</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(109)</w:t>
            </w:r>
          </w:p>
        </w:tc>
      </w:tr>
      <w:tr>
        <w:trPr>
          <w:trHeight w:val="234"/>
        </w:trPr>
        <w:tc>
          <w:tcPr>
            <w:tcW w:w="51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9,403</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8,748</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853"/>
              <w:spacing w:after="0"/>
              <w:rPr>
                <w:sz w:val="20"/>
                <w:szCs w:val="20"/>
                <w:color w:val="auto"/>
              </w:rPr>
            </w:pPr>
            <w:r>
              <w:rPr>
                <w:rFonts w:ascii="Arial" w:cs="Arial" w:eastAsia="Arial" w:hAnsi="Arial"/>
                <w:sz w:val="18"/>
                <w:szCs w:val="18"/>
                <w:b w:val="1"/>
                <w:bCs w:val="1"/>
                <w:color w:val="auto"/>
              </w:rPr>
              <w:t>655</w:t>
            </w:r>
          </w:p>
        </w:tc>
        <w:tc>
          <w:tcPr>
            <w:tcW w:w="100" w:type="dxa"/>
            <w:vAlign w:val="bottom"/>
          </w:tcPr>
          <w:p>
            <w:pPr>
              <w:spacing w:after="0"/>
              <w:rPr>
                <w:sz w:val="20"/>
                <w:szCs w:val="20"/>
                <w:color w:val="auto"/>
              </w:rPr>
            </w:pPr>
          </w:p>
        </w:tc>
      </w:tr>
    </w:tbl>
    <w:p>
      <w:pPr>
        <w:spacing w:after="0" w:line="1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sales decreased during the second quarter of 2015 from the second quarter of 2014 principally due to the devaluation of the Euro on Euro denominated sales, as discussed above. Partially offsetting the foreign exchange impacts was greater demand for our products in the North American and European automotive markets. This greater demand was from market share gains with our customers and from winning business with new customers. Finally, sales increased with the addition of the companies the segment acquired in 2014.</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main drivers of the increased income from operations for the segment were $1.0 million in incremental income from the increased sales volumes and</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$0.2 million in additional income from operations of the acquired companies. Additionally, segment income from operation was favorably impacted by $0.6 from continuous improvement projects. Segment income from operations was unfavorably impacted $1.3 million due to the depreciation in value of Euro denominated income from operations relative to the U.S. Dollar.</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AUTOCAM PRECISION COMPONENTS SEGMENT</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320" w:type="dxa"/>
            <w:vAlign w:val="bottom"/>
            <w:gridSpan w:val="2"/>
          </w:tcPr>
          <w:p>
            <w:pPr>
              <w:spacing w:after="0"/>
              <w:rPr>
                <w:sz w:val="20"/>
                <w:szCs w:val="20"/>
                <w:color w:val="auto"/>
              </w:rPr>
            </w:pPr>
            <w:r>
              <w:rPr>
                <w:rFonts w:ascii="Arial" w:cs="Arial" w:eastAsia="Arial" w:hAnsi="Arial"/>
                <w:sz w:val="14"/>
                <w:szCs w:val="14"/>
                <w:i w:val="1"/>
                <w:iCs w:val="1"/>
                <w:color w:val="auto"/>
              </w:rPr>
              <w:t>(In Thousands of Dollars)</w:t>
            </w:r>
          </w:p>
        </w:tc>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8"/>
          </w:tcPr>
          <w:p>
            <w:pPr>
              <w:jc w:val="right"/>
              <w:ind w:right="920"/>
              <w:spacing w:after="0"/>
              <w:rPr>
                <w:sz w:val="20"/>
                <w:szCs w:val="20"/>
                <w:color w:val="auto"/>
              </w:rPr>
            </w:pPr>
            <w:r>
              <w:rPr>
                <w:rFonts w:ascii="Arial" w:cs="Arial" w:eastAsia="Arial" w:hAnsi="Arial"/>
                <w:sz w:val="14"/>
                <w:szCs w:val="14"/>
                <w:b w:val="1"/>
                <w:bCs w:val="1"/>
                <w:color w:val="auto"/>
                <w:w w:val="98"/>
              </w:rPr>
              <w:t>Three Months Ended June 30,</w:t>
            </w:r>
          </w:p>
        </w:tc>
      </w:tr>
      <w:tr>
        <w:trPr>
          <w:trHeight w:val="142"/>
        </w:trPr>
        <w:tc>
          <w:tcPr>
            <w:tcW w:w="1500" w:type="dxa"/>
            <w:vAlign w:val="bottom"/>
            <w:tcBorders>
              <w:top w:val="single" w:sz="8" w:color="auto"/>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25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r>
      <w:tr>
        <w:trPr>
          <w:trHeight w:val="210"/>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86,471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25,267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jc w:val="right"/>
              <w:ind w:right="853"/>
              <w:spacing w:after="0"/>
              <w:rPr>
                <w:sz w:val="20"/>
                <w:szCs w:val="20"/>
                <w:color w:val="auto"/>
              </w:rPr>
            </w:pPr>
            <w:r>
              <w:rPr>
                <w:rFonts w:ascii="Arial" w:cs="Arial" w:eastAsia="Arial" w:hAnsi="Arial"/>
                <w:sz w:val="18"/>
                <w:szCs w:val="18"/>
                <w:b w:val="1"/>
                <w:bCs w:val="1"/>
                <w:color w:val="auto"/>
                <w:w w:val="87"/>
              </w:rPr>
              <w:t>61,204</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i w:val="1"/>
                <w:iCs w:val="1"/>
                <w:color w:val="auto"/>
              </w:rPr>
              <w:t>Acquisitions</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60,925</w:t>
            </w: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Volume</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279</w:t>
            </w:r>
          </w:p>
        </w:tc>
      </w:tr>
      <w:tr>
        <w:trPr>
          <w:trHeight w:val="216"/>
        </w:trPr>
        <w:tc>
          <w:tcPr>
            <w:tcW w:w="4320" w:type="dxa"/>
            <w:vAlign w:val="bottom"/>
            <w:gridSpan w:val="2"/>
          </w:tcPr>
          <w:p>
            <w:pPr>
              <w:ind w:left="360"/>
              <w:spacing w:after="0"/>
              <w:rPr>
                <w:sz w:val="20"/>
                <w:szCs w:val="20"/>
                <w:color w:val="auto"/>
              </w:rPr>
            </w:pPr>
            <w:r>
              <w:rPr>
                <w:rFonts w:ascii="Arial" w:cs="Arial" w:eastAsia="Arial" w:hAnsi="Arial"/>
                <w:sz w:val="18"/>
                <w:szCs w:val="18"/>
                <w:i w:val="1"/>
                <w:iCs w:val="1"/>
                <w:color w:val="auto"/>
              </w:rPr>
              <w:t>Price/mix</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w:t>
            </w: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9,095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853"/>
              <w:spacing w:after="0"/>
              <w:rPr>
                <w:sz w:val="20"/>
                <w:szCs w:val="20"/>
                <w:color w:val="auto"/>
              </w:rPr>
            </w:pPr>
            <w:r>
              <w:rPr>
                <w:rFonts w:ascii="Arial" w:cs="Arial" w:eastAsia="Arial" w:hAnsi="Arial"/>
                <w:sz w:val="18"/>
                <w:szCs w:val="18"/>
                <w:b w:val="1"/>
                <w:bCs w:val="1"/>
                <w:color w:val="auto"/>
              </w:rPr>
              <w:t>6,789</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increased sales in the second quarter of 2015 were due to sales added with the acquisition subsequent to the second quarter of 2014. The addition of the acquired company added $7.1 million to segment income from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7460" w:type="dxa"/>
            <w:vAlign w:val="bottom"/>
            <w:gridSpan w:val="2"/>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2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w w:val="93"/>
              </w:rPr>
              <w:t>Three Months Ended June 30,</w:t>
            </w:r>
          </w:p>
        </w:tc>
      </w:tr>
      <w:tr>
        <w:trPr>
          <w:trHeight w:val="142"/>
        </w:trPr>
        <w:tc>
          <w:tcPr>
            <w:tcW w:w="1500" w:type="dxa"/>
            <w:vAlign w:val="bottom"/>
            <w:tcBorders>
              <w:top w:val="single" w:sz="8" w:color="auto"/>
              <w:bottom w:val="single" w:sz="8" w:color="CCEEFF"/>
            </w:tcBorders>
          </w:tcPr>
          <w:p>
            <w:pPr>
              <w:spacing w:after="0"/>
              <w:rPr>
                <w:sz w:val="12"/>
                <w:szCs w:val="12"/>
                <w:color w:val="auto"/>
              </w:rPr>
            </w:pPr>
          </w:p>
        </w:tc>
        <w:tc>
          <w:tcPr>
            <w:tcW w:w="5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2014</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r>
      <w:tr>
        <w:trPr>
          <w:trHeight w:val="210"/>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9,124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8,375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ind w:right="713"/>
              <w:spacing w:after="0"/>
              <w:rPr>
                <w:sz w:val="20"/>
                <w:szCs w:val="20"/>
                <w:color w:val="auto"/>
              </w:rPr>
            </w:pPr>
            <w:r>
              <w:rPr>
                <w:rFonts w:ascii="Arial" w:cs="Arial" w:eastAsia="Arial" w:hAnsi="Arial"/>
                <w:sz w:val="18"/>
                <w:szCs w:val="18"/>
                <w:b w:val="1"/>
                <w:bCs w:val="1"/>
                <w:color w:val="auto"/>
                <w:w w:val="79"/>
              </w:rPr>
              <w:t>749</w:t>
            </w:r>
          </w:p>
        </w:tc>
        <w:tc>
          <w:tcPr>
            <w:tcW w:w="100" w:type="dxa"/>
            <w:vAlign w:val="bottom"/>
            <w:shd w:val="clear" w:color="auto" w:fill="CCEEFF"/>
          </w:tcPr>
          <w:p>
            <w:pPr>
              <w:spacing w:after="0"/>
              <w:rPr>
                <w:sz w:val="18"/>
                <w:szCs w:val="18"/>
                <w:color w:val="auto"/>
              </w:rPr>
            </w:pPr>
          </w:p>
        </w:tc>
      </w:tr>
      <w:tr>
        <w:trPr>
          <w:trHeight w:val="216"/>
        </w:trPr>
        <w:tc>
          <w:tcPr>
            <w:tcW w:w="7460" w:type="dxa"/>
            <w:vAlign w:val="bottom"/>
            <w:gridSpan w:val="2"/>
          </w:tcPr>
          <w:p>
            <w:pPr>
              <w:ind w:left="36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736</w:t>
            </w:r>
          </w:p>
        </w:tc>
      </w:tr>
      <w:tr>
        <w:trPr>
          <w:trHeight w:val="216"/>
        </w:trPr>
        <w:tc>
          <w:tcPr>
            <w:tcW w:w="746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146</w:t>
            </w:r>
          </w:p>
        </w:tc>
      </w:tr>
      <w:tr>
        <w:trPr>
          <w:trHeight w:val="216"/>
        </w:trPr>
        <w:tc>
          <w:tcPr>
            <w:tcW w:w="7460" w:type="dxa"/>
            <w:vAlign w:val="bottom"/>
            <w:gridSpan w:val="2"/>
          </w:tcPr>
          <w:p>
            <w:pPr>
              <w:ind w:left="360"/>
              <w:spacing w:after="0"/>
              <w:rPr>
                <w:sz w:val="20"/>
                <w:szCs w:val="20"/>
                <w:color w:val="auto"/>
              </w:rPr>
            </w:pPr>
            <w:r>
              <w:rPr>
                <w:rFonts w:ascii="Arial" w:cs="Arial" w:eastAsia="Arial" w:hAnsi="Arial"/>
                <w:sz w:val="18"/>
                <w:szCs w:val="18"/>
                <w:i w:val="1"/>
                <w:iCs w:val="1"/>
                <w:color w:val="auto"/>
              </w:rPr>
              <w:t>Price/mix</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(133)</w:t>
            </w: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ind w:right="713"/>
              <w:spacing w:after="0"/>
              <w:rPr>
                <w:sz w:val="20"/>
                <w:szCs w:val="20"/>
                <w:color w:val="auto"/>
              </w:rPr>
            </w:pPr>
            <w:r>
              <w:rPr>
                <w:rFonts w:ascii="Arial" w:cs="Arial" w:eastAsia="Arial" w:hAnsi="Arial"/>
                <w:sz w:val="18"/>
                <w:szCs w:val="18"/>
                <w:b w:val="1"/>
                <w:bCs w:val="1"/>
                <w:color w:val="auto"/>
              </w:rPr>
              <w:t>87</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sales and net income during the second quarter of 2015 was due primarily to the acquisition of Caprock.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2015 Compared to the Six Months Ended June 30,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7"/>
          </w:tcPr>
          <w:p>
            <w:pPr>
              <w:jc w:val="right"/>
              <w:ind w:right="1380"/>
              <w:spacing w:after="0"/>
              <w:rPr>
                <w:sz w:val="20"/>
                <w:szCs w:val="20"/>
                <w:color w:val="auto"/>
              </w:rPr>
            </w:pPr>
            <w:r>
              <w:rPr>
                <w:rFonts w:ascii="Arial" w:cs="Arial" w:eastAsia="Arial" w:hAnsi="Arial"/>
                <w:sz w:val="14"/>
                <w:szCs w:val="14"/>
                <w:b w:val="1"/>
                <w:bCs w:val="1"/>
                <w:color w:val="auto"/>
                <w:w w:val="98"/>
              </w:rPr>
              <w:t>Consolidated NN, Inc.</w:t>
            </w:r>
          </w:p>
        </w:tc>
        <w:tc>
          <w:tcPr>
            <w:tcW w:w="0" w:type="dxa"/>
            <w:vAlign w:val="bottom"/>
          </w:tcPr>
          <w:p>
            <w:pPr>
              <w:spacing w:after="0"/>
              <w:rPr>
                <w:sz w:val="1"/>
                <w:szCs w:val="1"/>
                <w:color w:val="auto"/>
              </w:rPr>
            </w:pPr>
          </w:p>
        </w:tc>
      </w:tr>
      <w:tr>
        <w:trPr>
          <w:trHeight w:val="171"/>
        </w:trPr>
        <w:tc>
          <w:tcPr>
            <w:tcW w:w="65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20" w:type="dxa"/>
            <w:vAlign w:val="bottom"/>
            <w:gridSpan w:val="8"/>
          </w:tcPr>
          <w:p>
            <w:pPr>
              <w:jc w:val="right"/>
              <w:ind w:right="122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65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328,601</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209,208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gridSpan w:val="2"/>
            <w:shd w:val="clear" w:color="auto" w:fill="CCEEFF"/>
          </w:tcPr>
          <w:p>
            <w:pPr>
              <w:jc w:val="right"/>
              <w:ind w:right="1060"/>
              <w:spacing w:after="0"/>
              <w:rPr>
                <w:sz w:val="20"/>
                <w:szCs w:val="20"/>
                <w:color w:val="auto"/>
              </w:rPr>
            </w:pPr>
            <w:r>
              <w:rPr>
                <w:rFonts w:ascii="Arial" w:cs="Arial" w:eastAsia="Arial" w:hAnsi="Arial"/>
                <w:sz w:val="18"/>
                <w:szCs w:val="18"/>
                <w:color w:val="auto"/>
                <w:w w:val="86"/>
              </w:rPr>
              <w:t>119,393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126,321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(17,591)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11,218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Price/ material inflation pass-through/mix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(555)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spacing w:after="0" w:line="201" w:lineRule="exact"/>
              <w:rPr>
                <w:sz w:val="20"/>
                <w:szCs w:val="20"/>
                <w:color w:val="auto"/>
              </w:rPr>
            </w:pPr>
            <w:r>
              <w:rPr>
                <w:rFonts w:ascii="Arial" w:cs="Arial" w:eastAsia="Arial" w:hAnsi="Arial"/>
                <w:sz w:val="18"/>
                <w:szCs w:val="18"/>
                <w:color w:val="auto"/>
                <w:w w:val="97"/>
              </w:rPr>
              <w:t>Cost of products sold (exclusive of depreciation and amortization shown separately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below)</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258,025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164,569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right"/>
              <w:ind w:right="1060"/>
              <w:spacing w:after="0"/>
              <w:rPr>
                <w:sz w:val="20"/>
                <w:szCs w:val="20"/>
                <w:color w:val="auto"/>
              </w:rPr>
            </w:pPr>
            <w:r>
              <w:rPr>
                <w:rFonts w:ascii="Arial" w:cs="Arial" w:eastAsia="Arial" w:hAnsi="Arial"/>
                <w:sz w:val="18"/>
                <w:szCs w:val="18"/>
                <w:color w:val="auto"/>
              </w:rPr>
              <w:t>93,456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98,113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(13,749)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i w:val="1"/>
                <w:iCs w:val="1"/>
                <w:color w:val="auto"/>
              </w:rPr>
              <w:t>Other cost changes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25,961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5,857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6,439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i w:val="1"/>
                <w:iCs w:val="1"/>
                <w:color w:val="auto"/>
              </w:rPr>
              <w:t>Increase in spending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17,091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9,130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9,092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i w:val="1"/>
                <w:iCs w:val="1"/>
                <w:color w:val="auto"/>
              </w:rPr>
              <w:t>Increase in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714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27,524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16,574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10,950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11,959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1060"/>
              <w:spacing w:after="0"/>
              <w:rPr>
                <w:sz w:val="20"/>
                <w:szCs w:val="20"/>
                <w:color w:val="auto"/>
              </w:rPr>
            </w:pPr>
            <w:r>
              <w:rPr>
                <w:rFonts w:ascii="Arial" w:cs="Arial" w:eastAsia="Arial" w:hAnsi="Arial"/>
                <w:sz w:val="18"/>
                <w:szCs w:val="18"/>
                <w:color w:val="auto"/>
              </w:rPr>
              <w:t>10,844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3,073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4,809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1000"/>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12,955</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10,438</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2,517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22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of net income to adjusted net income:</w:t>
            </w: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6"/>
              </w:rPr>
              <w:t>$12,955</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9"/>
              </w:rPr>
              <w:t>$10,438</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2,517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After-tax acquisition and integration expenses</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436</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After-tax foreign exchange loss on inter-company loans</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655</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75"/>
        </w:trPr>
        <w:tc>
          <w:tcPr>
            <w:tcW w:w="678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14,046</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11,570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2,476</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income from operations to adjusted income from operations: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7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6"/>
              </w:rPr>
              <w:t>$27,524</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9"/>
              </w:rPr>
              <w:t>$16,574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10,950</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Acquisition and integration expenses</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681</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(1,089)</w:t>
            </w:r>
          </w:p>
        </w:tc>
        <w:tc>
          <w:tcPr>
            <w:tcW w:w="0" w:type="dxa"/>
            <w:vAlign w:val="bottom"/>
          </w:tcPr>
          <w:p>
            <w:pPr>
              <w:spacing w:after="0"/>
              <w:rPr>
                <w:sz w:val="1"/>
                <w:szCs w:val="1"/>
                <w:color w:val="auto"/>
              </w:rPr>
            </w:pPr>
          </w:p>
        </w:tc>
      </w:tr>
      <w:tr>
        <w:trPr>
          <w:trHeight w:val="75"/>
        </w:trPr>
        <w:tc>
          <w:tcPr>
            <w:tcW w:w="678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income from operations</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28,205</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18,344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9,861</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4700"/>
              <w:spacing w:after="0"/>
              <w:rPr>
                <w:sz w:val="20"/>
                <w:szCs w:val="20"/>
                <w:color w:val="auto"/>
              </w:rPr>
            </w:pPr>
            <w:r>
              <w:rPr>
                <w:rFonts w:ascii="Arial" w:cs="Arial" w:eastAsia="Arial" w:hAnsi="Arial"/>
                <w:sz w:val="18"/>
                <w:szCs w:val="18"/>
                <w:color w:val="auto"/>
              </w:rPr>
              <w:t>19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during the first half of 2015 from the first half of 2014 principally due to sales from the companies acquired in 2014 and 2015.</w:t>
      </w:r>
      <w:r>
        <w:rPr>
          <w:rFonts w:ascii="Arial" w:cs="Arial" w:eastAsia="Arial" w:hAnsi="Arial"/>
          <w:sz w:val="18"/>
          <w:szCs w:val="18"/>
          <w:i w:val="1"/>
          <w:iCs w:val="1"/>
          <w:color w:val="auto"/>
        </w:rPr>
        <w:t xml:space="preserve"> </w:t>
      </w:r>
      <w:r>
        <w:rPr>
          <w:rFonts w:ascii="Arial" w:cs="Arial" w:eastAsia="Arial" w:hAnsi="Arial"/>
          <w:sz w:val="18"/>
          <w:szCs w:val="18"/>
          <w:color w:val="auto"/>
        </w:rPr>
        <w:t>Three of the four companies acquired during 2014 were acquired subsequent to the first half of 2014. Additionally, sales increased from greater demand for our products in the European, Asian and North American markets served by our Metal Bearing Components Segment, namely automotive and general industrial markets. This sales growth came from overall growth in the markets we serve, from new sales programs with existing customers and sales with new customers in each of these geographic markets. Partially offsetting these increases was the impact of devaluation of the Euro on Euro denominated sales, as discussed above.</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shown separately below). </w:t>
      </w:r>
      <w:r>
        <w:rPr>
          <w:rFonts w:ascii="Arial" w:cs="Arial" w:eastAsia="Arial" w:hAnsi="Arial"/>
          <w:sz w:val="18"/>
          <w:szCs w:val="18"/>
          <w:color w:val="auto"/>
        </w:rPr>
        <w:t>Cost of products sold was primarily impacted by the addition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costs added with the four companies acquired during 2014 and 2015, as discussed above. Additionally, the total was impacted by increased production costs at those units that experienced higher sales volumes, as discussed above. Partially offsetting these increases was the impact of devaluation of the Euro on Euro denominated costs, as discussed above.</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The majority of the increase during 2015 was due to the selling, general and administrative costs carried over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acquired in 2014 subsequent to the first half of 2014.</w:t>
      </w:r>
    </w:p>
    <w:p>
      <w:pPr>
        <w:spacing w:after="0" w:line="170"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The increase in 2015 was due to depreciation and amortization from the four acquisitions closed in 2014. The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and amortization includes the related step-ups of certain property, plant and equipment to fair value and the addition of intangible assets principally for customer relationships and trade names related to the purchase price allocation of the new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in 2015 from the interest on the debt we undertook to complete the four acquisitions in 2014.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Other expense, net. </w:t>
      </w:r>
      <w:r>
        <w:rPr>
          <w:rFonts w:ascii="Arial" w:cs="Arial" w:eastAsia="Arial" w:hAnsi="Arial"/>
          <w:sz w:val="16"/>
          <w:szCs w:val="16"/>
          <w:color w:val="auto"/>
        </w:rPr>
        <w:t>Included in other expense, net during the first half of 2015 was $1.0 million related to foreign exchange losses on inter-company loans.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losses are a function of the depreciation of the Euro versus the U.S. Dollar.</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first half of 2015 effective tax rate of 22% is lower than the first half of 2014 effective tax rate of 32%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 mix of pre-tax income. In the first half of 2015, a larger proportion of the pre-tax income was earned in foreign jurisdictions with lower statutory rates than that of the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000" w:type="dxa"/>
            <w:vAlign w:val="bottom"/>
            <w:gridSpan w:val="2"/>
          </w:tcPr>
          <w:p>
            <w:pPr>
              <w:spacing w:after="0"/>
              <w:rPr>
                <w:sz w:val="20"/>
                <w:szCs w:val="20"/>
                <w:color w:val="auto"/>
              </w:rPr>
            </w:pPr>
            <w:r>
              <w:rPr>
                <w:rFonts w:ascii="Arial" w:cs="Arial" w:eastAsia="Arial" w:hAnsi="Arial"/>
                <w:sz w:val="14"/>
                <w:szCs w:val="14"/>
                <w:i w:val="1"/>
                <w:iCs w:val="1"/>
                <w:color w:val="auto"/>
              </w:rPr>
              <w:t>(In Thousands of Dollars)</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0" w:type="dxa"/>
            <w:vAlign w:val="bottom"/>
            <w:gridSpan w:val="7"/>
          </w:tcPr>
          <w:p>
            <w:pPr>
              <w:jc w:val="right"/>
              <w:ind w:right="11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1500" w:type="dxa"/>
            <w:vAlign w:val="bottom"/>
            <w:tcBorders>
              <w:top w:val="single" w:sz="8" w:color="auto"/>
              <w:bottom w:val="single" w:sz="8" w:color="CCEEFF"/>
            </w:tcBorders>
          </w:tcPr>
          <w:p>
            <w:pPr>
              <w:spacing w:after="0"/>
              <w:rPr>
                <w:sz w:val="12"/>
                <w:szCs w:val="12"/>
                <w:color w:val="auto"/>
              </w:rPr>
            </w:pPr>
          </w:p>
        </w:tc>
        <w:tc>
          <w:tcPr>
            <w:tcW w:w="350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r>
      <w:tr>
        <w:trPr>
          <w:trHeight w:val="210"/>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142,496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143,938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00" w:type="dxa"/>
            <w:vAlign w:val="bottom"/>
            <w:shd w:val="clear" w:color="auto" w:fill="CCEEFF"/>
          </w:tcPr>
          <w:p>
            <w:pPr>
              <w:jc w:val="right"/>
              <w:ind w:right="893"/>
              <w:spacing w:after="0"/>
              <w:rPr>
                <w:sz w:val="20"/>
                <w:szCs w:val="20"/>
                <w:color w:val="auto"/>
              </w:rPr>
            </w:pPr>
            <w:r>
              <w:rPr>
                <w:rFonts w:ascii="Arial" w:cs="Arial" w:eastAsia="Arial" w:hAnsi="Arial"/>
                <w:sz w:val="18"/>
                <w:szCs w:val="18"/>
                <w:b w:val="1"/>
                <w:bCs w:val="1"/>
                <w:color w:val="auto"/>
                <w:w w:val="87"/>
              </w:rPr>
              <w:t>(1,442)</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gridSpan w:val="2"/>
          </w:tcPr>
          <w:p>
            <w:pPr>
              <w:ind w:left="360"/>
              <w:spacing w:after="0"/>
              <w:rPr>
                <w:sz w:val="20"/>
                <w:szCs w:val="20"/>
                <w:color w:val="auto"/>
              </w:rPr>
            </w:pPr>
            <w:r>
              <w:rPr>
                <w:rFonts w:ascii="Arial" w:cs="Arial" w:eastAsia="Arial" w:hAnsi="Arial"/>
                <w:sz w:val="18"/>
                <w:szCs w:val="18"/>
                <w:i w:val="1"/>
                <w:iCs w:val="1"/>
                <w:color w:val="auto"/>
              </w:rPr>
              <w:t>Acquisitions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5,364</w:t>
            </w:r>
          </w:p>
        </w:tc>
      </w:tr>
      <w:tr>
        <w:trPr>
          <w:trHeight w:val="216"/>
        </w:trPr>
        <w:tc>
          <w:tcPr>
            <w:tcW w:w="50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(17,591)</w:t>
            </w:r>
          </w:p>
        </w:tc>
      </w:tr>
      <w:tr>
        <w:trPr>
          <w:trHeight w:val="216"/>
        </w:trPr>
        <w:tc>
          <w:tcPr>
            <w:tcW w:w="5000" w:type="dxa"/>
            <w:vAlign w:val="bottom"/>
            <w:gridSpan w:val="2"/>
          </w:tcPr>
          <w:p>
            <w:pPr>
              <w:ind w:left="360"/>
              <w:spacing w:after="0"/>
              <w:rPr>
                <w:sz w:val="20"/>
                <w:szCs w:val="20"/>
                <w:color w:val="auto"/>
              </w:rPr>
            </w:pPr>
            <w:r>
              <w:rPr>
                <w:rFonts w:ascii="Arial" w:cs="Arial" w:eastAsia="Arial" w:hAnsi="Arial"/>
                <w:sz w:val="18"/>
                <w:szCs w:val="18"/>
                <w:i w:val="1"/>
                <w:iCs w:val="1"/>
                <w:color w:val="auto"/>
              </w:rPr>
              <w:t>Volume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11,063</w:t>
            </w:r>
          </w:p>
        </w:tc>
      </w:tr>
      <w:tr>
        <w:trPr>
          <w:trHeight w:val="216"/>
        </w:trPr>
        <w:tc>
          <w:tcPr>
            <w:tcW w:w="50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Price/material inflation pass-through/mix</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(278)</w:t>
            </w:r>
          </w:p>
        </w:tc>
      </w:tr>
      <w:tr>
        <w:trPr>
          <w:trHeight w:val="234"/>
        </w:trPr>
        <w:tc>
          <w:tcPr>
            <w:tcW w:w="50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ind w:left="100"/>
              <w:spacing w:after="0"/>
              <w:rPr>
                <w:sz w:val="20"/>
                <w:szCs w:val="20"/>
                <w:color w:val="auto"/>
              </w:rPr>
            </w:pPr>
            <w:r>
              <w:rPr>
                <w:rFonts w:ascii="Arial" w:cs="Arial" w:eastAsia="Arial" w:hAnsi="Arial"/>
                <w:sz w:val="18"/>
                <w:szCs w:val="18"/>
                <w:b w:val="1"/>
                <w:bCs w:val="1"/>
                <w:color w:val="auto"/>
              </w:rPr>
              <w:t>18,491</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17,520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Pr>
          <w:p>
            <w:pPr>
              <w:jc w:val="right"/>
              <w:ind w:right="953"/>
              <w:spacing w:after="0"/>
              <w:rPr>
                <w:sz w:val="20"/>
                <w:szCs w:val="20"/>
                <w:color w:val="auto"/>
              </w:rPr>
            </w:pPr>
            <w:r>
              <w:rPr>
                <w:rFonts w:ascii="Arial" w:cs="Arial" w:eastAsia="Arial" w:hAnsi="Arial"/>
                <w:sz w:val="18"/>
                <w:szCs w:val="18"/>
                <w:b w:val="1"/>
                <w:bCs w:val="1"/>
                <w:color w:val="auto"/>
              </w:rPr>
              <w:t>971</w:t>
            </w:r>
          </w:p>
        </w:tc>
        <w:tc>
          <w:tcPr>
            <w:tcW w:w="100" w:type="dxa"/>
            <w:vAlign w:val="bottom"/>
          </w:tcPr>
          <w:p>
            <w:pPr>
              <w:spacing w:after="0"/>
              <w:rPr>
                <w:sz w:val="20"/>
                <w:szCs w:val="20"/>
                <w:color w:val="auto"/>
              </w:rPr>
            </w:pPr>
          </w:p>
        </w:tc>
      </w:tr>
    </w:tbl>
    <w:p>
      <w:pPr>
        <w:spacing w:after="0" w:line="18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Net sales increased during the first half of 2015 from the first half of 2014 principally due to greater demand for our products in the North American, Asian and European automotive and general industrial markets. This greater demand was from market share gains with our customers and from winning business with new customers. Additionally, sales increased with the addition of the companies the segment acquired subsequent to the first half of 2014. Mostly offsetting these increases was the impact of devaluation of the Euro on Euro denominated sales, as discussed above.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main drivers of the increased income from operations for the segment were $2.7 million in incremental income from the increased sales volumes, and</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$0.5 million in additional income from operations of the acquired companies. Segment income from operations was unfavorably impacted $2.2 million due to the depreciation in value of Euro denominated income from operations relative to the U.S. Dollar.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AUTOCAM PRECISION COMPONENTS SEGMENT</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6600" w:type="dxa"/>
            <w:vAlign w:val="bottom"/>
            <w:gridSpan w:val="2"/>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7"/>
          </w:tcPr>
          <w:p>
            <w:pPr>
              <w:jc w:val="right"/>
              <w:ind w:right="11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1500" w:type="dxa"/>
            <w:vAlign w:val="bottom"/>
            <w:tcBorders>
              <w:top w:val="single" w:sz="8" w:color="auto"/>
              <w:bottom w:val="single" w:sz="8" w:color="CCEEFF"/>
            </w:tcBorders>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r>
      <w:tr>
        <w:trPr>
          <w:trHeight w:val="210"/>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169,093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49,005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shd w:val="clear" w:color="auto" w:fill="CCEEFF"/>
          </w:tcPr>
          <w:p>
            <w:pPr>
              <w:jc w:val="right"/>
              <w:ind w:right="954"/>
              <w:spacing w:after="0"/>
              <w:rPr>
                <w:sz w:val="20"/>
                <w:szCs w:val="20"/>
                <w:color w:val="auto"/>
              </w:rPr>
            </w:pPr>
            <w:r>
              <w:rPr>
                <w:rFonts w:ascii="Arial" w:cs="Arial" w:eastAsia="Arial" w:hAnsi="Arial"/>
                <w:sz w:val="18"/>
                <w:szCs w:val="18"/>
                <w:b w:val="1"/>
                <w:bCs w:val="1"/>
                <w:color w:val="auto"/>
                <w:w w:val="89"/>
              </w:rPr>
              <w:t>120,088</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120,221</w:t>
            </w:r>
          </w:p>
        </w:tc>
      </w:tr>
      <w:tr>
        <w:trPr>
          <w:trHeight w:val="216"/>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(133)</w:t>
            </w:r>
          </w:p>
        </w:tc>
      </w:tr>
      <w:tr>
        <w:trPr>
          <w:trHeight w:val="234"/>
        </w:trPr>
        <w:tc>
          <w:tcPr>
            <w:tcW w:w="66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16,813</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4,868</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954"/>
              <w:spacing w:after="0"/>
              <w:rPr>
                <w:sz w:val="20"/>
                <w:szCs w:val="20"/>
                <w:color w:val="auto"/>
              </w:rPr>
            </w:pPr>
            <w:r>
              <w:rPr>
                <w:rFonts w:ascii="Arial" w:cs="Arial" w:eastAsia="Arial" w:hAnsi="Arial"/>
                <w:sz w:val="18"/>
                <w:szCs w:val="18"/>
                <w:b w:val="1"/>
                <w:bCs w:val="1"/>
                <w:color w:val="auto"/>
              </w:rPr>
              <w:t>11,945</w:t>
            </w:r>
          </w:p>
        </w:tc>
        <w:tc>
          <w:tcPr>
            <w:tcW w:w="100" w:type="dxa"/>
            <w:vAlign w:val="bottom"/>
          </w:tcPr>
          <w:p>
            <w:pPr>
              <w:spacing w:after="0"/>
              <w:rPr>
                <w:sz w:val="20"/>
                <w:szCs w:val="20"/>
                <w:color w:val="auto"/>
              </w:rPr>
            </w:pPr>
          </w:p>
        </w:tc>
      </w:tr>
    </w:tbl>
    <w:p>
      <w:pPr>
        <w:spacing w:after="0" w:line="1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increased sales in the first half of 2015 were due to sales added with the acquisition subsequent to the first half of 2014. Income from operations of the acquisition added $12.2 million to segment income from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500" w:type="dxa"/>
            <w:vAlign w:val="bottom"/>
            <w:gridSpan w:val="2"/>
          </w:tcPr>
          <w:p>
            <w:pPr>
              <w:spacing w:after="0"/>
              <w:rPr>
                <w:sz w:val="20"/>
                <w:szCs w:val="20"/>
                <w:color w:val="auto"/>
              </w:rPr>
            </w:pPr>
            <w:r>
              <w:rPr>
                <w:rFonts w:ascii="Arial" w:cs="Arial" w:eastAsia="Arial" w:hAnsi="Arial"/>
                <w:sz w:val="14"/>
                <w:szCs w:val="14"/>
                <w:i w:val="1"/>
                <w:iCs w:val="1"/>
                <w:color w:val="auto"/>
              </w:rPr>
              <w:t>(In Thousands of Dollars)</w:t>
            </w:r>
          </w:p>
        </w:tc>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8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42"/>
        </w:trPr>
        <w:tc>
          <w:tcPr>
            <w:tcW w:w="1500" w:type="dxa"/>
            <w:vAlign w:val="bottom"/>
            <w:tcBorders>
              <w:top w:val="single" w:sz="8" w:color="auto"/>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17,012</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16,265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ind w:right="713"/>
              <w:spacing w:after="0"/>
              <w:rPr>
                <w:sz w:val="20"/>
                <w:szCs w:val="20"/>
                <w:color w:val="auto"/>
              </w:rPr>
            </w:pPr>
            <w:r>
              <w:rPr>
                <w:rFonts w:ascii="Arial" w:cs="Arial" w:eastAsia="Arial" w:hAnsi="Arial"/>
                <w:sz w:val="18"/>
                <w:szCs w:val="18"/>
                <w:b w:val="1"/>
                <w:bCs w:val="1"/>
                <w:color w:val="auto"/>
                <w:w w:val="79"/>
              </w:rPr>
              <w:t>747</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gridSpan w:val="2"/>
          </w:tcPr>
          <w:p>
            <w:pPr>
              <w:ind w:left="360"/>
              <w:spacing w:after="0"/>
              <w:rPr>
                <w:sz w:val="20"/>
                <w:szCs w:val="20"/>
                <w:color w:val="auto"/>
              </w:rPr>
            </w:pPr>
            <w:r>
              <w:rPr>
                <w:rFonts w:ascii="Arial" w:cs="Arial" w:eastAsia="Arial" w:hAnsi="Arial"/>
                <w:sz w:val="18"/>
                <w:szCs w:val="18"/>
                <w:i w:val="1"/>
                <w:iCs w:val="1"/>
                <w:color w:val="auto"/>
              </w:rPr>
              <w:t>Acquisitions</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736</w:t>
            </w:r>
          </w:p>
        </w:tc>
      </w:tr>
      <w:tr>
        <w:trPr>
          <w:trHeight w:val="216"/>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Volume</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212</w:t>
            </w:r>
          </w:p>
        </w:tc>
      </w:tr>
      <w:tr>
        <w:trPr>
          <w:trHeight w:val="216"/>
        </w:trPr>
        <w:tc>
          <w:tcPr>
            <w:tcW w:w="4500" w:type="dxa"/>
            <w:vAlign w:val="bottom"/>
            <w:gridSpan w:val="2"/>
          </w:tcPr>
          <w:p>
            <w:pPr>
              <w:ind w:left="360"/>
              <w:spacing w:after="0"/>
              <w:rPr>
                <w:sz w:val="20"/>
                <w:szCs w:val="20"/>
                <w:color w:val="auto"/>
              </w:rPr>
            </w:pPr>
            <w:r>
              <w:rPr>
                <w:rFonts w:ascii="Arial" w:cs="Arial" w:eastAsia="Arial" w:hAnsi="Arial"/>
                <w:sz w:val="18"/>
                <w:szCs w:val="18"/>
                <w:i w:val="1"/>
                <w:iCs w:val="1"/>
                <w:color w:val="auto"/>
              </w:rPr>
              <w:t>Price/mix/inflation</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(201)</w:t>
            </w: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714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ind w:right="713"/>
              <w:spacing w:after="0"/>
              <w:rPr>
                <w:sz w:val="20"/>
                <w:szCs w:val="20"/>
                <w:color w:val="auto"/>
              </w:rPr>
            </w:pPr>
            <w:r>
              <w:rPr>
                <w:rFonts w:ascii="Arial" w:cs="Arial" w:eastAsia="Arial" w:hAnsi="Arial"/>
                <w:sz w:val="18"/>
                <w:szCs w:val="18"/>
                <w:b w:val="1"/>
                <w:bCs w:val="1"/>
                <w:color w:val="auto"/>
              </w:rPr>
              <w:t>65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sales and net income was primarily due to the acquisition of Caprock during the second quarter of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 from December 31, 2014 to June 30, 2015.</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From December 31, 2014 to June 30, 2015, our total assets decreased $3.8 million and our current assets decreased $2.1 million. Foreign exchange translation impacted the balance sheet when comparing changes in account balances from December 31, 2014 to June 30, 2015 by decreasing total assets $19.1 million and current assets $7.4 million.</w:t>
      </w:r>
    </w:p>
    <w:p>
      <w:pPr>
        <w:spacing w:after="0" w:line="18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acquisition of Caprock added $2.0 million in current assets and $9.6 million in total assets. Additionally, the accounts receivable balance at June 30, 2015, was $17.3 million higher due to increased sales volume experienced in June and May of 2015 compared with sales levels in December and November of 2014. The day’s sales outstanding at June 30, 2015 were up slightly from the day’s sales outstanding at December 31, 2014 due to higher sales volumes with certain customers that have extended credit terms. The accounts receivable increase was largely offset by a reduction in cash balances of $15.9 million due to funding the investments in working capital and capital expenditures in the first half of 2015.</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From December 31, 2014 to June 30, 2015, our total liabilities decreased $3.6 million primarily related to the devaluation of Euro denominated liabilities.</w:t>
      </w:r>
    </w:p>
    <w:p>
      <w:pPr>
        <w:spacing w:after="0" w:line="24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Working capital, which consists principally of accounts receivable and inventories offset by accounts payable and current maturities of long-term debt, was $112.0 million at June 30, 2015, compared to $105.2 million at December 31, 2014. The increase in working capital was due primarily to the increase in accounts receivable, the reduction in cash and the addition of net working capital from the Caprock acquisition, as discussed above.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operations was $4.3 million in the first half of 2015 compared with cash provided by operations of $5.7 million in the first half of 2014.</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difference was increased working capital from higher sales levels in 2015.</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Cash used by investing activities was $26.1 million in the first half of 2015 compared with cash used by investing activities of $22 million in the same period of 2014. Higher spending on acquisition of property, plant and equipment primarily related to Autocam was partially offset by lower spending on cash to acquire businesses.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Cash provided by financing activities was $6.4 million in the first half of 2015, compared with cash provided by financing activities of $19.1 million during the same period in 2014. The difference was primarily related to using debt to fund the acquisitions of VS and RFK in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Amounts outstanding under our $350.0 million term loan facility and our $100.0 million asset backed revolver as of June 30, 2015, were $331.6 million and $17.0 million respectively. As of June 30, 2015, we can borrow up to $40.4 million under our asset backed revolver subject to limitations based on our U.S. and The Netherlands borrowing base calculations, which is calculated based on our accounts receivable and inventory. The $40.4 million of availability is net of $2.2 million of outstanding letters of credit at June 30, 2015, which are considered as usage of the facility. The only financial covenant within our debt agreements is a springing fixed charge coverage covenant if our availability under the asset backed revolver is less than $8.0 million.</w:t>
      </w:r>
    </w:p>
    <w:p>
      <w:pPr>
        <w:spacing w:after="0" w:line="15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$350.0 million term loan facility requires us to pay 5% or $17.5 million each year for the next seven years against the principal of the note. Additionally, based on the outstanding balance at June 30, 2015, the annual interest payments on the $331.6 million term loan would be $19.9 million. We believe that funds generated from operations will provide sufficient cash flow to service these required debt payments.</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Many of our locations use the Euro as their functional currency. In the first half of 2015, the fluctuation of the Euro against the U.S. Dollar unfavorably impacted the translation of revenue and net income. As of June 30, 2015, no currency hedges were in place. Changes in value of the U.S. Dollar and/or Euro against foreign currencies could impair our ability to compete with international competitors for foreign as well as domestic sales.</w:t>
      </w:r>
    </w:p>
    <w:p>
      <w:pPr>
        <w:spacing w:after="0" w:line="16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have made planned capital expenditures totaling $16.2 million as of June 30, 2015. During 2015, we expect to spend between $45.0 to $55.0 million on capital expenditures, the majority of which relate to new or expanded business. We believe that funds generated from operations and borrowings from our credit facilities will be sufficient to finance our capital expenditures and working capital needs through June 2016. We base this assertion on our current availability for borrowing of up to $40.4 million and our forecasted positive cash flow from operations for the remainder of 2015.</w:t>
      </w:r>
    </w:p>
    <w:p>
      <w:pPr>
        <w:spacing w:after="0" w:line="15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July 1, 2015, we closed an underwritten registered public offering of common stock offered pursuant to a shelf registration statement on Form S-3 that was previously filed with, and declared effective by, the SEC. The total number of shares of common stock sold was 7.59 million at a public offering price of $24.00 per share. All of the shares in the offering were sold by NN. The net proceeds to NN from the offering, after deducting underwriting discounts and commissions and offering expenses, were approximately $173 million. Of these proceeds, $148.7 million was used for repayment of principal and interest on our Term Loan B and ABL Revolver subsequent to quarter end and the remainder is currently being held in cash.</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Historically, our net sales in the Metal Bearing Components Segment have been of a seasonal nature as a substantial portion of our sales are to European customers who have significantly slower production during the month of August.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our Annual Report on Form 10-K for the year ended December 31, 2014, which was filed with the SEC on March 16, 2015, including those policies as discussed in Note 1 to the Notes to Consolidated Financial Statements included in our Annual Report on Form 10-K for the year ended December 31, 2014, which we filed with the SEC on March 16, 2015. There have been no changes to these policies during the three month period ended June 30, 2015.</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June 30, 2015, we had $331.6 million outstanding under our variable rate revolving credit facilities. See Note 6 of the Notes to Condensed Consolidated Financial Statements in this Quarterly Report on Form 10-Q. At June 30, 2015, a one-percent increase in the interest rate charged on our outstanding variable rate borrowings would result in interest expense increasing annually by approximately $3.3 million.</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We did not hold a position in any foreign currency hedging instruments as of June 30, 2015.</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evaluation of the effectiveness of our disclosure controls and procedures (as defined in Rule 13a-15(e) and 15d-15(e) of the Securities Exchange Act of 1934 (the “Exchange Act”)). Our disclosure controls are designed to ensure that material information relating to us is made known to our Chief Executive Officer and Chief Financial Officer by others within our organization. Based upon that evaluation, our Chief Executive Officer and Chief Financial Officer concluded that our disclosure controls and procedures are effective as of June 30, 2015 to ensure that information required to be disclosed in the reports that we file under the Exchange Act is recorded, processed, summarized and reported within the time periods specified in the SEC’s rules and forms, and is accumulated and communicated to management, including our Chief Executive Officer and Chief Financial Officer, as appropriate, to allow for timely decisions regarding required disclosure.</w:t>
      </w:r>
    </w:p>
    <w:p>
      <w:pPr>
        <w:spacing w:after="0" w:line="1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have been no changes in the fiscal quarter ended June 30, 2015 in our internal control over financial reporting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Brazil ICMS Tax Matter</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Prior to our acquisition of Autocam,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processes. Autocam Brazil filed an administrative defense with the Brazilian tax authority arguing, among other matters, that it should qualify for ICMS tax credit, contending that the intermediary materials are directly related to the manufacturing process.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believe that we have substantial legal and factual defenses and plan to defend our interests in this matter vigorously. While we believe a loss is not probable, we estimate the range of possible loss related to this assessment is from $0 to $6,000. No amount was accrued at June 30, 2015 for this matter. There has been no change in the status of this matter from December 31, 2014 to June 30, 2015.</w:t>
      </w:r>
    </w:p>
    <w:p>
      <w:pPr>
        <w:spacing w:after="0" w:line="16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are entitled to indemnification from the former shareholders of Autocam, subject to the limitations and procedures set forth in the agreement and plan of merger. Management believes the indemnification would include amounts owed for the tax, interest and penalties related to this matter.</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2014, which was filed with the SEC on March 16, 2015 under Item 1A. “Risk Factors.” There have been no material changes to these risk factors since December 31, 2014.</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withheld the following shares of common stock to satisfy tax withholding obligations during the second quarter of 2015 from the distributions described below. These shares may be deemed to be “issuer purchases” of shares that are required to be disclosed pursuant to this Item.</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8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8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Shares That May</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Total Number of</w:t>
            </w:r>
          </w:p>
        </w:tc>
        <w:tc>
          <w:tcPr>
            <w:tcW w:w="1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Price Paid</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820" w:type="dxa"/>
            <w:vAlign w:val="bottom"/>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060" w:type="dxa"/>
            <w:vAlign w:val="bottom"/>
            <w:gridSpan w:val="3"/>
            <w:vMerge w:val="continue"/>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8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Under the Plan or</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20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89"/>
              </w:rPr>
              <w:t>Shares Purchased</w:t>
            </w:r>
            <w:r>
              <w:rPr>
                <w:rFonts w:ascii="Arial" w:cs="Arial" w:eastAsia="Arial" w:hAnsi="Arial"/>
                <w:sz w:val="12"/>
                <w:szCs w:val="12"/>
                <w:b w:val="1"/>
                <w:bCs w:val="1"/>
                <w:color w:val="auto"/>
                <w:w w:val="89"/>
              </w:rPr>
              <w:t>(1)</w:t>
            </w:r>
          </w:p>
        </w:tc>
        <w:tc>
          <w:tcPr>
            <w:tcW w:w="180" w:type="dxa"/>
            <w:vAlign w:val="bottom"/>
          </w:tcPr>
          <w:p>
            <w:pPr>
              <w:spacing w:after="0"/>
              <w:rPr>
                <w:sz w:val="14"/>
                <w:szCs w:val="14"/>
                <w:color w:val="auto"/>
              </w:rPr>
            </w:pPr>
          </w:p>
        </w:tc>
        <w:tc>
          <w:tcPr>
            <w:tcW w:w="180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 Share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Programs</w:t>
            </w:r>
            <w:r>
              <w:rPr>
                <w:rFonts w:ascii="Arial" w:cs="Arial" w:eastAsia="Arial" w:hAnsi="Arial"/>
                <w:sz w:val="12"/>
                <w:szCs w:val="12"/>
                <w:b w:val="1"/>
                <w:bCs w:val="1"/>
                <w:color w:val="auto"/>
                <w:w w:val="92"/>
              </w:rPr>
              <w:t>(1)</w:t>
            </w:r>
          </w:p>
        </w:tc>
        <w:tc>
          <w:tcPr>
            <w:tcW w:w="82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Programs</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w:t>
            </w:r>
          </w:p>
        </w:tc>
        <w:tc>
          <w:tcPr>
            <w:tcW w:w="2680" w:type="dxa"/>
            <w:vAlign w:val="bottom"/>
            <w:tcBorders>
              <w:top w:val="single" w:sz="8" w:color="CCEEFF"/>
            </w:tcBorders>
            <w:shd w:val="clear" w:color="auto" w:fill="CCEEFF"/>
          </w:tcPr>
          <w:p>
            <w:pPr>
              <w:jc w:val="right"/>
              <w:ind w:right="2210"/>
              <w:spacing w:after="0"/>
              <w:rPr>
                <w:sz w:val="20"/>
                <w:szCs w:val="20"/>
                <w:color w:val="auto"/>
              </w:rPr>
            </w:pPr>
            <w:r>
              <w:rPr>
                <w:rFonts w:ascii="Arial" w:cs="Arial" w:eastAsia="Arial" w:hAnsi="Arial"/>
                <w:sz w:val="18"/>
                <w:szCs w:val="18"/>
                <w:color w:val="auto"/>
                <w:w w:val="89"/>
              </w:rPr>
              <w:t>2015</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ind w:left="554"/>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May 2015</w:t>
            </w:r>
          </w:p>
        </w:tc>
        <w:tc>
          <w:tcPr>
            <w:tcW w:w="206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2015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28.12</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0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jc w:val="right"/>
              <w:spacing w:after="0"/>
              <w:rPr>
                <w:sz w:val="20"/>
                <w:szCs w:val="20"/>
                <w:color w:val="auto"/>
              </w:rPr>
            </w:pPr>
            <w:r>
              <w:rPr>
                <w:rFonts w:ascii="Arial" w:cs="Arial" w:eastAsia="Arial" w:hAnsi="Arial"/>
                <w:sz w:val="18"/>
                <w:szCs w:val="18"/>
                <w:color w:val="auto"/>
              </w:rPr>
              <w:t>2,083</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28.12</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right="4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were withheld to pay for tax obligations due upon the vesting of restricted stock held by certain employees granted under the NN, Inc. 2011 Stock Incentive Plan. The NN, Inc. 2011 Stock Incentive Plan provides for the withholding of shares to satisfy tax obligations. It does not specify a maximum number of shares that can be withheld for this purpose. These shares may be deemed to be “issuer purchases” of shares that are required to be disclosed pursuant to this Item.</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0"/>
          </w:cols>
          <w:pgMar w:left="24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0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431"/>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10400" w:type="dxa"/>
            <w:vAlign w:val="bottom"/>
          </w:tcPr>
          <w:p>
            <w:pPr>
              <w:ind w:left="300"/>
              <w:spacing w:after="0"/>
              <w:rPr>
                <w:sz w:val="20"/>
                <w:szCs w:val="20"/>
                <w:color w:val="auto"/>
              </w:rPr>
            </w:pPr>
            <w:r>
              <w:rPr>
                <w:rFonts w:ascii="Arial" w:cs="Arial" w:eastAsia="Arial" w:hAnsi="Arial"/>
                <w:sz w:val="18"/>
                <w:szCs w:val="18"/>
                <w:color w:val="auto"/>
                <w:w w:val="93"/>
              </w:rPr>
              <w:t>Form of Performance Share Unit Agreement (incorporated by reference to Exhibit 10.1 to NN, Inc.’s Current Report on Form 8-K filed on</w:t>
            </w:r>
          </w:p>
        </w:tc>
      </w:tr>
      <w:tr>
        <w:trPr>
          <w:trHeight w:val="230"/>
        </w:trPr>
        <w:tc>
          <w:tcPr>
            <w:tcW w:w="860" w:type="dxa"/>
            <w:vAlign w:val="bottom"/>
          </w:tcPr>
          <w:p>
            <w:pPr>
              <w:spacing w:after="0"/>
              <w:rPr>
                <w:sz w:val="20"/>
                <w:szCs w:val="20"/>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May 6, 2015).</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400" w:type="dxa"/>
            <w:vAlign w:val="bottom"/>
          </w:tcPr>
          <w:p>
            <w:pPr>
              <w:ind w:left="300"/>
              <w:spacing w:after="0"/>
              <w:rPr>
                <w:sz w:val="20"/>
                <w:szCs w:val="20"/>
                <w:color w:val="auto"/>
              </w:rPr>
            </w:pPr>
            <w:r>
              <w:rPr>
                <w:rFonts w:ascii="Arial" w:cs="Arial" w:eastAsia="Arial" w:hAnsi="Arial"/>
                <w:sz w:val="18"/>
                <w:szCs w:val="18"/>
                <w:color w:val="auto"/>
                <w:w w:val="90"/>
              </w:rPr>
              <w:t>Certification of Chief Executive Officer Pursuant to Rules 13a-14(a) and 15d-14(a) under the Securities Exchange Act of 1934, as amended.</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0400" w:type="dxa"/>
            <w:vAlign w:val="bottom"/>
          </w:tcPr>
          <w:p>
            <w:pPr>
              <w:ind w:left="300"/>
              <w:spacing w:after="0"/>
              <w:rPr>
                <w:sz w:val="20"/>
                <w:szCs w:val="20"/>
                <w:color w:val="auto"/>
              </w:rPr>
            </w:pPr>
            <w:r>
              <w:rPr>
                <w:rFonts w:ascii="Arial" w:cs="Arial" w:eastAsia="Arial" w:hAnsi="Arial"/>
                <w:sz w:val="18"/>
                <w:szCs w:val="18"/>
                <w:color w:val="auto"/>
                <w:w w:val="91"/>
              </w:rPr>
              <w:t>Certification of Chief Financial Officer Pursuant to Rules 13a-14(a) and 15d-14(a) under the Securities Exchange Act of 1934, as amended.</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10400" w:type="dxa"/>
            <w:vAlign w:val="bottom"/>
          </w:tcPr>
          <w:p>
            <w:pPr>
              <w:ind w:left="30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10400" w:type="dxa"/>
            <w:vAlign w:val="bottom"/>
          </w:tcPr>
          <w:p>
            <w:pPr>
              <w:ind w:left="30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Taxonomy Extension Service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400" w:type="dxa"/>
            <w:vAlign w:val="bottom"/>
          </w:tcPr>
          <w:p>
            <w:pPr>
              <w:ind w:left="300"/>
              <w:spacing w:after="0"/>
              <w:rPr>
                <w:sz w:val="20"/>
                <w:szCs w:val="20"/>
                <w:color w:val="auto"/>
              </w:rPr>
            </w:pPr>
            <w:r>
              <w:rPr>
                <w:rFonts w:ascii="Arial" w:cs="Arial" w:eastAsia="Arial" w:hAnsi="Arial"/>
                <w:sz w:val="18"/>
                <w:szCs w:val="18"/>
                <w:color w:val="auto"/>
              </w:rPr>
              <w:t>Taxonomy Calculation Linkbase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400" w:type="dxa"/>
            <w:vAlign w:val="bottom"/>
          </w:tcPr>
          <w:p>
            <w:pPr>
              <w:ind w:left="300"/>
              <w:spacing w:after="0"/>
              <w:rPr>
                <w:sz w:val="20"/>
                <w:szCs w:val="20"/>
                <w:color w:val="auto"/>
              </w:rPr>
            </w:pPr>
            <w:r>
              <w:rPr>
                <w:rFonts w:ascii="Arial" w:cs="Arial" w:eastAsia="Arial" w:hAnsi="Arial"/>
                <w:sz w:val="18"/>
                <w:szCs w:val="18"/>
                <w:color w:val="auto"/>
              </w:rPr>
              <w:t>XBRLTaxonomy Label Linkbase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400" w:type="dxa"/>
            <w:vAlign w:val="bottom"/>
          </w:tcPr>
          <w:p>
            <w:pPr>
              <w:ind w:left="300"/>
              <w:spacing w:after="0"/>
              <w:rPr>
                <w:sz w:val="20"/>
                <w:szCs w:val="20"/>
                <w:color w:val="auto"/>
              </w:rPr>
            </w:pPr>
            <w:r>
              <w:rPr>
                <w:rFonts w:ascii="Arial" w:cs="Arial" w:eastAsia="Arial" w:hAnsi="Arial"/>
                <w:sz w:val="18"/>
                <w:szCs w:val="18"/>
                <w:color w:val="auto"/>
              </w:rPr>
              <w:t>XBRL Definition Linkbase Document</w:t>
            </w:r>
          </w:p>
        </w:tc>
      </w:tr>
      <w:tr>
        <w:trPr>
          <w:trHeight w:val="365"/>
        </w:trPr>
        <w:tc>
          <w:tcPr>
            <w:tcW w:w="860" w:type="dxa"/>
            <w:vAlign w:val="bottom"/>
          </w:tcPr>
          <w:p>
            <w:pPr>
              <w:spacing w:after="0"/>
              <w:rPr>
                <w:sz w:val="24"/>
                <w:szCs w:val="24"/>
                <w:color w:val="auto"/>
              </w:rPr>
            </w:pPr>
          </w:p>
        </w:tc>
        <w:tc>
          <w:tcPr>
            <w:tcW w:w="10400" w:type="dxa"/>
            <w:vAlign w:val="bottom"/>
          </w:tcPr>
          <w:p>
            <w:pPr>
              <w:ind w:left="476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260"/>
          </w:cols>
          <w:pgMar w:left="240" w:top="459"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NN, Inc.</w:t>
            </w:r>
          </w:p>
        </w:tc>
      </w:tr>
      <w:tr>
        <w:trPr>
          <w:trHeight w:val="224"/>
        </w:trPr>
        <w:tc>
          <w:tcPr>
            <w:tcW w:w="35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(Registrant)</w:t>
            </w:r>
          </w:p>
        </w:tc>
      </w:tr>
      <w:tr>
        <w:trPr>
          <w:trHeight w:val="539"/>
        </w:trPr>
        <w:tc>
          <w:tcPr>
            <w:tcW w:w="3580" w:type="dxa"/>
            <w:vAlign w:val="bottom"/>
          </w:tcPr>
          <w:p>
            <w:pPr>
              <w:spacing w:after="0"/>
              <w:rPr>
                <w:sz w:val="20"/>
                <w:szCs w:val="20"/>
                <w:color w:val="auto"/>
              </w:rPr>
            </w:pPr>
            <w:r>
              <w:rPr>
                <w:rFonts w:ascii="Arial" w:cs="Arial" w:eastAsia="Arial" w:hAnsi="Arial"/>
                <w:sz w:val="18"/>
                <w:szCs w:val="18"/>
                <w:color w:val="auto"/>
              </w:rPr>
              <w:t>Date: August 6, 2015</w:t>
            </w:r>
          </w:p>
        </w:tc>
        <w:tc>
          <w:tcPr>
            <w:tcW w:w="250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Richard D. Holder</w:t>
            </w:r>
          </w:p>
        </w:tc>
      </w:tr>
      <w:tr>
        <w:trPr>
          <w:trHeight w:val="195"/>
        </w:trPr>
        <w:tc>
          <w:tcPr>
            <w:tcW w:w="3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Richard D. Holder,</w:t>
            </w:r>
          </w:p>
        </w:tc>
      </w:tr>
      <w:tr>
        <w:trPr>
          <w:trHeight w:val="216"/>
        </w:trPr>
        <w:tc>
          <w:tcPr>
            <w:tcW w:w="3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(Duly Authorized Officer)</w:t>
            </w:r>
          </w:p>
        </w:tc>
      </w:tr>
      <w:tr>
        <w:trPr>
          <w:trHeight w:val="567"/>
        </w:trPr>
        <w:tc>
          <w:tcPr>
            <w:tcW w:w="3580" w:type="dxa"/>
            <w:vAlign w:val="bottom"/>
          </w:tcPr>
          <w:p>
            <w:pPr>
              <w:spacing w:after="0"/>
              <w:rPr>
                <w:sz w:val="20"/>
                <w:szCs w:val="20"/>
                <w:color w:val="auto"/>
              </w:rPr>
            </w:pPr>
            <w:r>
              <w:rPr>
                <w:rFonts w:ascii="Arial" w:cs="Arial" w:eastAsia="Arial" w:hAnsi="Arial"/>
                <w:sz w:val="18"/>
                <w:szCs w:val="18"/>
                <w:color w:val="auto"/>
              </w:rPr>
              <w:t>Date: August 6, 2015</w:t>
            </w:r>
          </w:p>
        </w:tc>
        <w:tc>
          <w:tcPr>
            <w:tcW w:w="250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James H. Dorton</w:t>
            </w:r>
          </w:p>
        </w:tc>
      </w:tr>
      <w:tr>
        <w:trPr>
          <w:trHeight w:val="195"/>
        </w:trPr>
        <w:tc>
          <w:tcPr>
            <w:tcW w:w="3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James H. Dorton</w:t>
            </w:r>
          </w:p>
        </w:tc>
      </w:tr>
      <w:tr>
        <w:trPr>
          <w:trHeight w:val="216"/>
        </w:trPr>
        <w:tc>
          <w:tcPr>
            <w:tcW w:w="3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Senior Vice President – Corporate Development and</w:t>
            </w:r>
          </w:p>
        </w:tc>
      </w:tr>
      <w:tr>
        <w:trPr>
          <w:trHeight w:val="216"/>
        </w:trPr>
        <w:tc>
          <w:tcPr>
            <w:tcW w:w="3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3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r>
        <w:trPr>
          <w:trHeight w:val="230"/>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(Duly Authorized Officer)</w:t>
            </w:r>
          </w:p>
        </w:tc>
      </w:tr>
      <w:tr>
        <w:trPr>
          <w:trHeight w:val="567"/>
        </w:trPr>
        <w:tc>
          <w:tcPr>
            <w:tcW w:w="3580" w:type="dxa"/>
            <w:vAlign w:val="bottom"/>
          </w:tcPr>
          <w:p>
            <w:pPr>
              <w:spacing w:after="0"/>
              <w:rPr>
                <w:sz w:val="20"/>
                <w:szCs w:val="20"/>
                <w:color w:val="auto"/>
              </w:rPr>
            </w:pPr>
            <w:r>
              <w:rPr>
                <w:rFonts w:ascii="Arial" w:cs="Arial" w:eastAsia="Arial" w:hAnsi="Arial"/>
                <w:sz w:val="18"/>
                <w:szCs w:val="18"/>
                <w:color w:val="auto"/>
              </w:rPr>
              <w:t>Date: August 6, 2015</w:t>
            </w:r>
          </w:p>
        </w:tc>
        <w:tc>
          <w:tcPr>
            <w:tcW w:w="250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Thomas C. Burwell, Jr.</w:t>
            </w:r>
          </w:p>
        </w:tc>
      </w:tr>
      <w:tr>
        <w:trPr>
          <w:trHeight w:val="195"/>
        </w:trPr>
        <w:tc>
          <w:tcPr>
            <w:tcW w:w="3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Thomas C. Burwell, Jr.</w:t>
            </w:r>
          </w:p>
        </w:tc>
      </w:tr>
      <w:tr>
        <w:trPr>
          <w:trHeight w:val="216"/>
        </w:trPr>
        <w:tc>
          <w:tcPr>
            <w:tcW w:w="3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Vice President, Chief Accounting Officer and</w:t>
            </w:r>
          </w:p>
        </w:tc>
      </w:tr>
      <w:tr>
        <w:trPr>
          <w:trHeight w:val="216"/>
        </w:trPr>
        <w:tc>
          <w:tcPr>
            <w:tcW w:w="3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Corporate Controller</w:t>
            </w:r>
          </w:p>
        </w:tc>
      </w:tr>
      <w:tr>
        <w:trPr>
          <w:trHeight w:val="216"/>
        </w:trPr>
        <w:tc>
          <w:tcPr>
            <w:tcW w:w="3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(Duly Authorized Officer)</w:t>
            </w:r>
          </w:p>
        </w:tc>
      </w:tr>
      <w:tr>
        <w:trPr>
          <w:trHeight w:val="378"/>
        </w:trPr>
        <w:tc>
          <w:tcPr>
            <w:tcW w:w="3580" w:type="dxa"/>
            <w:vAlign w:val="bottom"/>
          </w:tcPr>
          <w:p>
            <w:pPr>
              <w:spacing w:after="0"/>
              <w:rPr>
                <w:sz w:val="24"/>
                <w:szCs w:val="24"/>
                <w:color w:val="auto"/>
              </w:rPr>
            </w:pPr>
          </w:p>
        </w:tc>
        <w:tc>
          <w:tcPr>
            <w:tcW w:w="2500" w:type="dxa"/>
            <w:vAlign w:val="bottom"/>
          </w:tcPr>
          <w:p>
            <w:pPr>
              <w:jc w:val="right"/>
              <w:ind w:right="190"/>
              <w:spacing w:after="0"/>
              <w:rPr>
                <w:sz w:val="20"/>
                <w:szCs w:val="20"/>
                <w:color w:val="auto"/>
              </w:rPr>
            </w:pPr>
            <w:r>
              <w:rPr>
                <w:rFonts w:ascii="Arial" w:cs="Arial" w:eastAsia="Arial" w:hAnsi="Arial"/>
                <w:sz w:val="18"/>
                <w:szCs w:val="18"/>
                <w:color w:val="auto"/>
              </w:rPr>
              <w:t>26</w:t>
            </w:r>
          </w:p>
        </w:tc>
        <w:tc>
          <w:tcPr>
            <w:tcW w:w="5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26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90"/>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Form of Performance Share Unit Agreement (incorporated by reference to Exhibit 10.1 to NN, Inc.’s Current Report on Form 8-K filed on</w:t>
            </w:r>
          </w:p>
        </w:tc>
      </w:tr>
      <w:tr>
        <w:trPr>
          <w:trHeight w:val="230"/>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May 6, 2015).</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Certification of Chief Executive Officer Pursuant to Rules 13a-14(a) and 15d-14(a) under the Securities Exchange Act of 1934, as amended.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Certification of Chief Financial Officer Pursuant to Rules 13a-14(a) and 15d-14(a) under the Securities Exchange Act of 1934, as amended.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Service</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spacing w:after="0"/>
              <w:rPr>
                <w:sz w:val="20"/>
                <w:szCs w:val="20"/>
                <w:color w:val="auto"/>
              </w:rPr>
            </w:pPr>
            <w:r>
              <w:rPr>
                <w:rFonts w:ascii="Arial" w:cs="Arial" w:eastAsia="Arial" w:hAnsi="Arial"/>
                <w:sz w:val="18"/>
                <w:szCs w:val="18"/>
                <w:color w:val="auto"/>
              </w:rPr>
              <w:t>Taxonomy Calculation Linkbase</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spacing w:after="0"/>
              <w:rPr>
                <w:sz w:val="20"/>
                <w:szCs w:val="20"/>
                <w:color w:val="auto"/>
              </w:rPr>
            </w:pPr>
            <w:r>
              <w:rPr>
                <w:rFonts w:ascii="Arial" w:cs="Arial" w:eastAsia="Arial" w:hAnsi="Arial"/>
                <w:sz w:val="18"/>
                <w:szCs w:val="18"/>
                <w:color w:val="auto"/>
              </w:rPr>
              <w:t>XBRLTaxonomy Label Linkbase</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tcPr>
          <w:p>
            <w:pPr>
              <w:spacing w:after="0"/>
              <w:rPr>
                <w:sz w:val="20"/>
                <w:szCs w:val="20"/>
                <w:color w:val="auto"/>
              </w:rPr>
            </w:pPr>
            <w:r>
              <w:rPr>
                <w:rFonts w:ascii="Arial" w:cs="Arial" w:eastAsia="Arial" w:hAnsi="Arial"/>
                <w:sz w:val="18"/>
                <w:szCs w:val="18"/>
                <w:color w:val="auto"/>
              </w:rPr>
              <w:t>XBRL Definition Linkbase Document</w:t>
            </w:r>
          </w:p>
        </w:tc>
      </w:tr>
      <w:tr>
        <w:trPr>
          <w:trHeight w:val="365"/>
        </w:trPr>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459"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D. Holder, certify that:</w:t>
      </w:r>
    </w:p>
    <w:p>
      <w:pPr>
        <w:spacing w:after="0" w:line="13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220" w:right="620" w:hanging="212"/>
        <w:spacing w:after="0" w:line="308" w:lineRule="auto"/>
        <w:tabs>
          <w:tab w:leader="none" w:pos="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August 6, 2015</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Richard D. Holder</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Richard D. Holder</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13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August 6, 2015</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James H. Dorton</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James H. Dorton</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Senior Vice President - Chief Financial Officer</w:t>
            </w:r>
          </w:p>
        </w:tc>
      </w:tr>
    </w:tbl>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Quarterly Report of NN, Inc. (the “Company”) on Form 10-Q for the interim period ended June 30, 2015,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August 6, 2015</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Richard D. Holder</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Richard D. Holder</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Quarterly Report of NN, Inc. (the “Company”) on Form 10-Q for the interim period ended June 30, 2015,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August 6, 2015</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James H. Dorton</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James H. Dorton</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Senior Vice President – 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2019-12-29T17:30:31Z</dcterms:created>
  <dcterms:modified xsi:type="dcterms:W3CDTF">2019-12-29T17:30:31Z</dcterms:modified>
</cp:coreProperties>
</file>