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Veltman Warren A</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09/09/2014</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2"/>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74"/>
            <w:col w:w="6226"/>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34"/>
        <w:spacing w:after="0" w:line="268" w:lineRule="auto"/>
        <w:rPr>
          <w:sz w:val="20"/>
          <w:szCs w:val="20"/>
          <w:color w:val="auto"/>
        </w:rPr>
      </w:pPr>
      <w:r>
        <w:rPr>
          <w:rFonts w:ascii="Arial" w:cs="Arial" w:eastAsia="Arial" w:hAnsi="Arial"/>
          <w:sz w:val="18"/>
          <w:szCs w:val="18"/>
          <w:color w:val="0000FF"/>
        </w:rPr>
        <w:t>2000 WATERS EDGE DRIVE, BUILDING C, SUIT</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tcPr>
          <w:p>
            <w:pPr>
              <w:jc w:val="right"/>
              <w:ind w:right="439"/>
              <w:spacing w:after="0"/>
              <w:rPr>
                <w:sz w:val="20"/>
                <w:szCs w:val="20"/>
                <w:color w:val="auto"/>
              </w:rPr>
            </w:pPr>
            <w:r>
              <w:rPr>
                <w:rFonts w:ascii="Arial" w:cs="Arial" w:eastAsia="Arial" w:hAnsi="Arial"/>
                <w:sz w:val="14"/>
                <w:szCs w:val="14"/>
                <w:color w:val="auto"/>
                <w:w w:val="94"/>
              </w:rPr>
              <w:t>(Street)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right"/>
              <w:ind w:right="59"/>
              <w:spacing w:after="0"/>
              <w:rPr>
                <w:sz w:val="20"/>
                <w:szCs w:val="20"/>
                <w:color w:val="auto"/>
              </w:rPr>
            </w:pPr>
            <w:r>
              <w:rPr>
                <w:rFonts w:ascii="Arial" w:cs="Arial" w:eastAsia="Arial" w:hAnsi="Arial"/>
                <w:sz w:val="18"/>
                <w:szCs w:val="18"/>
                <w:color w:val="0000FF"/>
                <w:w w:val="93"/>
              </w:rPr>
              <w:t>JOHNSON</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980" w:type="dxa"/>
            <w:vAlign w:val="bottom"/>
            <w:vMerge w:val="restart"/>
          </w:tcPr>
          <w:p>
            <w:pPr>
              <w:jc w:val="right"/>
              <w:ind w:right="439"/>
              <w:spacing w:after="0"/>
              <w:rPr>
                <w:sz w:val="20"/>
                <w:szCs w:val="20"/>
                <w:color w:val="auto"/>
              </w:rPr>
            </w:pPr>
            <w:r>
              <w:rPr>
                <w:rFonts w:ascii="Arial" w:cs="Arial" w:eastAsia="Arial" w:hAnsi="Arial"/>
                <w:sz w:val="18"/>
                <w:szCs w:val="18"/>
                <w:color w:val="0000FF"/>
              </w:rPr>
              <w:t>CITY</w:t>
            </w:r>
          </w:p>
        </w:tc>
        <w:tc>
          <w:tcPr>
            <w:tcW w:w="8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3"/>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5"/>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SVP/GM for the Autocam Precision Components Group 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0000FF"/>
                <w:w w:val="88"/>
              </w:rPr>
              <w:t>/s/ Warren A. Veltman</w:t>
            </w:r>
          </w:p>
        </w:tc>
        <w:tc>
          <w:tcPr>
            <w:tcW w:w="5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09/11/2014</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C. Kelly, Jr., Thomas C. Burwell, Jr., James H. Dorton, Matthew S. Heiter and Andrew T. Yonchak, or either of them signing singly, and with full power of substitution, as the undersigned's true and lawful attorney-in-fact (each, individually, an "Attorney-in-Fact" and collectively, the "Attorneys-in-Fact") to:</w:t>
      </w:r>
    </w:p>
    <w:p>
      <w:pPr>
        <w:spacing w:after="0" w:line="210" w:lineRule="exact"/>
        <w:rPr>
          <w:sz w:val="20"/>
          <w:szCs w:val="20"/>
          <w:color w:val="auto"/>
        </w:rPr>
      </w:pPr>
    </w:p>
    <w:p>
      <w:pPr>
        <w:ind w:left="1280" w:right="2099" w:hanging="640"/>
        <w:spacing w:after="0" w:line="272" w:lineRule="auto"/>
        <w:tabs>
          <w:tab w:leader="none" w:pos="12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NN, Inc., a Delaware corporation (the "Company"), Forms 3, 4, and 5 in accordance with Section 16(a) of the Securities Exchange Act of 1934, as amended (the "Exchange Act") and the rules and regulations of the United States Securities and Exchange Commission (the "SEC") thereunder;</w:t>
      </w:r>
    </w:p>
    <w:p>
      <w:pPr>
        <w:spacing w:after="0" w:line="185"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including filing and applying for and updating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20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revokes any currently existing power of attorney solely to the extent any such currently existing power of attorney gives the agent(s) designated therein the power or authority to do or perform any act or thing in the exercise of any of the rights and powers herein granted. This Power of Attorney shall not be revoked by any subsequent power of attorney I may execute, unless such subsequent power specifically refers to this Power of Attorney or specifically states that the instrument is intended to revoke all prior powers of attorney.</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29th day of August, 2014.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Warren A. Veltman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WARREN A. VELTMAN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upperLetter"/>
      <w:start w:val="40"/>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X"/>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8759"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2019-12-18T04:09:31Z</dcterms:created>
  <dcterms:modified xsi:type="dcterms:W3CDTF">2019-12-18T04:09:31Z</dcterms:modified>
</cp:coreProperties>
</file>