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9"/>
          <w:szCs w:val="19"/>
          <w:b w:val="1"/>
          <w:bCs w:val="1"/>
          <w:color w:val="auto"/>
        </w:rPr>
        <w:drawing>
          <wp:anchor simplePos="0" relativeHeight="251657728" behindDoc="1" locked="0" layoutInCell="0" allowOverlap="1">
            <wp:simplePos x="0" y="0"/>
            <wp:positionH relativeFrom="page">
              <wp:posOffset>185420</wp:posOffset>
            </wp:positionH>
            <wp:positionV relativeFrom="page">
              <wp:posOffset>483235</wp:posOffset>
            </wp:positionV>
            <wp:extent cx="71780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500380</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SECURITIES AND EXCHANGE COMMISSION</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1997075</wp:posOffset>
            </wp:positionH>
            <wp:positionV relativeFrom="paragraph">
              <wp:posOffset>80010</wp:posOffset>
            </wp:positionV>
            <wp:extent cx="1731645"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31645" cy="5715"/>
                    </a:xfrm>
                    <a:prstGeom prst="rect">
                      <a:avLst/>
                    </a:prstGeom>
                    <a:noFill/>
                  </pic:spPr>
                </pic:pic>
              </a:graphicData>
            </a:graphic>
          </wp:anchor>
        </w:drawing>
      </w:r>
    </w:p>
    <w:p>
      <w:pPr>
        <w:spacing w:after="0" w:line="1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1997075</wp:posOffset>
            </wp:positionH>
            <wp:positionV relativeFrom="paragraph">
              <wp:posOffset>53975</wp:posOffset>
            </wp:positionV>
            <wp:extent cx="1731645"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31645" cy="5715"/>
                    </a:xfrm>
                    <a:prstGeom prst="rect">
                      <a:avLst/>
                    </a:prstGeom>
                    <a:noFill/>
                  </pic:spPr>
                </pic:pic>
              </a:graphicData>
            </a:graphic>
          </wp:anchor>
        </w:drawing>
      </w:r>
    </w:p>
    <w:p>
      <w:pPr>
        <w:spacing w:after="0" w:line="1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CURRENT REPORT</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Pursuant to Section 13 OR 15(d) of The Securities Exchange Act of 1934</w:t>
      </w:r>
    </w:p>
    <w:p>
      <w:pPr>
        <w:spacing w:after="0" w:line="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Date of Report (Date of earliest event reported): June 4,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1997075</wp:posOffset>
            </wp:positionH>
            <wp:positionV relativeFrom="paragraph">
              <wp:posOffset>75565</wp:posOffset>
            </wp:positionV>
            <wp:extent cx="1731645" cy="4057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31645" cy="4057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NN, Inc.</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1997075</wp:posOffset>
            </wp:positionH>
            <wp:positionV relativeFrom="paragraph">
              <wp:posOffset>32385</wp:posOffset>
            </wp:positionV>
            <wp:extent cx="1731645"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31645" cy="5715"/>
                    </a:xfrm>
                    <a:prstGeom prst="rect">
                      <a:avLst/>
                    </a:prstGeom>
                    <a:noFill/>
                  </pic:spPr>
                </pic:pic>
              </a:graphicData>
            </a:graphic>
          </wp:anchor>
        </w:drawing>
      </w:r>
    </w:p>
    <w:p>
      <w:pPr>
        <w:spacing w:after="0" w:line="119" w:lineRule="exact"/>
        <w:rPr>
          <w:sz w:val="24"/>
          <w:szCs w:val="24"/>
          <w:color w:val="auto"/>
        </w:rPr>
      </w:pPr>
    </w:p>
    <w:tbl>
      <w:tblPr>
        <w:tblLayout w:type="fixed"/>
        <w:tblInd w:w="2060" w:type="dxa"/>
        <w:tblCellMar>
          <w:top w:w="0" w:type="dxa"/>
          <w:left w:w="0" w:type="dxa"/>
          <w:bottom w:w="0" w:type="dxa"/>
          <w:right w:w="0" w:type="dxa"/>
        </w:tblCellMar>
      </w:tblPr>
      <w:tr>
        <w:trPr>
          <w:trHeight w:val="169"/>
        </w:trPr>
        <w:tc>
          <w:tcPr>
            <w:tcW w:w="12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Delaware</w:t>
            </w:r>
          </w:p>
        </w:tc>
        <w:tc>
          <w:tcPr>
            <w:tcW w:w="2420" w:type="dxa"/>
            <w:vAlign w:val="bottom"/>
          </w:tcPr>
          <w:p>
            <w:pPr>
              <w:jc w:val="center"/>
              <w:ind w:right="66"/>
              <w:spacing w:after="0"/>
              <w:rPr>
                <w:sz w:val="20"/>
                <w:szCs w:val="20"/>
                <w:color w:val="auto"/>
              </w:rPr>
            </w:pPr>
            <w:r>
              <w:rPr>
                <w:rFonts w:ascii="Times New Roman" w:cs="Times New Roman" w:eastAsia="Times New Roman" w:hAnsi="Times New Roman"/>
                <w:sz w:val="11"/>
                <w:szCs w:val="11"/>
                <w:b w:val="1"/>
                <w:bCs w:val="1"/>
                <w:color w:val="auto"/>
                <w:w w:val="96"/>
              </w:rPr>
              <w:t>001-39268</w:t>
            </w:r>
          </w:p>
        </w:tc>
        <w:tc>
          <w:tcPr>
            <w:tcW w:w="940" w:type="dxa"/>
            <w:vAlign w:val="bottom"/>
          </w:tcPr>
          <w:p>
            <w:pPr>
              <w:jc w:val="center"/>
              <w:ind w:left="86"/>
              <w:spacing w:after="0"/>
              <w:rPr>
                <w:sz w:val="20"/>
                <w:szCs w:val="20"/>
                <w:color w:val="auto"/>
              </w:rPr>
            </w:pPr>
            <w:r>
              <w:rPr>
                <w:rFonts w:ascii="Times New Roman" w:cs="Times New Roman" w:eastAsia="Times New Roman" w:hAnsi="Times New Roman"/>
                <w:sz w:val="11"/>
                <w:szCs w:val="11"/>
                <w:b w:val="1"/>
                <w:bCs w:val="1"/>
                <w:color w:val="auto"/>
                <w:w w:val="97"/>
              </w:rPr>
              <w:t>62-1096725</w:t>
            </w:r>
          </w:p>
        </w:tc>
      </w:tr>
      <w:tr>
        <w:trPr>
          <w:trHeight w:val="112"/>
        </w:trPr>
        <w:tc>
          <w:tcPr>
            <w:tcW w:w="1280" w:type="dxa"/>
            <w:vAlign w:val="bottom"/>
          </w:tcPr>
          <w:p>
            <w:pPr>
              <w:jc w:val="center"/>
              <w:spacing w:after="0" w:line="112" w:lineRule="exact"/>
              <w:rPr>
                <w:sz w:val="20"/>
                <w:szCs w:val="20"/>
                <w:color w:val="auto"/>
              </w:rPr>
            </w:pPr>
            <w:r>
              <w:rPr>
                <w:rFonts w:ascii="Times New Roman" w:cs="Times New Roman" w:eastAsia="Times New Roman" w:hAnsi="Times New Roman"/>
                <w:sz w:val="11"/>
                <w:szCs w:val="11"/>
                <w:i w:val="1"/>
                <w:iCs w:val="1"/>
                <w:color w:val="auto"/>
                <w:w w:val="99"/>
              </w:rPr>
              <w:t>(State or other jurisdiction of</w:t>
            </w:r>
          </w:p>
        </w:tc>
        <w:tc>
          <w:tcPr>
            <w:tcW w:w="2420" w:type="dxa"/>
            <w:vAlign w:val="bottom"/>
          </w:tcPr>
          <w:p>
            <w:pPr>
              <w:jc w:val="center"/>
              <w:ind w:right="66"/>
              <w:spacing w:after="0" w:line="112" w:lineRule="exact"/>
              <w:rPr>
                <w:sz w:val="20"/>
                <w:szCs w:val="20"/>
                <w:color w:val="auto"/>
              </w:rPr>
            </w:pPr>
            <w:r>
              <w:rPr>
                <w:rFonts w:ascii="Times New Roman" w:cs="Times New Roman" w:eastAsia="Times New Roman" w:hAnsi="Times New Roman"/>
                <w:sz w:val="11"/>
                <w:szCs w:val="11"/>
                <w:i w:val="1"/>
                <w:iCs w:val="1"/>
                <w:color w:val="auto"/>
                <w:w w:val="97"/>
              </w:rPr>
              <w:t>(Commission File Number)</w:t>
            </w:r>
          </w:p>
        </w:tc>
        <w:tc>
          <w:tcPr>
            <w:tcW w:w="940" w:type="dxa"/>
            <w:vAlign w:val="bottom"/>
          </w:tcPr>
          <w:p>
            <w:pPr>
              <w:jc w:val="center"/>
              <w:ind w:left="86"/>
              <w:spacing w:after="0" w:line="112" w:lineRule="exact"/>
              <w:rPr>
                <w:sz w:val="20"/>
                <w:szCs w:val="20"/>
                <w:color w:val="auto"/>
              </w:rPr>
            </w:pPr>
            <w:r>
              <w:rPr>
                <w:rFonts w:ascii="Times New Roman" w:cs="Times New Roman" w:eastAsia="Times New Roman" w:hAnsi="Times New Roman"/>
                <w:sz w:val="11"/>
                <w:szCs w:val="11"/>
                <w:i w:val="1"/>
                <w:iCs w:val="1"/>
                <w:color w:val="auto"/>
                <w:w w:val="98"/>
              </w:rPr>
              <w:t>(I.R.S. Employer</w:t>
            </w:r>
          </w:p>
        </w:tc>
      </w:tr>
      <w:tr>
        <w:trPr>
          <w:trHeight w:val="142"/>
        </w:trPr>
        <w:tc>
          <w:tcPr>
            <w:tcW w:w="1280" w:type="dxa"/>
            <w:vAlign w:val="bottom"/>
          </w:tcPr>
          <w:p>
            <w:pPr>
              <w:jc w:val="center"/>
              <w:spacing w:after="0"/>
              <w:rPr>
                <w:sz w:val="20"/>
                <w:szCs w:val="20"/>
                <w:color w:val="auto"/>
              </w:rPr>
            </w:pPr>
            <w:r>
              <w:rPr>
                <w:rFonts w:ascii="Times New Roman" w:cs="Times New Roman" w:eastAsia="Times New Roman" w:hAnsi="Times New Roman"/>
                <w:sz w:val="11"/>
                <w:szCs w:val="11"/>
                <w:i w:val="1"/>
                <w:iCs w:val="1"/>
                <w:color w:val="auto"/>
                <w:w w:val="98"/>
              </w:rPr>
              <w:t>incorporation)</w:t>
            </w:r>
          </w:p>
        </w:tc>
        <w:tc>
          <w:tcPr>
            <w:tcW w:w="2420" w:type="dxa"/>
            <w:vAlign w:val="bottom"/>
          </w:tcPr>
          <w:p>
            <w:pPr>
              <w:spacing w:after="0"/>
              <w:rPr>
                <w:sz w:val="12"/>
                <w:szCs w:val="12"/>
                <w:color w:val="auto"/>
              </w:rPr>
            </w:pPr>
          </w:p>
        </w:tc>
        <w:tc>
          <w:tcPr>
            <w:tcW w:w="940" w:type="dxa"/>
            <w:vAlign w:val="bottom"/>
          </w:tcPr>
          <w:p>
            <w:pPr>
              <w:jc w:val="center"/>
              <w:ind w:left="86"/>
              <w:spacing w:after="0"/>
              <w:rPr>
                <w:sz w:val="20"/>
                <w:szCs w:val="20"/>
                <w:color w:val="auto"/>
              </w:rPr>
            </w:pPr>
            <w:r>
              <w:rPr>
                <w:rFonts w:ascii="Times New Roman" w:cs="Times New Roman" w:eastAsia="Times New Roman" w:hAnsi="Times New Roman"/>
                <w:sz w:val="11"/>
                <w:szCs w:val="11"/>
                <w:i w:val="1"/>
                <w:iCs w:val="1"/>
                <w:color w:val="auto"/>
                <w:w w:val="98"/>
              </w:rPr>
              <w:t>Identification No.)</w:t>
            </w:r>
          </w:p>
        </w:tc>
      </w:tr>
      <w:tr>
        <w:trPr>
          <w:trHeight w:val="439"/>
        </w:trPr>
        <w:tc>
          <w:tcPr>
            <w:tcW w:w="3700" w:type="dxa"/>
            <w:vAlign w:val="bottom"/>
            <w:gridSpan w:val="2"/>
          </w:tcPr>
          <w:p>
            <w:pPr>
              <w:jc w:val="center"/>
              <w:ind w:right="1066"/>
              <w:spacing w:after="0"/>
              <w:rPr>
                <w:sz w:val="20"/>
                <w:szCs w:val="20"/>
                <w:color w:val="auto"/>
              </w:rPr>
            </w:pPr>
            <w:r>
              <w:rPr>
                <w:rFonts w:ascii="Times New Roman" w:cs="Times New Roman" w:eastAsia="Times New Roman" w:hAnsi="Times New Roman"/>
                <w:sz w:val="11"/>
                <w:szCs w:val="11"/>
                <w:b w:val="1"/>
                <w:bCs w:val="1"/>
                <w:color w:val="auto"/>
                <w:w w:val="97"/>
              </w:rPr>
              <w:t>6210 Ardrey Kell Road, Suite 120</w:t>
            </w:r>
          </w:p>
        </w:tc>
        <w:tc>
          <w:tcPr>
            <w:tcW w:w="940" w:type="dxa"/>
            <w:vAlign w:val="bottom"/>
          </w:tcPr>
          <w:p>
            <w:pPr>
              <w:spacing w:after="0"/>
              <w:rPr>
                <w:sz w:val="24"/>
                <w:szCs w:val="24"/>
                <w:color w:val="auto"/>
              </w:rPr>
            </w:pPr>
          </w:p>
        </w:tc>
      </w:tr>
      <w:tr>
        <w:trPr>
          <w:trHeight w:val="171"/>
        </w:trPr>
        <w:tc>
          <w:tcPr>
            <w:tcW w:w="3700" w:type="dxa"/>
            <w:vAlign w:val="bottom"/>
            <w:gridSpan w:val="2"/>
          </w:tcPr>
          <w:p>
            <w:pPr>
              <w:jc w:val="center"/>
              <w:ind w:right="1066"/>
              <w:spacing w:after="0"/>
              <w:rPr>
                <w:sz w:val="20"/>
                <w:szCs w:val="20"/>
                <w:color w:val="auto"/>
              </w:rPr>
            </w:pPr>
            <w:r>
              <w:rPr>
                <w:rFonts w:ascii="Times New Roman" w:cs="Times New Roman" w:eastAsia="Times New Roman" w:hAnsi="Times New Roman"/>
                <w:sz w:val="11"/>
                <w:szCs w:val="11"/>
                <w:b w:val="1"/>
                <w:bCs w:val="1"/>
                <w:color w:val="auto"/>
                <w:w w:val="99"/>
              </w:rPr>
              <w:t>Charlotte, North Carolina</w:t>
            </w:r>
          </w:p>
        </w:tc>
        <w:tc>
          <w:tcPr>
            <w:tcW w:w="940" w:type="dxa"/>
            <w:vAlign w:val="bottom"/>
          </w:tcPr>
          <w:p>
            <w:pPr>
              <w:jc w:val="right"/>
              <w:ind w:right="266"/>
              <w:spacing w:after="0"/>
              <w:rPr>
                <w:sz w:val="20"/>
                <w:szCs w:val="20"/>
                <w:color w:val="auto"/>
              </w:rPr>
            </w:pPr>
            <w:r>
              <w:rPr>
                <w:rFonts w:ascii="Times New Roman" w:cs="Times New Roman" w:eastAsia="Times New Roman" w:hAnsi="Times New Roman"/>
                <w:sz w:val="11"/>
                <w:szCs w:val="11"/>
                <w:b w:val="1"/>
                <w:bCs w:val="1"/>
                <w:color w:val="auto"/>
              </w:rPr>
              <w:t>28277</w:t>
            </w:r>
          </w:p>
        </w:tc>
      </w:tr>
      <w:tr>
        <w:trPr>
          <w:trHeight w:val="180"/>
        </w:trPr>
        <w:tc>
          <w:tcPr>
            <w:tcW w:w="3700" w:type="dxa"/>
            <w:vAlign w:val="bottom"/>
            <w:gridSpan w:val="2"/>
          </w:tcPr>
          <w:p>
            <w:pPr>
              <w:jc w:val="center"/>
              <w:ind w:right="1066"/>
              <w:spacing w:after="0"/>
              <w:rPr>
                <w:sz w:val="20"/>
                <w:szCs w:val="20"/>
                <w:color w:val="auto"/>
              </w:rPr>
            </w:pPr>
            <w:r>
              <w:rPr>
                <w:rFonts w:ascii="Times New Roman" w:cs="Times New Roman" w:eastAsia="Times New Roman" w:hAnsi="Times New Roman"/>
                <w:sz w:val="11"/>
                <w:szCs w:val="11"/>
                <w:i w:val="1"/>
                <w:iCs w:val="1"/>
                <w:color w:val="auto"/>
                <w:w w:val="98"/>
              </w:rPr>
              <w:t>(Address of principal executive offices)</w:t>
            </w:r>
          </w:p>
        </w:tc>
        <w:tc>
          <w:tcPr>
            <w:tcW w:w="940" w:type="dxa"/>
            <w:vAlign w:val="bottom"/>
          </w:tcPr>
          <w:p>
            <w:pPr>
              <w:jc w:val="center"/>
              <w:ind w:left="6"/>
              <w:spacing w:after="0"/>
              <w:rPr>
                <w:sz w:val="20"/>
                <w:szCs w:val="20"/>
                <w:color w:val="auto"/>
              </w:rPr>
            </w:pPr>
            <w:r>
              <w:rPr>
                <w:rFonts w:ascii="Times New Roman" w:cs="Times New Roman" w:eastAsia="Times New Roman" w:hAnsi="Times New Roman"/>
                <w:sz w:val="11"/>
                <w:szCs w:val="11"/>
                <w:i w:val="1"/>
                <w:iCs w:val="1"/>
                <w:color w:val="auto"/>
                <w:w w:val="99"/>
              </w:rPr>
              <w:t>(Zip Code)</w:t>
            </w:r>
          </w:p>
        </w:tc>
      </w:tr>
      <w:tr>
        <w:trPr>
          <w:trHeight w:val="380"/>
        </w:trPr>
        <w:tc>
          <w:tcPr>
            <w:tcW w:w="1280" w:type="dxa"/>
            <w:vAlign w:val="bottom"/>
          </w:tcPr>
          <w:p>
            <w:pPr>
              <w:spacing w:after="0"/>
              <w:rPr>
                <w:sz w:val="24"/>
                <w:szCs w:val="24"/>
                <w:color w:val="auto"/>
              </w:rPr>
            </w:pPr>
          </w:p>
        </w:tc>
        <w:tc>
          <w:tcPr>
            <w:tcW w:w="2420" w:type="dxa"/>
            <w:vAlign w:val="bottom"/>
          </w:tcPr>
          <w:p>
            <w:pPr>
              <w:jc w:val="center"/>
              <w:ind w:right="46"/>
              <w:spacing w:after="0"/>
              <w:rPr>
                <w:sz w:val="20"/>
                <w:szCs w:val="20"/>
                <w:color w:val="auto"/>
              </w:rPr>
            </w:pPr>
            <w:r>
              <w:rPr>
                <w:rFonts w:ascii="Times New Roman" w:cs="Times New Roman" w:eastAsia="Times New Roman" w:hAnsi="Times New Roman"/>
                <w:sz w:val="11"/>
                <w:szCs w:val="11"/>
                <w:b w:val="1"/>
                <w:bCs w:val="1"/>
                <w:color w:val="auto"/>
                <w:w w:val="98"/>
              </w:rPr>
              <w:t>(980) 264-4300</w:t>
            </w:r>
          </w:p>
        </w:tc>
        <w:tc>
          <w:tcPr>
            <w:tcW w:w="940" w:type="dxa"/>
            <w:vAlign w:val="bottom"/>
          </w:tcPr>
          <w:p>
            <w:pPr>
              <w:spacing w:after="0"/>
              <w:rPr>
                <w:sz w:val="24"/>
                <w:szCs w:val="24"/>
                <w:color w:val="auto"/>
              </w:rPr>
            </w:pPr>
          </w:p>
        </w:tc>
      </w:tr>
      <w:tr>
        <w:trPr>
          <w:trHeight w:val="142"/>
        </w:trPr>
        <w:tc>
          <w:tcPr>
            <w:tcW w:w="1280" w:type="dxa"/>
            <w:vAlign w:val="bottom"/>
          </w:tcPr>
          <w:p>
            <w:pPr>
              <w:spacing w:after="0"/>
              <w:rPr>
                <w:sz w:val="12"/>
                <w:szCs w:val="12"/>
                <w:color w:val="auto"/>
              </w:rPr>
            </w:pPr>
          </w:p>
        </w:tc>
        <w:tc>
          <w:tcPr>
            <w:tcW w:w="2420" w:type="dxa"/>
            <w:vAlign w:val="bottom"/>
          </w:tcPr>
          <w:p>
            <w:pPr>
              <w:jc w:val="center"/>
              <w:ind w:right="66"/>
              <w:spacing w:after="0"/>
              <w:rPr>
                <w:sz w:val="20"/>
                <w:szCs w:val="20"/>
                <w:color w:val="auto"/>
              </w:rPr>
            </w:pPr>
            <w:r>
              <w:rPr>
                <w:rFonts w:ascii="Times New Roman" w:cs="Times New Roman" w:eastAsia="Times New Roman" w:hAnsi="Times New Roman"/>
                <w:sz w:val="11"/>
                <w:szCs w:val="11"/>
                <w:i w:val="1"/>
                <w:iCs w:val="1"/>
                <w:color w:val="auto"/>
                <w:w w:val="97"/>
              </w:rPr>
              <w:t>(Registrant’s telephone number, including area code)</w:t>
            </w:r>
          </w:p>
        </w:tc>
        <w:tc>
          <w:tcPr>
            <w:tcW w:w="940" w:type="dxa"/>
            <w:vAlign w:val="bottom"/>
          </w:tcPr>
          <w:p>
            <w:pPr>
              <w:spacing w:after="0"/>
              <w:rPr>
                <w:sz w:val="12"/>
                <w:szCs w:val="12"/>
                <w:color w:val="auto"/>
              </w:rPr>
            </w:pPr>
          </w:p>
        </w:tc>
      </w:tr>
    </w:tbl>
    <w:p>
      <w:pPr>
        <w:spacing w:after="0" w:line="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1791335</wp:posOffset>
            </wp:positionH>
            <wp:positionV relativeFrom="paragraph">
              <wp:posOffset>22860</wp:posOffset>
            </wp:positionV>
            <wp:extent cx="213741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137410" cy="5715"/>
                    </a:xfrm>
                    <a:prstGeom prst="rect">
                      <a:avLst/>
                    </a:prstGeom>
                    <a:noFill/>
                  </pic:spPr>
                </pic:pic>
              </a:graphicData>
            </a:graphic>
          </wp:anchor>
        </w:drawing>
      </w:r>
    </w:p>
    <w:p>
      <w:pPr>
        <w:spacing w:after="0" w:line="213" w:lineRule="exact"/>
        <w:rPr>
          <w:sz w:val="24"/>
          <w:szCs w:val="24"/>
          <w:color w:val="auto"/>
        </w:rPr>
      </w:pPr>
    </w:p>
    <w:p>
      <w:pPr>
        <w:ind w:left="1440" w:right="1679"/>
        <w:spacing w:after="0" w:line="236" w:lineRule="auto"/>
        <w:rPr>
          <w:sz w:val="20"/>
          <w:szCs w:val="20"/>
          <w:color w:val="auto"/>
        </w:rPr>
      </w:pPr>
      <w:r>
        <w:rPr>
          <w:rFonts w:ascii="Times New Roman" w:cs="Times New Roman" w:eastAsia="Times New Roman" w:hAnsi="Times New Roman"/>
          <w:sz w:val="12"/>
          <w:szCs w:val="12"/>
          <w:color w:val="auto"/>
        </w:rPr>
        <w:t>Check the appropriate box if the Form 8-K filing is intended to simultaneously satisfy the filing obligation of the registrant under any of the following provisions (see General Instruction A.2. below):</w:t>
      </w:r>
    </w:p>
    <w:p>
      <w:pPr>
        <w:spacing w:after="0" w:line="26" w:lineRule="exact"/>
        <w:rPr>
          <w:sz w:val="24"/>
          <w:szCs w:val="24"/>
          <w:color w:val="auto"/>
        </w:rPr>
      </w:pPr>
    </w:p>
    <w:p>
      <w:pPr>
        <w:ind w:left="1660" w:hanging="222"/>
        <w:spacing w:after="0"/>
        <w:tabs>
          <w:tab w:leader="none" w:pos="166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69" w:lineRule="exact"/>
        <w:rPr>
          <w:rFonts w:ascii="MS PGothic" w:cs="MS PGothic" w:eastAsia="MS PGothic" w:hAnsi="MS PGothic"/>
          <w:sz w:val="12"/>
          <w:szCs w:val="12"/>
          <w:color w:val="auto"/>
        </w:rPr>
      </w:pPr>
    </w:p>
    <w:p>
      <w:pPr>
        <w:ind w:left="1660" w:hanging="222"/>
        <w:spacing w:after="0"/>
        <w:tabs>
          <w:tab w:leader="none" w:pos="166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69" w:lineRule="exact"/>
        <w:rPr>
          <w:rFonts w:ascii="MS PGothic" w:cs="MS PGothic" w:eastAsia="MS PGothic" w:hAnsi="MS PGothic"/>
          <w:sz w:val="12"/>
          <w:szCs w:val="12"/>
          <w:color w:val="auto"/>
        </w:rPr>
      </w:pPr>
    </w:p>
    <w:p>
      <w:pPr>
        <w:ind w:left="1660" w:hanging="222"/>
        <w:spacing w:after="0"/>
        <w:tabs>
          <w:tab w:leader="none" w:pos="166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240.14d- 2(b))</w:t>
      </w:r>
    </w:p>
    <w:p>
      <w:pPr>
        <w:spacing w:after="0" w:line="69" w:lineRule="exact"/>
        <w:rPr>
          <w:rFonts w:ascii="MS PGothic" w:cs="MS PGothic" w:eastAsia="MS PGothic" w:hAnsi="MS PGothic"/>
          <w:sz w:val="12"/>
          <w:szCs w:val="12"/>
          <w:color w:val="auto"/>
        </w:rPr>
      </w:pPr>
    </w:p>
    <w:p>
      <w:pPr>
        <w:ind w:left="1660" w:hanging="222"/>
        <w:spacing w:after="0"/>
        <w:tabs>
          <w:tab w:leader="none" w:pos="166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240.13e- 4(c))</w:t>
      </w:r>
    </w:p>
    <w:p>
      <w:pPr>
        <w:spacing w:after="0" w:line="2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Securities registered pursuant to Section 12(b) of the Act:</w:t>
      </w:r>
    </w:p>
    <w:p>
      <w:pPr>
        <w:sectPr>
          <w:pgSz w:w="11900" w:h="16838" w:orient="portrait"/>
          <w:cols w:equalWidth="0" w:num="1">
            <w:col w:w="9019"/>
          </w:cols>
          <w:pgMar w:left="1440" w:top="907" w:right="1440" w:bottom="1440" w:gutter="0" w:footer="0" w:header="0"/>
        </w:sectPr>
      </w:pPr>
    </w:p>
    <w:p>
      <w:pPr>
        <w:spacing w:after="0" w:line="29" w:lineRule="exact"/>
        <w:rPr>
          <w:sz w:val="24"/>
          <w:szCs w:val="24"/>
          <w:color w:val="auto"/>
        </w:rPr>
      </w:pPr>
    </w:p>
    <w:p>
      <w:pPr>
        <w:ind w:left="2240"/>
        <w:spacing w:after="0"/>
        <w:rPr>
          <w:sz w:val="20"/>
          <w:szCs w:val="20"/>
          <w:color w:val="auto"/>
        </w:rPr>
      </w:pPr>
      <w:r>
        <w:rPr>
          <w:rFonts w:ascii="Times New Roman" w:cs="Times New Roman" w:eastAsia="Times New Roman" w:hAnsi="Times New Roman"/>
          <w:sz w:val="8"/>
          <w:szCs w:val="8"/>
          <w:i w:val="1"/>
          <w:iCs w:val="1"/>
          <w:color w:val="auto"/>
        </w:rPr>
        <w:t>Title of each class</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8"/>
          <w:szCs w:val="8"/>
          <w:i w:val="1"/>
          <w:iCs w:val="1"/>
          <w:color w:val="auto"/>
        </w:rPr>
        <w:t>Trading symbol</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8"/>
          <w:szCs w:val="8"/>
          <w:i w:val="1"/>
          <w:iCs w:val="1"/>
          <w:color w:val="auto"/>
        </w:rPr>
        <w:t>Name of each exchange on which registered</w:t>
      </w:r>
    </w:p>
    <w:p>
      <w:pPr>
        <w:spacing w:after="0" w:line="52" w:lineRule="exact"/>
        <w:rPr>
          <w:sz w:val="24"/>
          <w:szCs w:val="24"/>
          <w:color w:val="auto"/>
        </w:rPr>
      </w:pPr>
    </w:p>
    <w:p>
      <w:pPr>
        <w:sectPr>
          <w:pgSz w:w="11900" w:h="16838" w:orient="portrait"/>
          <w:cols w:equalWidth="0" w:num="3">
            <w:col w:w="3480" w:space="720"/>
            <w:col w:w="640" w:space="720"/>
            <w:col w:w="3459"/>
          </w:cols>
          <w:pgMar w:left="1440" w:top="907" w:right="1440" w:bottom="1440" w:gutter="0" w:footer="0" w:header="0"/>
          <w:type w:val="continuous"/>
        </w:sectPr>
      </w:pPr>
    </w:p>
    <w:p>
      <w:pPr>
        <w:ind w:left="1920"/>
        <w:spacing w:after="0"/>
        <w:rPr>
          <w:sz w:val="20"/>
          <w:szCs w:val="20"/>
          <w:color w:val="auto"/>
        </w:rPr>
      </w:pPr>
      <w:r>
        <w:rPr>
          <w:rFonts w:ascii="Times New Roman" w:cs="Times New Roman" w:eastAsia="Times New Roman" w:hAnsi="Times New Roman"/>
          <w:sz w:val="8"/>
          <w:szCs w:val="8"/>
          <w:b w:val="1"/>
          <w:bCs w:val="1"/>
          <w:color w:val="auto"/>
        </w:rPr>
        <w:t>Common Stock, par value $0.01</w:t>
      </w:r>
    </w:p>
    <w:p>
      <w:pPr>
        <w:spacing w:after="0" w:line="20" w:lineRule="exact"/>
        <w:rPr>
          <w:sz w:val="24"/>
          <w:szCs w:val="24"/>
          <w:color w:val="auto"/>
        </w:rPr>
      </w:pPr>
      <w:r>
        <w:rPr>
          <w:sz w:val="24"/>
          <w:szCs w:val="24"/>
          <w:color w:val="auto"/>
        </w:rPr>
        <w:br w:type="column"/>
      </w:r>
    </w:p>
    <w:p>
      <w:pPr>
        <w:jc w:val="center"/>
        <w:ind w:right="420"/>
        <w:spacing w:after="0"/>
        <w:rPr>
          <w:sz w:val="20"/>
          <w:szCs w:val="20"/>
          <w:color w:val="auto"/>
        </w:rPr>
      </w:pPr>
      <w:r>
        <w:rPr>
          <w:rFonts w:ascii="Times New Roman" w:cs="Times New Roman" w:eastAsia="Times New Roman" w:hAnsi="Times New Roman"/>
          <w:sz w:val="8"/>
          <w:szCs w:val="8"/>
          <w:b w:val="1"/>
          <w:bCs w:val="1"/>
          <w:color w:val="auto"/>
        </w:rPr>
        <w:t>NNBR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8"/>
          <w:szCs w:val="8"/>
          <w:b w:val="1"/>
          <w:bCs w:val="1"/>
          <w:color w:val="auto"/>
        </w:rPr>
        <w:t>The Nasdaq Stock Market LLC</w:t>
      </w:r>
    </w:p>
    <w:p>
      <w:pPr>
        <w:spacing w:after="0" w:line="200" w:lineRule="exact"/>
        <w:rPr>
          <w:sz w:val="24"/>
          <w:szCs w:val="24"/>
          <w:color w:val="auto"/>
        </w:rPr>
      </w:pPr>
    </w:p>
    <w:p>
      <w:pPr>
        <w:sectPr>
          <w:pgSz w:w="11900" w:h="16838" w:orient="portrait"/>
          <w:cols w:equalWidth="0" w:num="3">
            <w:col w:w="3640" w:space="720"/>
            <w:col w:w="680" w:space="720"/>
            <w:col w:w="3259"/>
          </w:cols>
          <w:pgMar w:left="1440" w:top="907" w:right="1440" w:bottom="1440" w:gutter="0" w:footer="0" w:header="0"/>
          <w:type w:val="continuous"/>
        </w:sectPr>
      </w:pPr>
    </w:p>
    <w:p>
      <w:pPr>
        <w:spacing w:after="0" w:line="101" w:lineRule="exact"/>
        <w:rPr>
          <w:sz w:val="24"/>
          <w:szCs w:val="24"/>
          <w:color w:val="auto"/>
        </w:rPr>
      </w:pPr>
    </w:p>
    <w:p>
      <w:pPr>
        <w:ind w:left="1440" w:right="1559"/>
        <w:spacing w:after="0" w:line="236"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 w:lineRule="exact"/>
        <w:rPr>
          <w:sz w:val="24"/>
          <w:szCs w:val="24"/>
          <w:color w:val="auto"/>
        </w:rPr>
      </w:pPr>
    </w:p>
    <w:p>
      <w:pPr>
        <w:ind w:left="6000"/>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106" w:lineRule="exact"/>
        <w:rPr>
          <w:sz w:val="24"/>
          <w:szCs w:val="24"/>
          <w:color w:val="auto"/>
        </w:rPr>
      </w:pPr>
    </w:p>
    <w:p>
      <w:pPr>
        <w:ind w:left="1440" w:right="1599"/>
        <w:spacing w:after="0" w:line="136"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-741045</wp:posOffset>
            </wp:positionH>
            <wp:positionV relativeFrom="paragraph">
              <wp:posOffset>491490</wp:posOffset>
            </wp:positionV>
            <wp:extent cx="7203440" cy="368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03440" cy="36830"/>
                    </a:xfrm>
                    <a:prstGeom prst="rect">
                      <a:avLst/>
                    </a:prstGeom>
                    <a:noFill/>
                  </pic:spPr>
                </pic:pic>
              </a:graphicData>
            </a:graphic>
          </wp:anchor>
        </w:drawing>
        <w:drawing>
          <wp:anchor simplePos="0" relativeHeight="251657728" behindDoc="1" locked="0" layoutInCell="0" allowOverlap="1">
            <wp:simplePos x="0" y="0"/>
            <wp:positionH relativeFrom="column">
              <wp:posOffset>-728345</wp:posOffset>
            </wp:positionH>
            <wp:positionV relativeFrom="paragraph">
              <wp:posOffset>401320</wp:posOffset>
            </wp:positionV>
            <wp:extent cx="717804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-728345</wp:posOffset>
            </wp:positionH>
            <wp:positionV relativeFrom="paragraph">
              <wp:posOffset>418465</wp:posOffset>
            </wp:positionV>
            <wp:extent cx="7178040"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9019"/>
          </w:cols>
          <w:pgMar w:left="1440" w:top="907" w:right="1440" w:bottom="1440" w:gutter="0" w:footer="0" w:header="0"/>
          <w:type w:val="continuous"/>
        </w:sectPr>
      </w:pPr>
    </w:p>
    <w:bookmarkStart w:id="1" w:name="page2"/>
    <w:bookmarkEnd w:id="1"/>
    <w:p>
      <w:pPr>
        <w:spacing w:after="0"/>
        <w:tabs>
          <w:tab w:leader="none" w:pos="660" w:val="left"/>
        </w:tabs>
        <w:rPr>
          <w:sz w:val="20"/>
          <w:szCs w:val="20"/>
          <w:color w:val="auto"/>
        </w:rPr>
      </w:pPr>
      <w:r>
        <w:rPr>
          <w:rFonts w:ascii="Times New Roman" w:cs="Times New Roman" w:eastAsia="Times New Roman" w:hAnsi="Times New Roman"/>
          <w:sz w:val="12"/>
          <w:szCs w:val="12"/>
          <w:b w:val="1"/>
          <w:bCs w:val="1"/>
          <w:color w:val="auto"/>
        </w:rPr>
        <w:t>ITEM 7.01</w:t>
      </w:r>
      <w:r>
        <w:rPr>
          <w:sz w:val="20"/>
          <w:szCs w:val="20"/>
          <w:color w:val="auto"/>
        </w:rPr>
        <w:tab/>
      </w:r>
      <w:r>
        <w:rPr>
          <w:rFonts w:ascii="Times New Roman" w:cs="Times New Roman" w:eastAsia="Times New Roman" w:hAnsi="Times New Roman"/>
          <w:sz w:val="11"/>
          <w:szCs w:val="11"/>
          <w:b w:val="1"/>
          <w:bCs w:val="1"/>
          <w:color w:val="auto"/>
        </w:rPr>
        <w:t>REGULATION FD DISCLOSURE</w:t>
      </w:r>
    </w:p>
    <w:p>
      <w:pPr>
        <w:spacing w:after="0" w:line="46" w:lineRule="exact"/>
        <w:rPr>
          <w:sz w:val="20"/>
          <w:szCs w:val="20"/>
          <w:color w:val="auto"/>
        </w:rPr>
      </w:pPr>
    </w:p>
    <w:p>
      <w:pPr>
        <w:ind w:right="120" w:firstLine="432"/>
        <w:spacing w:after="0" w:line="279" w:lineRule="auto"/>
        <w:rPr>
          <w:sz w:val="20"/>
          <w:szCs w:val="20"/>
          <w:color w:val="auto"/>
        </w:rPr>
      </w:pPr>
      <w:r>
        <w:rPr>
          <w:rFonts w:ascii="Times New Roman" w:cs="Times New Roman" w:eastAsia="Times New Roman" w:hAnsi="Times New Roman"/>
          <w:sz w:val="12"/>
          <w:szCs w:val="12"/>
          <w:color w:val="auto"/>
        </w:rPr>
        <w:t>NN, Inc., a Delaware corporation (the “Company”), will present virtually at the Noble Capital Markets Emerging Growth Equity Conference (the “Conference”) on June 5, 2025. The Company posted an investor presentation to its website, https://investors.nninc.com/, which will be presented at the Conference, may be used with investors from time to time, and is included as Exhibit 99.1 to this Current Report.</w:t>
      </w:r>
    </w:p>
    <w:p>
      <w:pPr>
        <w:spacing w:after="0" w:line="39" w:lineRule="exact"/>
        <w:rPr>
          <w:sz w:val="20"/>
          <w:szCs w:val="20"/>
          <w:color w:val="auto"/>
        </w:rPr>
      </w:pPr>
    </w:p>
    <w:p>
      <w:pPr>
        <w:jc w:val="both"/>
        <w:ind w:right="40" w:firstLine="432"/>
        <w:spacing w:after="0" w:line="265" w:lineRule="auto"/>
        <w:rPr>
          <w:sz w:val="20"/>
          <w:szCs w:val="20"/>
          <w:color w:val="auto"/>
        </w:rPr>
      </w:pPr>
      <w:r>
        <w:rPr>
          <w:rFonts w:ascii="Times New Roman" w:cs="Times New Roman" w:eastAsia="Times New Roman" w:hAnsi="Times New Roman"/>
          <w:sz w:val="12"/>
          <w:szCs w:val="12"/>
          <w:color w:val="auto"/>
        </w:rPr>
        <w:t>Pursuant to the rules and regulations of the U.S. Securities and Exchange Commission, the information furnished pursuant to this Item 7.01 of this Current Report (including Exhibit 99.1) is deemed to have been furnished and shall not be deemed “filed” for the purposes of Section 18 of the Securities Exchange Act of 1934, as amended, or otherwise subject to the liabilities of that section. Such information shall not be incorporated by reference into any other filing of the Company under the Securities Act of 1933, as amended, or the Exchange Act, whether made before or after the date hereof, regardless of any general incorporation language in such filing.</w:t>
      </w:r>
    </w:p>
    <w:p>
      <w:pPr>
        <w:spacing w:after="0" w:line="277"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2"/>
          <w:szCs w:val="12"/>
          <w:b w:val="1"/>
          <w:bCs w:val="1"/>
          <w:color w:val="auto"/>
        </w:rPr>
        <w:t>ITEM 9.01</w:t>
      </w:r>
      <w:r>
        <w:rPr>
          <w:sz w:val="20"/>
          <w:szCs w:val="20"/>
          <w:color w:val="auto"/>
        </w:rPr>
        <w:tab/>
      </w:r>
      <w:r>
        <w:rPr>
          <w:rFonts w:ascii="Times New Roman" w:cs="Times New Roman" w:eastAsia="Times New Roman" w:hAnsi="Times New Roman"/>
          <w:sz w:val="11"/>
          <w:szCs w:val="11"/>
          <w:b w:val="1"/>
          <w:bCs w:val="1"/>
          <w:color w:val="auto"/>
        </w:rPr>
        <w:t>FINANCIAL STATEMENTS AND EXHIBITS</w:t>
      </w:r>
    </w:p>
    <w:p>
      <w:pPr>
        <w:spacing w:after="0" w:line="44" w:lineRule="exact"/>
        <w:rPr>
          <w:sz w:val="20"/>
          <w:szCs w:val="20"/>
          <w:color w:val="auto"/>
        </w:rPr>
      </w:pPr>
    </w:p>
    <w:p>
      <w:pPr>
        <w:ind w:left="280" w:hanging="258"/>
        <w:spacing w:after="0"/>
        <w:tabs>
          <w:tab w:leader="none" w:pos="280" w:val="left"/>
        </w:tabs>
        <w:numPr>
          <w:ilvl w:val="0"/>
          <w:numId w:val="2"/>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Exhibits.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0" w:type="dxa"/>
            <w:vAlign w:val="bottom"/>
          </w:tcPr>
          <w:p>
            <w:pPr>
              <w:spacing w:after="0"/>
              <w:rPr>
                <w:sz w:val="10"/>
                <w:szCs w:val="10"/>
                <w:color w:val="auto"/>
              </w:rPr>
            </w:pPr>
          </w:p>
        </w:tc>
        <w:tc>
          <w:tcPr>
            <w:tcW w:w="700" w:type="dxa"/>
            <w:vAlign w:val="bottom"/>
            <w:gridSpan w:val="4"/>
          </w:tcPr>
          <w:p>
            <w:pPr>
              <w:jc w:val="center"/>
              <w:ind w:right="400"/>
              <w:spacing w:after="0"/>
              <w:rPr>
                <w:sz w:val="20"/>
                <w:szCs w:val="20"/>
                <w:color w:val="auto"/>
              </w:rPr>
            </w:pPr>
            <w:r>
              <w:rPr>
                <w:rFonts w:ascii="Times New Roman" w:cs="Times New Roman" w:eastAsia="Times New Roman" w:hAnsi="Times New Roman"/>
                <w:sz w:val="10"/>
                <w:szCs w:val="10"/>
                <w:b w:val="1"/>
                <w:bCs w:val="1"/>
                <w:color w:val="auto"/>
                <w:w w:val="94"/>
              </w:rPr>
              <w:t>Exhibit</w:t>
            </w:r>
          </w:p>
        </w:tc>
        <w:tc>
          <w:tcPr>
            <w:tcW w:w="10400" w:type="dxa"/>
            <w:vAlign w:val="bottom"/>
            <w:gridSpan w:val="3"/>
            <w:vMerge w:val="restart"/>
          </w:tcPr>
          <w:p>
            <w:pPr>
              <w:spacing w:after="0"/>
              <w:rPr>
                <w:sz w:val="20"/>
                <w:szCs w:val="20"/>
                <w:color w:val="auto"/>
              </w:rPr>
            </w:pPr>
            <w:r>
              <w:rPr>
                <w:rFonts w:ascii="Times New Roman" w:cs="Times New Roman" w:eastAsia="Times New Roman" w:hAnsi="Times New Roman"/>
                <w:sz w:val="10"/>
                <w:szCs w:val="10"/>
                <w:b w:val="1"/>
                <w:bCs w:val="1"/>
                <w:color w:val="auto"/>
              </w:rPr>
              <w:t>Description of Exhibit</w:t>
            </w:r>
          </w:p>
        </w:tc>
        <w:tc>
          <w:tcPr>
            <w:tcW w:w="0" w:type="dxa"/>
            <w:vAlign w:val="bottom"/>
          </w:tcPr>
          <w:p>
            <w:pPr>
              <w:spacing w:after="0"/>
              <w:rPr>
                <w:sz w:val="1"/>
                <w:szCs w:val="1"/>
                <w:color w:val="auto"/>
              </w:rPr>
            </w:pPr>
          </w:p>
        </w:tc>
      </w:tr>
      <w:tr>
        <w:trPr>
          <w:trHeight w:val="70"/>
        </w:trPr>
        <w:tc>
          <w:tcPr>
            <w:tcW w:w="20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140" w:type="dxa"/>
            <w:vAlign w:val="bottom"/>
            <w:tcBorders>
              <w:top w:val="single" w:sz="8" w:color="auto"/>
            </w:tcBorders>
          </w:tcPr>
          <w:p>
            <w:pPr>
              <w:jc w:val="center"/>
              <w:spacing w:after="0" w:line="70" w:lineRule="exact"/>
              <w:rPr>
                <w:sz w:val="20"/>
                <w:szCs w:val="20"/>
                <w:color w:val="auto"/>
              </w:rPr>
            </w:pPr>
            <w:r>
              <w:rPr>
                <w:rFonts w:ascii="Times New Roman" w:cs="Times New Roman" w:eastAsia="Times New Roman" w:hAnsi="Times New Roman"/>
                <w:sz w:val="8"/>
                <w:szCs w:val="8"/>
                <w:b w:val="1"/>
                <w:bCs w:val="1"/>
                <w:color w:val="auto"/>
              </w:rPr>
              <w:t>No.</w:t>
            </w:r>
          </w:p>
        </w:tc>
        <w:tc>
          <w:tcPr>
            <w:tcW w:w="80" w:type="dxa"/>
            <w:vAlign w:val="bottom"/>
            <w:tcBorders>
              <w:top w:val="single" w:sz="8" w:color="auto"/>
            </w:tcBorders>
          </w:tcPr>
          <w:p>
            <w:pPr>
              <w:spacing w:after="0"/>
              <w:rPr>
                <w:sz w:val="6"/>
                <w:szCs w:val="6"/>
                <w:color w:val="auto"/>
              </w:rPr>
            </w:pPr>
          </w:p>
        </w:tc>
        <w:tc>
          <w:tcPr>
            <w:tcW w:w="400" w:type="dxa"/>
            <w:vAlign w:val="bottom"/>
          </w:tcPr>
          <w:p>
            <w:pPr>
              <w:spacing w:after="0"/>
              <w:rPr>
                <w:sz w:val="6"/>
                <w:szCs w:val="6"/>
                <w:color w:val="auto"/>
              </w:rPr>
            </w:pPr>
          </w:p>
        </w:tc>
        <w:tc>
          <w:tcPr>
            <w:tcW w:w="104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80" w:type="dxa"/>
            <w:vAlign w:val="bottom"/>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00" w:type="dxa"/>
            <w:vAlign w:val="bottom"/>
            <w:gridSpan w:val="4"/>
          </w:tcPr>
          <w:p>
            <w:pPr>
              <w:jc w:val="right"/>
              <w:ind w:right="60"/>
              <w:spacing w:after="0"/>
              <w:rPr>
                <w:sz w:val="20"/>
                <w:szCs w:val="20"/>
                <w:color w:val="auto"/>
              </w:rPr>
            </w:pPr>
            <w:r>
              <w:rPr>
                <w:rFonts w:ascii="Times New Roman" w:cs="Times New Roman" w:eastAsia="Times New Roman" w:hAnsi="Times New Roman"/>
                <w:sz w:val="12"/>
                <w:szCs w:val="12"/>
                <w:color w:val="auto"/>
              </w:rPr>
              <w:t>99.1</w:t>
            </w:r>
          </w:p>
        </w:tc>
        <w:tc>
          <w:tcPr>
            <w:tcW w:w="400" w:type="dxa"/>
            <w:vAlign w:val="bottom"/>
          </w:tcPr>
          <w:p>
            <w:pPr>
              <w:spacing w:after="0"/>
              <w:rPr>
                <w:sz w:val="12"/>
                <w:szCs w:val="12"/>
                <w:color w:val="auto"/>
              </w:rPr>
            </w:pPr>
          </w:p>
        </w:tc>
        <w:tc>
          <w:tcPr>
            <w:tcW w:w="18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2"/>
                <w:szCs w:val="12"/>
                <w:color w:val="0000FF"/>
                <w:w w:val="99"/>
              </w:rPr>
              <w:t>Investor Presentation, dated June 2025</w:t>
            </w:r>
          </w:p>
        </w:tc>
        <w:tc>
          <w:tcPr>
            <w:tcW w:w="8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500" w:type="dxa"/>
            <w:vAlign w:val="bottom"/>
            <w:gridSpan w:val="4"/>
          </w:tcPr>
          <w:p>
            <w:pPr>
              <w:jc w:val="right"/>
              <w:ind w:right="60"/>
              <w:spacing w:after="0"/>
              <w:rPr>
                <w:sz w:val="20"/>
                <w:szCs w:val="20"/>
                <w:color w:val="auto"/>
              </w:rPr>
            </w:pPr>
            <w:r>
              <w:rPr>
                <w:rFonts w:ascii="Times New Roman" w:cs="Times New Roman" w:eastAsia="Times New Roman" w:hAnsi="Times New Roman"/>
                <w:sz w:val="12"/>
                <w:szCs w:val="12"/>
                <w:color w:val="auto"/>
              </w:rPr>
              <w:t>104</w:t>
            </w:r>
          </w:p>
        </w:tc>
        <w:tc>
          <w:tcPr>
            <w:tcW w:w="400" w:type="dxa"/>
            <w:vAlign w:val="bottom"/>
          </w:tcPr>
          <w:p>
            <w:pPr>
              <w:spacing w:after="0"/>
              <w:rPr>
                <w:sz w:val="13"/>
                <w:szCs w:val="13"/>
                <w:color w:val="auto"/>
              </w:rPr>
            </w:pPr>
          </w:p>
        </w:tc>
        <w:tc>
          <w:tcPr>
            <w:tcW w:w="1040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Cover Page Interactive Data File (embedded within the Inline XBRL document)</w:t>
            </w:r>
          </w:p>
        </w:tc>
        <w:tc>
          <w:tcPr>
            <w:tcW w:w="0" w:type="dxa"/>
            <w:vAlign w:val="bottom"/>
          </w:tcPr>
          <w:p>
            <w:pPr>
              <w:spacing w:after="0"/>
              <w:rPr>
                <w:sz w:val="1"/>
                <w:szCs w:val="1"/>
                <w:color w:val="auto"/>
              </w:rPr>
            </w:pPr>
          </w:p>
        </w:tc>
      </w:tr>
      <w:tr>
        <w:trPr>
          <w:trHeight w:val="963"/>
        </w:trPr>
        <w:tc>
          <w:tcPr>
            <w:tcW w:w="2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85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710" w:right="2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343" w:lineRule="exact"/>
        <w:rPr>
          <w:sz w:val="20"/>
          <w:szCs w:val="20"/>
          <w:color w:val="auto"/>
        </w:rPr>
      </w:pPr>
    </w:p>
    <w:p>
      <w:pPr>
        <w:ind w:left="1440" w:right="1719" w:firstLine="297"/>
        <w:spacing w:after="0" w:line="236" w:lineRule="auto"/>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215" w:lineRule="exact"/>
        <w:rPr>
          <w:sz w:val="20"/>
          <w:szCs w:val="20"/>
          <w:color w:val="auto"/>
        </w:rPr>
      </w:pPr>
    </w:p>
    <w:p>
      <w:pPr>
        <w:ind w:left="1440"/>
        <w:spacing w:after="0"/>
        <w:tabs>
          <w:tab w:leader="none" w:pos="1820" w:val="left"/>
        </w:tabs>
        <w:rPr>
          <w:sz w:val="20"/>
          <w:szCs w:val="20"/>
          <w:color w:val="auto"/>
        </w:rPr>
      </w:pPr>
      <w:r>
        <w:rPr>
          <w:rFonts w:ascii="Times New Roman" w:cs="Times New Roman" w:eastAsia="Times New Roman" w:hAnsi="Times New Roman"/>
          <w:sz w:val="12"/>
          <w:szCs w:val="12"/>
          <w:color w:val="auto"/>
        </w:rPr>
        <w:t>Date:</w:t>
        <w:tab/>
        <w:t>June 4, 2025</w:t>
      </w:r>
    </w:p>
    <w:p>
      <w:pPr>
        <w:spacing w:after="0" w:line="308" w:lineRule="exact"/>
        <w:rPr>
          <w:sz w:val="20"/>
          <w:szCs w:val="20"/>
          <w:color w:val="auto"/>
        </w:rPr>
      </w:pPr>
    </w:p>
    <w:tbl>
      <w:tblPr>
        <w:tblLayout w:type="fixed"/>
        <w:tblInd w:w="4380" w:type="dxa"/>
        <w:tblCellMar>
          <w:top w:w="0" w:type="dxa"/>
          <w:left w:w="0" w:type="dxa"/>
          <w:bottom w:w="0" w:type="dxa"/>
          <w:right w:w="0" w:type="dxa"/>
        </w:tblCellMar>
      </w:tblPr>
      <w:tr>
        <w:trPr>
          <w:trHeight w:val="159"/>
        </w:trPr>
        <w:tc>
          <w:tcPr>
            <w:tcW w:w="6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NN, INC.</w:t>
            </w:r>
          </w:p>
        </w:tc>
        <w:tc>
          <w:tcPr>
            <w:tcW w:w="2600" w:type="dxa"/>
            <w:vAlign w:val="bottom"/>
          </w:tcPr>
          <w:p>
            <w:pPr>
              <w:spacing w:after="0"/>
              <w:rPr>
                <w:sz w:val="13"/>
                <w:szCs w:val="13"/>
                <w:color w:val="auto"/>
              </w:rPr>
            </w:pPr>
          </w:p>
        </w:tc>
      </w:tr>
      <w:tr>
        <w:trPr>
          <w:trHeight w:val="351"/>
        </w:trPr>
        <w:tc>
          <w:tcPr>
            <w:tcW w:w="600" w:type="dxa"/>
            <w:vAlign w:val="bottom"/>
          </w:tcPr>
          <w:p>
            <w:pPr>
              <w:spacing w:after="0"/>
              <w:rPr>
                <w:sz w:val="20"/>
                <w:szCs w:val="20"/>
                <w:color w:val="auto"/>
              </w:rPr>
            </w:pPr>
            <w:r>
              <w:rPr>
                <w:rFonts w:ascii="Times New Roman" w:cs="Times New Roman" w:eastAsia="Times New Roman" w:hAnsi="Times New Roman"/>
                <w:sz w:val="12"/>
                <w:szCs w:val="12"/>
                <w:color w:val="auto"/>
              </w:rPr>
              <w:t>By:</w:t>
            </w:r>
          </w:p>
        </w:tc>
        <w:tc>
          <w:tcPr>
            <w:tcW w:w="2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Christopher H. Bohnert</w:t>
            </w:r>
          </w:p>
        </w:tc>
      </w:tr>
      <w:tr>
        <w:trPr>
          <w:trHeight w:val="144"/>
        </w:trPr>
        <w:tc>
          <w:tcPr>
            <w:tcW w:w="60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Name:</w:t>
            </w:r>
          </w:p>
        </w:tc>
        <w:tc>
          <w:tcPr>
            <w:tcW w:w="2600" w:type="dxa"/>
            <w:vAlign w:val="bottom"/>
          </w:tcPr>
          <w:p>
            <w:pPr>
              <w:spacing w:after="0"/>
              <w:rPr>
                <w:sz w:val="20"/>
                <w:szCs w:val="20"/>
                <w:color w:val="auto"/>
              </w:rPr>
            </w:pPr>
            <w:r>
              <w:rPr>
                <w:rFonts w:ascii="Times New Roman" w:cs="Times New Roman" w:eastAsia="Times New Roman" w:hAnsi="Times New Roman"/>
                <w:sz w:val="12"/>
                <w:szCs w:val="12"/>
                <w:color w:val="auto"/>
              </w:rPr>
              <w:t>Christopher H. Bohnert</w:t>
            </w:r>
          </w:p>
        </w:tc>
      </w:tr>
      <w:tr>
        <w:trPr>
          <w:trHeight w:val="178"/>
        </w:trPr>
        <w:tc>
          <w:tcPr>
            <w:tcW w:w="600" w:type="dxa"/>
            <w:vAlign w:val="bottom"/>
          </w:tcPr>
          <w:p>
            <w:pPr>
              <w:spacing w:after="0"/>
              <w:rPr>
                <w:sz w:val="20"/>
                <w:szCs w:val="20"/>
                <w:color w:val="auto"/>
              </w:rPr>
            </w:pPr>
            <w:r>
              <w:rPr>
                <w:rFonts w:ascii="Times New Roman" w:cs="Times New Roman" w:eastAsia="Times New Roman" w:hAnsi="Times New Roman"/>
                <w:sz w:val="12"/>
                <w:szCs w:val="12"/>
                <w:color w:val="auto"/>
              </w:rPr>
              <w:t>Title:</w:t>
            </w:r>
          </w:p>
        </w:tc>
        <w:tc>
          <w:tcPr>
            <w:tcW w:w="2600" w:type="dxa"/>
            <w:vAlign w:val="bottom"/>
          </w:tcPr>
          <w:p>
            <w:pPr>
              <w:spacing w:after="0"/>
              <w:rPr>
                <w:sz w:val="20"/>
                <w:szCs w:val="20"/>
                <w:color w:val="auto"/>
              </w:rPr>
            </w:pPr>
            <w:r>
              <w:rPr>
                <w:rFonts w:ascii="Times New Roman" w:cs="Times New Roman" w:eastAsia="Times New Roman" w:hAnsi="Times New Roman"/>
                <w:sz w:val="12"/>
                <w:szCs w:val="12"/>
                <w:color w:val="auto"/>
              </w:rPr>
              <w:t>Senior Vice President and Chief Financial Officer</w:t>
            </w:r>
          </w:p>
        </w:tc>
      </w:tr>
    </w:tbl>
    <w:p>
      <w:pPr>
        <w:sectPr>
          <w:pgSz w:w="11900" w:h="16838" w:orient="portrait"/>
          <w:cols w:equalWidth="0" w:num="1">
            <w:col w:w="9019"/>
          </w:cols>
          <w:pgMar w:left="1440" w:top="638" w:right="1440"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2025-06-04T07:13:34Z</dcterms:created>
  <dcterms:modified xsi:type="dcterms:W3CDTF">2025-06-04T07:13:34Z</dcterms:modified>
</cp:coreProperties>
</file>