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8058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5,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You are cordially invited to attend the 2012 Annual Meeting of NN, Inc., which will be held on May 17, 2012, at 10:00 a.m., local time, at the Renaissance Charleston Hotel, 68 Wentworth Street, Charleston, SC 29401.</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business to be conducted at the Annual Meeting is described in the attached Notice of Meeting and Proxy Statement. You are urged to read the Proxy Statement carefully before completing the enclosed proxy card.</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1793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79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140"/>
          </w:cols>
          <w:pgMar w:left="240" w:top="1440" w:right="5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2000 Waters Edge Drive, Building C, Suite 12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Johnson City, TN 37604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Notice is hereby given that the Annual Meeting of Shareholders of NN, Inc., a Delaware corporation, will be held on May 17, 2012, at 10:00 a.m., local time,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Renaissance Charleston Hotel, 68 Wentworth Street, Charleston, SC 29401. At the meeting, our shareholders will vote on the following:</w:t>
      </w:r>
    </w:p>
    <w:p>
      <w:pPr>
        <w:spacing w:after="0" w:line="8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two Class II directors to serve for a term of three years;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resolution to approve executive compensation;</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selection of PricewaterhouseCoopers LLP as the Company’s registered independent public accounting firm for the fiscal year ending December 31, 2012;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business as properly may come before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these matters are contained in the accompanying Proxy Statement.</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Holders of record of Common Stock, as defined in the Proxy Statement, at the close of business on March 26, 2012, are entitled to notice of and to vote at the Annual Meeting.</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YOUR VOTE IS VERY IMPORTANT. REGARDLESS OF WHETHER YOU PLAN TO ATTEND THE MEETING, PLEASE PROMPTLY VOTE BY TELEPHONE, BY INTERNET, OR COMPLETE, DATE AND SIGN THE ENCLOSED PROXY CARD AND RETURN IT IN THE ENVELOPE PROVIDED. YOU MAY REVOKE YOUR PROXY AT ANY TIME BEFORE IT IS VOTED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500505"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05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William C. Kelly,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Administrative Officer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5, 2012</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ANNUAL MEETING OF SHAREHOLDERS</w:t>
      </w:r>
    </w:p>
    <w:p>
      <w:pPr>
        <w:spacing w:after="0" w:line="17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Proxies are being solicited by the board of directors of NN, Inc. (the “Company”), in connection with the annual meeting of shareholders to be held on May 17, 2012 at the </w:t>
      </w:r>
      <w:r>
        <w:rPr>
          <w:rFonts w:ascii="Arial" w:cs="Arial" w:eastAsia="Arial" w:hAnsi="Arial"/>
          <w:sz w:val="16"/>
          <w:szCs w:val="16"/>
          <w:b w:val="1"/>
          <w:bCs w:val="1"/>
          <w:color w:val="auto"/>
        </w:rPr>
        <w:t>Renaissance Charleston Hotel, 68 Wentworth Street, Charleston, SC 29401</w:t>
      </w:r>
      <w:r>
        <w:rPr>
          <w:rFonts w:ascii="Arial" w:cs="Arial" w:eastAsia="Arial" w:hAnsi="Arial"/>
          <w:sz w:val="16"/>
          <w:szCs w:val="16"/>
          <w:color w:val="auto"/>
        </w:rPr>
        <w:t xml:space="preserve"> (the “Annual Meeting”), for the purpose of considering and acting upon the matters set forth in the foregoing Notice of Annual Meeting of Shareholders (the “Notice”). Shareholders of record of the Company’s common stock, par value $0.01 per share (“Common Stock”), as of the close of business on March 26, 2012, will be entitled to vote at the meeting. On March 26, 2012 (the “Record Date”), 17,023,932 shares of Common Stock were issued and outstanding.</w:t>
      </w:r>
    </w:p>
    <w:p>
      <w:pPr>
        <w:spacing w:after="0" w:line="11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4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SEC’s rules regarding the delivery of proxy materials to shareholders permit us to deliver a single copy of these documents to an address shared by two or more of our shareholders. This method of delivery is called “householding,” and can significantly reduce our printing and mailing costs. It also reduces the volume of mail you receive. This year, we are delivering only one set of proxy materials to multiple shareholders sharing an address, unless we receive instructions to the contrary from one or more of the shareholders. We will still be required, however, to send you and each other shareholder at your address an individual proxy voting card. If you would like to receive more than one set of proxy materials, we will promptly send you additional copies upon written or oral request directed to our Secretary at 2000 Waters Edge Drive, Building C, Suite 12, Johnson City, Tennessee 37604 or 423-743-9151. The same address and phone number may be used to notify us that you wish to receive a separate set of proxy materials in the future, or to request delivery of a single copy of our proxy materials if you are receiving multiple copies.</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mailing address of the Company’s executive office is 2000 Waters Edge Drive, Building C, Suite 12, Johnson City, Tennessee 37604. This Proxy Statement and the form of proxy were mailed to shareholders on or about April 5,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Quorum; Proxies</w:t>
      </w:r>
    </w:p>
    <w:p>
      <w:pPr>
        <w:spacing w:after="0" w:line="9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Abstentions and broker non-votes will be included in the number of shares considered present at the meeting for the purpose of determining whether there is a quorum. Representatives of the Company will serve as inspectors of election for the Annual Meeting.</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(“Board”) named herein, for the advisory resolution to approve executive compensation, and for ratification of the selection of PricewaterhouseCoopers LLP to serve as the Company’s registered independent public accounting firm for 2012.</w:t>
      </w:r>
    </w:p>
    <w:p>
      <w:pPr>
        <w:spacing w:after="0" w:line="143"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The Board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ectPr>
          <w:pgSz w:w="11900" w:h="16838" w:orient="portrait"/>
          <w:cols w:equalWidth="0" w:num="1">
            <w:col w:w="11420"/>
          </w:cols>
          <w:pgMar w:left="240" w:top="274" w:right="239" w:bottom="1440" w:gutter="0" w:footer="0" w:header="0"/>
        </w:sectPr>
      </w:pPr>
    </w:p>
    <w:bookmarkStart w:id="5" w:name="page6"/>
    <w:bookmarkEnd w:id="5"/>
    <w:p>
      <w:pPr>
        <w:ind w:right="3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Proposal I: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Directors are elected by a plurality of the votes cast in person or by proxy. Abstentions and broker non-votes will not be taken into account in determining the outcome of the election.</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Proposal II: </w:t>
      </w:r>
      <w:r>
        <w:rPr>
          <w:rFonts w:ascii="Arial" w:cs="Arial" w:eastAsia="Arial" w:hAnsi="Arial"/>
          <w:sz w:val="18"/>
          <w:szCs w:val="18"/>
          <w:i w:val="1"/>
          <w:iCs w:val="1"/>
          <w:color w:val="auto"/>
        </w:rPr>
        <w:t>Advisory Resolution to Approve Executive Compensation.</w:t>
      </w:r>
      <w:r>
        <w:rPr>
          <w:rFonts w:ascii="Arial" w:cs="Arial" w:eastAsia="Arial" w:hAnsi="Arial"/>
          <w:sz w:val="18"/>
          <w:szCs w:val="18"/>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Proposal III: </w:t>
      </w:r>
      <w:r>
        <w:rPr>
          <w:rFonts w:ascii="Arial" w:cs="Arial" w:eastAsia="Arial" w:hAnsi="Arial"/>
          <w:sz w:val="18"/>
          <w:szCs w:val="18"/>
          <w:i w:val="1"/>
          <w:iCs w:val="1"/>
          <w:color w:val="auto"/>
        </w:rPr>
        <w:t>Ratification of Registered Independent Public Accounting Firm.</w:t>
      </w:r>
      <w:r>
        <w:rPr>
          <w:rFonts w:ascii="Arial" w:cs="Arial" w:eastAsia="Arial" w:hAnsi="Arial"/>
          <w:sz w:val="18"/>
          <w:szCs w:val="18"/>
          <w:color w:val="auto"/>
        </w:rPr>
        <w:t xml:space="preserve"> To be approved, this matter must receive the affirmative vote of the majority of the shares present in person or by proxy and entitled to vote on the matter. Abstentions will have the effect of “no” votes on this matter. There will not be a broker non-vote with regard to this proposal.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Shareholder Proposals</w:t>
      </w:r>
    </w:p>
    <w:p>
      <w:pPr>
        <w:spacing w:after="0" w:line="9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Any shareholder proposal intended to be presented at next year’s Annual Meeting must be received by the Company at its executive offices not later than December 15, 2012 in order to be considered for inclusion in the Company’s proxy statement and form of proxy for such meeting. These proposals should be sent to NN, Inc., Attention: Secretary, 2000 Waters Edge Drive, Building C, Suite 12, Johnson City, Tennessee 37604. Proposals of shareholders not intended for inclusion in the Company’s 2013 proxy statement must be received by the Company in writing no later than February 28, 2013 in order to preclude the Company’s use of its discretionary proxy voting authority to vote on the proposal or nominee if the proponent is present at the 2013 annual meeting.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Company’s Certificate of Incorporation provides for the division of the Board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Two Class II directors will be elected to the Board at the Annual Meeting. The Company has nominated for election Roderick R. Baty, a current director of the Company, and Mr. David L. Pugh, a new nominee. Additional information about each of these nominees can be found under “Information about the Directors” on page 5. The nominees have indicated a willingness to serve as directors if elected, but if either of them should decline or be unable to serve, the persons named as proxies intend to vote all shares in favor of the election of such other persons who may be nominated as replacements by the Board. The Company takes into account diversity considerations in determining the slate of nominees and believes as a group the nominees bring a diverse range of perspective to the Board.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RECOMMENDS A VOTE “FOR” THE ELECTION OF THE NOMINATED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Resolution To Approve Executive Compensation</w:t>
      </w:r>
    </w:p>
    <w:p>
      <w:pPr>
        <w:spacing w:after="0" w:line="17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At the 2011 Annual Meeting, shareholders expressed their strong preference for an annual advisory vote to approve executive compensation. Accordingly, the Board determined that, every year until the next vote on the frequency of the advisory vote, the Company will hold a vote to approve the Company’s executive compensation on an advisory basis. As such, the Board is asking shareholders to vote on an advisory resolution to approve the Company’s executive compensation as reported in this Proxy Statement. As described in the “Compensation Discussion and Analysis” section of this Proxy Statement, the goal of the Company is to structure its compensation arrangements for executive officers in a manner that will promote the Company’s profitability and enhance long-term shareholder value. In designing its compensation arrangements to achieve this goal, the Company is guided by the following objectives:</w:t>
      </w:r>
    </w:p>
    <w:p>
      <w:pPr>
        <w:spacing w:after="0" w:line="24" w:lineRule="exact"/>
        <w:rPr>
          <w:sz w:val="20"/>
          <w:szCs w:val="20"/>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the long-term success of the Company;</w:t>
      </w:r>
    </w:p>
    <w:p>
      <w:pPr>
        <w:spacing w:after="0" w:line="9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the Company’s competitors;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the Company’s and the individual’s performance;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shareholders through stock-based compensation arrangements.</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Shareholders are urged to read the “Compensation Discussion and Analysis” beginning on page 13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16 through 20,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the Company’s recent and long-term success.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accordance with Section 14A of the Securities Exchange Act of 1934, as amended (the “Exchange Act”), and as a matter of good corporate governance, the Company is asking shareholders to approve the following advisory resolution at the 2012 Annual Meeting of Shareholders:</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RESOLVED, that the shareholders of NN,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2012 Annual Meeting of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BOARD OF DIRECTORS RECOMMENDS YOU VOTE “FOR” THE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Selection of Registered Independent Public Accounting Firm</w:t>
      </w:r>
    </w:p>
    <w:p>
      <w:pPr>
        <w:spacing w:after="0" w:line="177"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The firm of PricewaterhouseCoopers LLP has been selected by the Audit Committee as the Company’s registered independent public accounting firm for 2012.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Registered Independent Public Accounting Firm</w:t>
      </w:r>
    </w:p>
    <w:p>
      <w:pPr>
        <w:spacing w:after="0" w:line="9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During 2011, PricewaterhouseCoopers LLP not only acted as the registered independent public accounting firm for the Company (work related to auditing the annual financial statements for fiscal year 2010 and reviewing the financial statements included in our Forms 10-Q), but also rendered on our behalf tax-related services. The following table sets forth the aggregate fees billed by PricewaterhouseCoopers LLP for audit services rendered in connection with the financial statements and reports for fiscal years 2011 and 2010 and for tax-related services rendered during fiscal years 2011 and 2010 on our behalf, as well as all expenses incurred in connection with these services, which have been or will be billed to us.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7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2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$1,121,633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Tax Fees</w:t>
            </w:r>
          </w:p>
        </w:tc>
        <w:tc>
          <w:tcPr>
            <w:tcW w:w="29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460,897</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1,582,530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1,708,558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913"/>
        <w:spacing w:after="0" w:line="256" w:lineRule="auto"/>
        <w:rPr>
          <w:sz w:val="20"/>
          <w:szCs w:val="20"/>
          <w:color w:val="auto"/>
        </w:rPr>
      </w:pPr>
      <w:r>
        <w:rPr>
          <w:rFonts w:ascii="Arial" w:cs="Arial" w:eastAsia="Arial" w:hAnsi="Arial"/>
          <w:sz w:val="18"/>
          <w:szCs w:val="18"/>
          <w:color w:val="auto"/>
        </w:rPr>
        <w:t>In accordance with Securities and Exchange Commission (“SEC”) definitions and rules, “audit fees” are fees billed to the Company for professional services for the audit of the Company’s consolidated financial statements included in Form 10-K and review of financial statements included in Forms 10-Q, and for services that are normally provided by the accountant in connection with statutory and regulatory filings or engagements and “tax fees” are fees billed for tax compliance, tax advice and tax planning.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Pre-Approval Policies and Procedures</w:t>
      </w:r>
    </w:p>
    <w:p>
      <w:pPr>
        <w:spacing w:after="0" w:line="96"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Audit Committee pre-approves all audit and permissible non-audit services to be provided to the Company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Representatives of PricewaterhouseCoopers LLP will not be present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Directors</w:t>
      </w:r>
    </w:p>
    <w:p>
      <w:pPr>
        <w:spacing w:after="0" w:line="17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On March 22, 2012, the Board approved an increase in the number of seats on the board from six to seven. Robert E. Brunner was appointed to the Board to fill the vacancy created by the addition of a board seat. As such, the Board currently consists of seven directors. The Board has determined that each of the directors and nominees, with the exception of Mr. Baty, qualifies as “independent” as defined by the NASDAQ rules. In making this determination, the Board has concluded that none of these directors has a relationship which, in the opinion of the Board, would interfere with the exercise of independent judgment in carrying out the responsibilities of a director.</w:t>
      </w:r>
    </w:p>
    <w:p>
      <w:pPr>
        <w:spacing w:after="0" w:line="14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 or nominee.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Director</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w:t>
            </w:r>
          </w:p>
        </w:tc>
        <w:tc>
          <w:tcPr>
            <w:tcW w:w="642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Positions with the Company</w:t>
            </w:r>
          </w:p>
        </w:tc>
        <w:tc>
          <w:tcPr>
            <w:tcW w:w="0" w:type="dxa"/>
            <w:vAlign w:val="bottom"/>
          </w:tcPr>
          <w:p>
            <w:pPr>
              <w:spacing w:after="0"/>
              <w:rPr>
                <w:sz w:val="1"/>
                <w:szCs w:val="1"/>
                <w:color w:val="auto"/>
              </w:rPr>
            </w:pPr>
          </w:p>
        </w:tc>
      </w:tr>
      <w:tr>
        <w:trPr>
          <w:trHeight w:val="155"/>
        </w:trPr>
        <w:tc>
          <w:tcPr>
            <w:tcW w:w="3200" w:type="dxa"/>
            <w:vAlign w:val="bottom"/>
            <w:gridSpan w:val="3"/>
            <w:vMerge w:val="continue"/>
          </w:tcPr>
          <w:p>
            <w:pPr>
              <w:spacing w:after="0"/>
              <w:rPr>
                <w:sz w:val="13"/>
                <w:szCs w:val="13"/>
                <w:color w:val="auto"/>
              </w:rPr>
            </w:pPr>
          </w:p>
        </w:tc>
        <w:tc>
          <w:tcPr>
            <w:tcW w:w="4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3"/>
              </w:rPr>
              <w:t>Age</w:t>
            </w:r>
          </w:p>
        </w:tc>
        <w:tc>
          <w:tcPr>
            <w:tcW w:w="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0"/>
              </w:rPr>
              <w:t>Since</w:t>
            </w:r>
          </w:p>
        </w:tc>
        <w:tc>
          <w:tcPr>
            <w:tcW w:w="6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Expires</w:t>
            </w:r>
          </w:p>
        </w:tc>
        <w:tc>
          <w:tcPr>
            <w:tcW w:w="6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R. Baty</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2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0"/>
              </w:rPr>
              <w:t>Chairman of the Board, Chief Executive Officer, President and Director – nominee for 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Robert M. Aiken, Jr.</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4"/>
              </w:rPr>
              <w:t>2012</w:t>
            </w:r>
          </w:p>
        </w:tc>
        <w:tc>
          <w:tcPr>
            <w:tcW w:w="2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Director – passed away on March 10,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Fanelli</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2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1995</w:t>
            </w:r>
          </w:p>
        </w:tc>
        <w:tc>
          <w:tcPr>
            <w:tcW w:w="2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2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2014</w:t>
            </w:r>
          </w:p>
        </w:tc>
        <w:tc>
          <w:tcPr>
            <w:tcW w:w="2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N/A</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N/A</w:t>
            </w:r>
          </w:p>
        </w:tc>
        <w:tc>
          <w:tcPr>
            <w:tcW w:w="6420" w:type="dxa"/>
            <w:vAlign w:val="bottom"/>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2014</w:t>
            </w:r>
          </w:p>
        </w:tc>
        <w:tc>
          <w:tcPr>
            <w:tcW w:w="2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2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Director – appointed in 2012</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b w:val="1"/>
          <w:bCs w:val="1"/>
          <w:color w:val="auto"/>
        </w:rPr>
        <w:t xml:space="preserve">Roderick R. Baty </w:t>
      </w:r>
      <w:r>
        <w:rPr>
          <w:rFonts w:ascii="Arial" w:cs="Arial" w:eastAsia="Arial" w:hAnsi="Arial"/>
          <w:sz w:val="18"/>
          <w:szCs w:val="18"/>
          <w:color w:val="auto"/>
        </w:rPr>
        <w:t>became President and Chief Executive Officer of the Company in July 1997 and has been a member of the Board since 1995.</w:t>
      </w:r>
      <w:r>
        <w:rPr>
          <w:rFonts w:ascii="Arial" w:cs="Arial" w:eastAsia="Arial" w:hAnsi="Arial"/>
          <w:sz w:val="18"/>
          <w:szCs w:val="18"/>
          <w:b w:val="1"/>
          <w:bCs w:val="1"/>
          <w:color w:val="auto"/>
        </w:rPr>
        <w:t xml:space="preserve"> </w:t>
      </w:r>
      <w:r>
        <w:rPr>
          <w:rFonts w:ascii="Arial" w:cs="Arial" w:eastAsia="Arial" w:hAnsi="Arial"/>
          <w:sz w:val="18"/>
          <w:szCs w:val="18"/>
          <w:color w:val="auto"/>
        </w:rPr>
        <w:t>Mr. Baty was elected Chairman of the Board in September 2001. He joined the Company in July 1995 as Vice President and Chief Financial Officer and was elected to the Board to fill a vacant seat in August 1995. Prior to joining the Company, Mr. Baty served as President and Chief Operating Officer of Hoover Precision Products from 1990 to January 1995 and as Vice President and General Manager of Hoover Group from 1985 to 1990. Mr. Baty serves on the Board of Alamo Group, Inc., a publicly held company.</w:t>
      </w:r>
    </w:p>
    <w:p>
      <w:pPr>
        <w:spacing w:after="0" w:line="14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Director Nominee for Re-election Qualifications: </w:t>
      </w:r>
      <w:r>
        <w:rPr>
          <w:rFonts w:ascii="Arial" w:cs="Arial" w:eastAsia="Arial" w:hAnsi="Arial"/>
          <w:sz w:val="18"/>
          <w:szCs w:val="18"/>
          <w:color w:val="auto"/>
        </w:rPr>
        <w:t>A member of the Board since 1995, Mr. Baty brings considerable executive leadership and strategic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Board through his past senior executive positions and his long-term services as our Chief Executive Officer. He also brings invaluable industry experience to the Company’s operational initiatives and strategic development.</w:t>
      </w:r>
    </w:p>
    <w:p>
      <w:pPr>
        <w:spacing w:after="0" w:line="134" w:lineRule="exact"/>
        <w:rPr>
          <w:sz w:val="20"/>
          <w:szCs w:val="20"/>
          <w:color w:val="auto"/>
        </w:rPr>
      </w:pPr>
    </w:p>
    <w:p>
      <w:pPr>
        <w:ind w:right="180" w:firstLine="913"/>
        <w:spacing w:after="0" w:line="262" w:lineRule="auto"/>
        <w:rPr>
          <w:sz w:val="20"/>
          <w:szCs w:val="20"/>
          <w:color w:val="auto"/>
        </w:rPr>
      </w:pPr>
      <w:r>
        <w:rPr>
          <w:rFonts w:ascii="Arial" w:cs="Arial" w:eastAsia="Arial" w:hAnsi="Arial"/>
          <w:sz w:val="18"/>
          <w:szCs w:val="18"/>
          <w:b w:val="1"/>
          <w:bCs w:val="1"/>
          <w:color w:val="auto"/>
        </w:rPr>
        <w:t>Robert M. Aiken, Jr</w:t>
      </w:r>
      <w:r>
        <w:rPr>
          <w:rFonts w:ascii="Arial" w:cs="Arial" w:eastAsia="Arial" w:hAnsi="Arial"/>
          <w:sz w:val="18"/>
          <w:szCs w:val="18"/>
          <w:color w:val="auto"/>
        </w:rPr>
        <w:t>. was a member of the Board since 2003. Mr. Aiken retired in December 2003 as President of RMA Consulting, Inc., a</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consulting firm he founded in 1998. Prior to this position, Mr. Aiken served as Executive Vice President and Chief Financial Officer of Sunoco, an independent refiner and marketer of petroleum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petrochemical products. Mr. Aiken held this position from 1996 and served as Senior Vice President and Chief Financial Officer from 1990 to 1996. From 1970 to 1990 Mr. Aiken held various financial positions within Sunoco, Inc. Prior to Mr. Aiken joining Sunoco, he held positions with Coopers and Lybrand and earlier with Hershey Foods. Mr. Aiken passed away on March 10, 2012.</w:t>
      </w:r>
    </w:p>
    <w:p>
      <w:pPr>
        <w:spacing w:after="0" w:line="13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 xml:space="preserve">Richard G. Fanelli </w:t>
      </w:r>
      <w:r>
        <w:rPr>
          <w:rFonts w:ascii="Arial" w:cs="Arial" w:eastAsia="Arial" w:hAnsi="Arial"/>
          <w:sz w:val="16"/>
          <w:szCs w:val="16"/>
          <w:color w:val="auto"/>
        </w:rPr>
        <w:t>has been a member of the Board since 2005. Mr. Fanelli retired in 2000 from Enthone-OMI, Inc., where he spent the majority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his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 North America. Prior to this position, Mr. Fanelli held a variety of positions within Enthone-OMI, Inc. including positions in sales and marketing and general management. Mr. Fanelli brings significant industry and leadership experience to the Board as well as his knowledge of good corporate governance practices.</w:t>
      </w:r>
    </w:p>
    <w:p>
      <w:pPr>
        <w:spacing w:after="0" w:line="113" w:lineRule="exact"/>
        <w:rPr>
          <w:sz w:val="20"/>
          <w:szCs w:val="20"/>
          <w:color w:val="auto"/>
        </w:rPr>
      </w:pPr>
    </w:p>
    <w:p>
      <w:pPr>
        <w:ind w:right="120" w:firstLine="913"/>
        <w:spacing w:after="0" w:line="296" w:lineRule="auto"/>
        <w:rPr>
          <w:sz w:val="20"/>
          <w:szCs w:val="20"/>
          <w:color w:val="auto"/>
        </w:rPr>
      </w:pPr>
      <w:r>
        <w:rPr>
          <w:rFonts w:ascii="Arial" w:cs="Arial" w:eastAsia="Arial" w:hAnsi="Arial"/>
          <w:sz w:val="16"/>
          <w:szCs w:val="16"/>
          <w:b w:val="1"/>
          <w:bCs w:val="1"/>
          <w:color w:val="auto"/>
        </w:rPr>
        <w:t xml:space="preserve">Michael E. Werner </w:t>
      </w:r>
      <w:r>
        <w:rPr>
          <w:rFonts w:ascii="Arial" w:cs="Arial" w:eastAsia="Arial" w:hAnsi="Arial"/>
          <w:sz w:val="16"/>
          <w:szCs w:val="16"/>
          <w:color w:val="auto"/>
        </w:rPr>
        <w:t>has been a member of the Board since 1995. Mr. Werner retired in 2009 from Werner &amp; Associates, a management consulting</w:t>
      </w:r>
      <w:r>
        <w:rPr>
          <w:rFonts w:ascii="Arial" w:cs="Arial" w:eastAsia="Arial" w:hAnsi="Arial"/>
          <w:sz w:val="16"/>
          <w:szCs w:val="16"/>
          <w:b w:val="1"/>
          <w:bCs w:val="1"/>
          <w:color w:val="auto"/>
        </w:rPr>
        <w:t xml:space="preserve"> </w:t>
      </w:r>
      <w:r>
        <w:rPr>
          <w:rFonts w:ascii="Arial" w:cs="Arial" w:eastAsia="Arial" w:hAnsi="Arial"/>
          <w:sz w:val="16"/>
          <w:szCs w:val="16"/>
          <w:color w:val="auto"/>
        </w:rPr>
        <w:t>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 Mr. Werner’s strategic insight and knowledge of marketing and strategic planning processes developed through a consultant’s perspective has been, and continues to be, valuable to the Board.</w:t>
      </w:r>
    </w:p>
    <w:p>
      <w:pPr>
        <w:spacing w:after="0" w:line="10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b w:val="1"/>
          <w:bCs w:val="1"/>
          <w:color w:val="auto"/>
        </w:rPr>
        <w:t xml:space="preserve">G. Ronald Morris </w:t>
      </w:r>
      <w:r>
        <w:rPr>
          <w:rFonts w:ascii="Arial" w:cs="Arial" w:eastAsia="Arial" w:hAnsi="Arial"/>
          <w:sz w:val="16"/>
          <w:szCs w:val="16"/>
          <w:color w:val="auto"/>
        </w:rPr>
        <w:t>has been a member of the Board since 1994. Mr. Morris retired in 1999 from Western Industries, Inc., a contract manufacturer of</w:t>
      </w:r>
      <w:r>
        <w:rPr>
          <w:rFonts w:ascii="Arial" w:cs="Arial" w:eastAsia="Arial" w:hAnsi="Arial"/>
          <w:sz w:val="16"/>
          <w:szCs w:val="16"/>
          <w:b w:val="1"/>
          <w:bCs w:val="1"/>
          <w:color w:val="auto"/>
        </w:rPr>
        <w:t xml:space="preserve"> </w:t>
      </w:r>
      <w:r>
        <w:rPr>
          <w:rFonts w:ascii="Arial" w:cs="Arial" w:eastAsia="Arial" w:hAnsi="Arial"/>
          <w:sz w:val="16"/>
          <w:szCs w:val="16"/>
          <w:color w:val="auto"/>
        </w:rPr>
        <w:t>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 Mr. Morris has extensive executive leadership and board experience with technology, precision metal, plastic and bearing manufacturers. He brings to the Board substantial knowledge and expertise in product development and global manufacturing. He also brings invaluable insight and perspective to the Company’s strategic development.</w:t>
      </w:r>
    </w:p>
    <w:p>
      <w:pPr>
        <w:spacing w:after="0" w:line="11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b w:val="1"/>
          <w:bCs w:val="1"/>
          <w:color w:val="auto"/>
        </w:rPr>
        <w:t>David L. Pugh</w:t>
      </w:r>
      <w:r>
        <w:rPr>
          <w:rFonts w:ascii="Arial" w:cs="Arial" w:eastAsia="Arial" w:hAnsi="Arial"/>
          <w:sz w:val="16"/>
          <w:szCs w:val="16"/>
          <w:color w:val="auto"/>
        </w:rPr>
        <w:t>, a director nominee, retired in 2011 as President and Chief Executive Officer and Chairman of the Board of Applied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(“Applied”), a leading distributor of industrial products and services. Mr. Pugh joined Applied in 1999 as President and Chief Operating Officer. Prior to joining Applied,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and Westinghouse Electric. Mr. Pugh serves on the board of directors of Hexcel Corporation, a publicly held company and a leading producer of advanced composites. Mr. Pugh also serves on the board of directors of R.W. Beckett Corporation, a premiere manufacturer of oil and gas burners. Mr. Pugh offers to the board valuable bearing experience and executive leadership as well as specialized operational experience in global bearing distribution. Additionally, Mr. Pugh brings to the Board his previous experience on the board of directors of a publicly held company.</w:t>
      </w:r>
    </w:p>
    <w:p>
      <w:pPr>
        <w:spacing w:after="0" w:line="112" w:lineRule="exact"/>
        <w:rPr>
          <w:sz w:val="20"/>
          <w:szCs w:val="20"/>
          <w:color w:val="auto"/>
        </w:rPr>
      </w:pPr>
    </w:p>
    <w:p>
      <w:pPr>
        <w:ind w:right="60" w:firstLine="913"/>
        <w:spacing w:after="0" w:line="303" w:lineRule="auto"/>
        <w:rPr>
          <w:sz w:val="20"/>
          <w:szCs w:val="20"/>
          <w:color w:val="auto"/>
        </w:rPr>
      </w:pPr>
      <w:r>
        <w:rPr>
          <w:rFonts w:ascii="Arial" w:cs="Arial" w:eastAsia="Arial" w:hAnsi="Arial"/>
          <w:sz w:val="15"/>
          <w:szCs w:val="15"/>
          <w:b w:val="1"/>
          <w:bCs w:val="1"/>
          <w:color w:val="auto"/>
        </w:rPr>
        <w:t xml:space="preserve">Steven T. Warshaw </w:t>
      </w:r>
      <w:r>
        <w:rPr>
          <w:rFonts w:ascii="Arial" w:cs="Arial" w:eastAsia="Arial" w:hAnsi="Arial"/>
          <w:sz w:val="15"/>
          <w:szCs w:val="15"/>
          <w:color w:val="auto"/>
        </w:rPr>
        <w:t>has been a member of the Board since 1997. Mr. Warshaw retired in 2005 from M Cubed Technologies, a developer and</w:t>
      </w:r>
      <w:r>
        <w:rPr>
          <w:rFonts w:ascii="Arial" w:cs="Arial" w:eastAsia="Arial" w:hAnsi="Arial"/>
          <w:sz w:val="15"/>
          <w:szCs w:val="15"/>
          <w:b w:val="1"/>
          <w:bCs w:val="1"/>
          <w:color w:val="auto"/>
        </w:rPr>
        <w:t xml:space="preserve"> </w:t>
      </w:r>
      <w:r>
        <w:rPr>
          <w:rFonts w:ascii="Arial" w:cs="Arial" w:eastAsia="Arial" w:hAnsi="Arial"/>
          <w:sz w:val="15"/>
          <w:szCs w:val="15"/>
          <w:color w:val="auto"/>
        </w:rPr>
        <w:t>manufacturer of advanced composite materials and ultra-precise electronic components and modules. Mr. Warshaw had served as President and Chief Executive Officer of M Cubed Technologies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 Mr. Warshaw brings considerable executive experience as well as providing the benefit of service on the board of directors of a publicly traded company.</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Warshaw has extensive knowledge and brings insights and perspectives from positions he has held in important areas, including global operations, product development, marketing and executive compensation.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firstLine="913"/>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Robert E. Brunner </w:t>
      </w:r>
      <w:r>
        <w:rPr>
          <w:rFonts w:ascii="Arial" w:cs="Arial" w:eastAsia="Arial" w:hAnsi="Arial"/>
          <w:sz w:val="16"/>
          <w:szCs w:val="16"/>
          <w:color w:val="auto"/>
        </w:rPr>
        <w:t>was appointed to the Board on March 22, 2012. Mr. Brunner has served as Executive Vice President of Illinois Tool Works, Inc.,</w:t>
      </w:r>
      <w:r>
        <w:rPr>
          <w:rFonts w:ascii="Arial" w:cs="Arial" w:eastAsia="Arial" w:hAnsi="Arial"/>
          <w:sz w:val="16"/>
          <w:szCs w:val="16"/>
          <w:b w:val="1"/>
          <w:bCs w:val="1"/>
          <w:color w:val="auto"/>
        </w:rPr>
        <w:t xml:space="preserve"> </w:t>
      </w:r>
      <w:r>
        <w:rPr>
          <w:rFonts w:ascii="Arial" w:cs="Arial" w:eastAsia="Arial" w:hAnsi="Arial"/>
          <w:sz w:val="16"/>
          <w:szCs w:val="16"/>
          <w:color w:val="auto"/>
        </w:rPr>
        <w:t>an international manufacturer of highly engineered fasteners and components, equipment and consumable systems and specialty products, from 2006 until his retirement was announced in 2011. Prior to this position, Mr. Brunner held the position of President, Global Automotive Fasteners from 2005 to 2006 and President, North American Automotive Fasteners from 2003 to 2005. Prior to this position, Mr. Brunner held a variety of positions within Illinois Tool Works, Inc. including positions in general management, operations management and sales &amp; marketing. Mr. Brunner serves on the board of directors of Leggett &amp; Platt, Incorporated, a publicly held company and a diversified manufacturer of engineered components and products. Mr. Brunner’s brings to the Board broad industry knowledge, executive leadership experience and extensive experience with mergers and acquisitions. Additionally, his public company board experience will be a valuable addition to the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Directors who are not employees of the Company are paid an annual retainer of $30,000 and a fee of $1,500 for each Board meeting attended, $1,000 for each committee meeting attended, and $500 for each teleconference meeting attended. Additionally, the Chair of the Audit Committee is paid an annual retainer of $9,000 and the Chair of the Governance Committee and the Chair of the Compensation Committee are paid an annual retainer of $5,000, respectively. Directors who are employees of the Company do not receive any compensation for their service as directors. Directors may elect to defer some or all of the compensation they are provided by the Company. Additionally, the Compensation Committee has from time to time granted stock options to the non-employee directors. The Company also reimburses all directors for out-of-pocket expenses incurred in attending Board and committee meetings. Director compensation is reviewed and approved by the Compensation Committee.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the compensation our non-employee directors received during 2011.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 For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Fees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Earned</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Non-equity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Paid</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 Cash</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40" w:type="dxa"/>
            <w:vAlign w:val="bottom"/>
            <w:gridSpan w:val="3"/>
            <w:vMerge w:val="continue"/>
          </w:tcPr>
          <w:p>
            <w:pPr>
              <w:spacing w:after="0"/>
              <w:rPr>
                <w:sz w:val="13"/>
                <w:szCs w:val="13"/>
                <w:color w:val="auto"/>
              </w:rPr>
            </w:pPr>
          </w:p>
        </w:tc>
        <w:tc>
          <w:tcPr>
            <w:tcW w:w="54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54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3"/>
                <w:szCs w:val="13"/>
                <w:color w:val="auto"/>
              </w:rPr>
            </w:pPr>
          </w:p>
        </w:tc>
        <w:tc>
          <w:tcPr>
            <w:tcW w:w="5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3"/>
                <w:szCs w:val="13"/>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11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Earnings ($)</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 Aiken, Jr.</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35,100</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45,216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36,060</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116,376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53,050</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45,216</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36,060</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(11,868)</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122,458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55,550</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45,216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36,060</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129,546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52,550</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45,216</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36,060</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133,826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Werner</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48,750</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45,216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36,060</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138,060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60" w:hanging="452"/>
        <w:spacing w:after="0" w:line="28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as computed in accordance with the Financial Accounting Standards Board (“FASB”) Accounting Standards Codification (“ASC”) Topic 718, of 3,200 restricted shares of stock awarded Messrs. Aiken, Fanelli, Morris, Warshaw and Werner. Mr. Aiken passed away on March 10, 2012. Upon Mr. Aiken’s passing, all unvested options and unvested restricted stock became 100% vested and transferred to his estate. On May 26, 2011, the Company awarded 75,100 restricted shares to five non-employee directors and seven executive officers and other key employees. These shares vest over a period of three years beginning on the first anniversary of the date of grant.</w:t>
      </w:r>
    </w:p>
    <w:p>
      <w:pPr>
        <w:spacing w:after="0" w:line="2" w:lineRule="exact"/>
        <w:rPr>
          <w:rFonts w:ascii="Arial" w:cs="Arial" w:eastAsia="Arial" w:hAnsi="Arial"/>
          <w:sz w:val="16"/>
          <w:szCs w:val="16"/>
          <w:color w:val="auto"/>
        </w:rPr>
      </w:pPr>
    </w:p>
    <w:p>
      <w:pPr>
        <w:ind w:left="460" w:right="40" w:hanging="452"/>
        <w:spacing w:after="0" w:line="28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as computed in accordance with the Financial Accounting Standards Board (“FASB”) Accounting Standards Codification (“ASC”) Topic 718, of 6,000 options to purchase the Company’s stock awarded Messrs. Aiken, Fanelli, Morris, Warshaw and Werner. Mr. Aiken passed away on March 10, 2012. Upon Mr. Aiken’s passing, all unvested options and unvested restricted stock became 100% vested and transferred to his estate. On May 26, 2011, the Company awarded 201,000 options to purchase the Company’s stock to five non-employee directors and eight executive officers and other key employees. The options granted to directors vest 100% on the first anniversary of the date of grant. The assumptions used to calculate the value of these option awards are set forth under Note 9 of the Notes to Consolidated Financial Statements included in the Company’s Annual Report on Form 10-K for the year ended December 31, 2011, filed with the Commission on March 15, 2012.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nonqualified deferred compensation during 2011.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Aggregate</w:t>
            </w: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Aggregate</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Director</w:t>
            </w:r>
          </w:p>
        </w:tc>
        <w:tc>
          <w:tcPr>
            <w:tcW w:w="13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Registrant</w:t>
            </w: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Earnings</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Contributions</w:t>
            </w:r>
          </w:p>
        </w:tc>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 Last</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at Last</w:t>
            </w:r>
          </w:p>
        </w:tc>
        <w:tc>
          <w:tcPr>
            <w:tcW w:w="0" w:type="dxa"/>
            <w:vAlign w:val="bottom"/>
          </w:tcPr>
          <w:p>
            <w:pPr>
              <w:spacing w:after="0"/>
              <w:rPr>
                <w:sz w:val="1"/>
                <w:szCs w:val="1"/>
                <w:color w:val="auto"/>
              </w:rPr>
            </w:pPr>
          </w:p>
        </w:tc>
      </w:tr>
      <w:tr>
        <w:trPr>
          <w:trHeight w:val="155"/>
        </w:trPr>
        <w:tc>
          <w:tcPr>
            <w:tcW w:w="5500" w:type="dxa"/>
            <w:vAlign w:val="bottom"/>
            <w:gridSpan w:val="3"/>
            <w:vMerge w:val="continue"/>
          </w:tcPr>
          <w:p>
            <w:pPr>
              <w:spacing w:after="0"/>
              <w:rPr>
                <w:sz w:val="13"/>
                <w:szCs w:val="13"/>
                <w:color w:val="auto"/>
              </w:rPr>
            </w:pPr>
          </w:p>
        </w:tc>
        <w:tc>
          <w:tcPr>
            <w:tcW w:w="13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 xml:space="preserve">in Last FY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in Last FY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2"/>
              </w:rPr>
              <w:t>FY ($)</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3"/>
                <w:szCs w:val="13"/>
                <w:color w:val="auto"/>
              </w:rPr>
            </w:pP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FYE ($)</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 Aiken, Jr.</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Fanelli</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(11,868)</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(7,280)</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374,014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8,034</w:t>
            </w:r>
          </w:p>
        </w:tc>
        <w:tc>
          <w:tcPr>
            <w:tcW w:w="54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357,314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consists of G. Ronald Morris who serves as Chair, Steven T. Warshaw and Robert E. Brunner. Mr. Aiken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passed away on March 10, 2012. All members of the Audit Committee are independent as defined in the NASDAQ rules and Mr. Morris has been designated as the “audit committee financial expert” as defined by Item 407(d) of Regulation S-K. Among other matters described in its charter, the Audit Committee is responsible for engaging the registered independent public accounting firm to conduct the annual audit of the books and accounts of the Company and for reviewing the effectiveness of the internal auditing, accounting and financial controls of the Company with the registered independent public accounting firm and the Company’s internal financial and accounting staff. 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The Audit Committee met five times in 2011.</w:t>
      </w:r>
    </w:p>
    <w:p>
      <w:pPr>
        <w:spacing w:after="0" w:line="118"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consists of Steven T. Warshaw who serves as Chair, Michael E. Werner and Richard 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Fanelli. All members of the Compensation Committee are independent as defined by NASDAQ rules. The Compensation Committee annually reviews and approves corporate goals and objectives relative to the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2005 NN, Inc. Stock Incentive Plan and the 2011 Stock Incentive Plan. 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xml:space="preserve"> The functions of the Compensation Committee are discussed in further detail in the section entitled “Compensation Committee Report” herein. The Compensation Committee met three times in 2011.</w:t>
      </w:r>
    </w:p>
    <w:p>
      <w:pPr>
        <w:spacing w:after="0" w:line="118" w:lineRule="exact"/>
        <w:rPr>
          <w:sz w:val="20"/>
          <w:szCs w:val="20"/>
          <w:color w:val="auto"/>
        </w:rPr>
      </w:pPr>
    </w:p>
    <w:p>
      <w:pPr>
        <w:ind w:right="500" w:firstLine="913"/>
        <w:spacing w:after="0" w:line="370" w:lineRule="auto"/>
        <w:rPr>
          <w:sz w:val="20"/>
          <w:szCs w:val="20"/>
          <w:color w:val="auto"/>
        </w:rPr>
      </w:pPr>
      <w:r>
        <w:rPr>
          <w:rFonts w:ascii="Arial" w:cs="Arial" w:eastAsia="Arial" w:hAnsi="Arial"/>
          <w:sz w:val="15"/>
          <w:szCs w:val="15"/>
          <w:i w:val="1"/>
          <w:iCs w:val="1"/>
          <w:color w:val="auto"/>
        </w:rPr>
        <w:t>Governance Committee</w:t>
      </w:r>
      <w:r>
        <w:rPr>
          <w:rFonts w:ascii="Arial" w:cs="Arial" w:eastAsia="Arial" w:hAnsi="Arial"/>
          <w:sz w:val="15"/>
          <w:szCs w:val="15"/>
          <w:color w:val="auto"/>
        </w:rPr>
        <w:t>. The Governance Committee was formed in 2002. The Committee consists of Richard G. Fanelli who serves as Chair,</w:t>
      </w:r>
      <w:r>
        <w:rPr>
          <w:rFonts w:ascii="Arial" w:cs="Arial" w:eastAsia="Arial" w:hAnsi="Arial"/>
          <w:sz w:val="15"/>
          <w:szCs w:val="15"/>
          <w:i w:val="1"/>
          <w:iCs w:val="1"/>
          <w:color w:val="auto"/>
        </w:rPr>
        <w:t xml:space="preserve"> </w:t>
      </w:r>
      <w:r>
        <w:rPr>
          <w:rFonts w:ascii="Arial" w:cs="Arial" w:eastAsia="Arial" w:hAnsi="Arial"/>
          <w:sz w:val="15"/>
          <w:szCs w:val="15"/>
          <w:color w:val="auto"/>
        </w:rPr>
        <w:t>Michael E. Werner, G. Ronald Morris and Robert E. Brunner. All members of the Governance Committee are independent as defined by NASDAQ rules.</w:t>
      </w:r>
    </w:p>
    <w:p>
      <w:pPr>
        <w:spacing w:after="0" w:line="62"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As provided in its charter, the Governance Committee is responsible for reviewing and recommending qualified candidates for membership on the Board. The Governance Committee seeks input from the Chairman, other board members, and professional search firms, if applicable. In 2011, the Governance Committee retained the services of an executive and director search firm to aid in the identification and evaluation of qualified board candidates. Mr. Pugh and Mr. Brunner were first identified as possible director candidates by this search firm and then recommended to the Board by our Governance Committee. The Governance Committee will also consider and evaluate any qualified candidates recommended by shareholders. 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and international operations, among other things.</w:t>
      </w:r>
    </w:p>
    <w:p>
      <w:pPr>
        <w:spacing w:after="0" w:line="120"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A candidate’s competencies, experience and knowledge should enable him or her to contribute significantly to the governance of a complex, multi-million dollar business enterprise. The candidate should be independent in judgment and not represent the interests of particular constituencies. The Governance Committee will review a candidate’s qualifications and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w:t>
      </w:r>
    </w:p>
    <w:p>
      <w:pPr>
        <w:spacing w:after="0" w:line="14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Shareholders who wish to recommend director candidates for the 2013 Annual Meeting of Shareholders should notify the Secretary in writing at NN, Inc., 2000 Waters Edge Drive, Building C, Suite 12, Johnson City, Tennessee 37604. This notification must be received by the Company by December 15, 2012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2013 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Arial" w:cs="Arial" w:eastAsia="Arial" w:hAnsi="Arial"/>
          <w:sz w:val="16"/>
          <w:szCs w:val="16"/>
          <w:i w:val="1"/>
          <w:iCs w:val="1"/>
          <w:color w:val="auto"/>
        </w:rPr>
        <w:t>www.nnbr.com</w:t>
      </w:r>
      <w:r>
        <w:rPr>
          <w:rFonts w:ascii="Arial" w:cs="Arial" w:eastAsia="Arial" w:hAnsi="Arial"/>
          <w:sz w:val="16"/>
          <w:szCs w:val="16"/>
          <w:color w:val="auto"/>
        </w:rPr>
        <w:t>. The Governance Committee will evaluate any director candidate nominated by shareholders according to the criteria discussed above and,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results of that evaluation, will determine whether to include the candidate in its recommended slate of director nominees in the Proxy Statement. No shareholder or group of shareholders who beneficially owned more than 5% of the Common Stock for at least one year at the time of such recommendation have recommended candidates for election to the Board.</w:t>
      </w:r>
    </w:p>
    <w:p>
      <w:pPr>
        <w:spacing w:after="0" w:line="123" w:lineRule="exact"/>
        <w:rPr>
          <w:sz w:val="20"/>
          <w:szCs w:val="20"/>
          <w:color w:val="auto"/>
        </w:rPr>
      </w:pPr>
    </w:p>
    <w:p>
      <w:pPr>
        <w:ind w:right="400" w:firstLine="913"/>
        <w:spacing w:after="0" w:line="305" w:lineRule="auto"/>
        <w:rPr>
          <w:sz w:val="20"/>
          <w:szCs w:val="20"/>
          <w:color w:val="auto"/>
        </w:rPr>
      </w:pPr>
      <w:r>
        <w:rPr>
          <w:rFonts w:ascii="Arial" w:cs="Arial" w:eastAsia="Arial" w:hAnsi="Arial"/>
          <w:sz w:val="15"/>
          <w:szCs w:val="15"/>
          <w:color w:val="auto"/>
        </w:rPr>
        <w:t>The Company retains discretion to vote proxies it receives with respect to director nominations or any other business proposals received after December 15, 2012. The Company retains discretion to vote proxies it receives with respect to such proposals received prior to December 15, 2012 provided</w:t>
      </w:r>
    </w:p>
    <w:p>
      <w:pPr>
        <w:ind w:right="300" w:firstLine="8"/>
        <w:spacing w:after="0" w:line="261"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includes in its proxy statement advice on the nature of the proposal and how it intends to exercise its voting discretion, and (b) the proponent does not issue its own proxy statement.</w:t>
      </w:r>
    </w:p>
    <w:p>
      <w:pPr>
        <w:spacing w:after="0" w:line="13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Additionally, the Governance Committee is responsible for overseeing the process of providing information to the Board, developing corporate governance principles applicable to the Company, and providing oversight and reviewing the Board on an annual basis. In October 2002, the Governance Committee adopted a statement of Principles of Corporate Governance. In April 2003, the Governance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The Governance Committee met five times in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96"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Board is responsible for overseeing that the business of the Company is managed to meet the Company’s strategic goals and objectives and that the long-term interests of shareholders are served. The Board’s leadership structure includes very active and engaged independent directors. The Chairman of the Governance Committee approves the agenda for each Board meeting and presides over each executive session of independent directors which is held at each Board meeting. Each of the committees of the Board are chaired and comprised solely of independent Board members.</w:t>
      </w:r>
    </w:p>
    <w:p>
      <w:pPr>
        <w:spacing w:after="0" w:line="113" w:lineRule="exact"/>
        <w:rPr>
          <w:sz w:val="20"/>
          <w:szCs w:val="20"/>
          <w:color w:val="auto"/>
        </w:rPr>
      </w:pPr>
    </w:p>
    <w:p>
      <w:pPr>
        <w:ind w:right="200" w:firstLine="913"/>
        <w:spacing w:after="0" w:line="254" w:lineRule="auto"/>
        <w:rPr>
          <w:sz w:val="20"/>
          <w:szCs w:val="20"/>
          <w:color w:val="auto"/>
        </w:rPr>
      </w:pPr>
      <w:r>
        <w:rPr>
          <w:rFonts w:ascii="Arial" w:cs="Arial" w:eastAsia="Arial" w:hAnsi="Arial"/>
          <w:sz w:val="18"/>
          <w:szCs w:val="18"/>
          <w:color w:val="auto"/>
        </w:rPr>
        <w:t>Roderick Baty currently serves as both the Chairman of the Board and the President and Chief Executive Officer of the Company. The Board believes that combining the chairman and chief executive officer positions is the most efficient and effective leadership structure for the Company. As Chief Executive Officer, Mr. Baty is closely involved in the day-to-day operations of the Company. The Board feels that due to this close involvement, Mr. Baty’s comprehensive knowledge of the Company’s business and industry and his ability to develop and implement strategic initiatives puts him in the best position to assess and evaluate critical strategic and business issues for further consideration and action by the independent Board given the size of the Company and the Board.</w:t>
      </w:r>
    </w:p>
    <w:p>
      <w:pPr>
        <w:spacing w:after="0" w:line="14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current leadership structure does not include a lead director, as the Board believes the current structure promotes a high level of open communication and involvement of all the Board’s independent members and committees and provides an effective balance for the management of the Company in the best interests of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96"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Board and its committees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 The Audit Committee is responsible for risk and exposures associated with financial, accounting, legal and regulatory matters. The Audit Committee oversees that management has established a process to assure an adequate system of internal controls and maintains the reliability of the accounting policies and financial reporting and disclosures of the Company. The Company’s Vice President and Chief Compliance Officer is responsible for corporate risk management and reports directly to the Audit Committee on financial, accounting and regulatory matters. The Governance Committee is responsible for the oversight of corporate governance and the selection of the candidates for the Board and the evaluation of the Board members. The Compensation Committee is responsible for evaluating, approving and monitoring the executive compensation plans, policies and programs of the Company and to oversee other significant human resource issues. Additionally, the Compensation Committee is responsible for reviewing and overseeing the management of any risk related to the Company’s compensation plans, policies and programs. The Compensation Committee reviews such risks annually and in connection with discussions of various compensation developments and benefits throughout the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96"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The Board held 11 meetings in 2011. All current directors with the exception of Mr. Aiken attended at least 75% of the aggregate of the total number of meetings of the Board and the total number of meetings held by all committees of the Board on which they served. While the Company does not have a policy requiring attendance by directors at the Annual Meeting, all of the current directors, with the exception of Mr. Brunner, who was not yet appointed to the Board at that time, attended the 2011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96"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Interested parties may contact the Board by sending correspondence to NN, Inc., Attention: Secretary, 2000 Waters Edge Drive, Building C, Suite 12, Johnson City, Tennessee 37604. Any mail received by the Secretary with the exception of improper commercial solicitations will be forwarded to the members of the Board (or committee members, as appropriate) for their further action, if necessary.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9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following table shows, as of March 26, 2012, the beneficial ownership of Common Stock by each director and nominee, each Named Executive Officer, and all directors and executive officers as a group, in each case as reported to the Company by such persons.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60" w:type="dxa"/>
            <w:vAlign w:val="bottom"/>
          </w:tcPr>
          <w:p>
            <w:pPr>
              <w:spacing w:after="0"/>
              <w:rPr>
                <w:sz w:val="12"/>
                <w:szCs w:val="12"/>
                <w:color w:val="auto"/>
              </w:rPr>
            </w:pPr>
          </w:p>
        </w:tc>
        <w:tc>
          <w:tcPr>
            <w:tcW w:w="1200" w:type="dxa"/>
            <w:vAlign w:val="bottom"/>
            <w:gridSpan w:val="3"/>
          </w:tcPr>
          <w:p>
            <w:pPr>
              <w:jc w:val="center"/>
              <w:ind w:left="14"/>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55"/>
        </w:trPr>
        <w:tc>
          <w:tcPr>
            <w:tcW w:w="6060" w:type="dxa"/>
            <w:vAlign w:val="bottom"/>
            <w:gridSpan w:val="3"/>
            <w:vMerge w:val="continue"/>
          </w:tcPr>
          <w:p>
            <w:pPr>
              <w:spacing w:after="0"/>
              <w:rPr>
                <w:sz w:val="13"/>
                <w:szCs w:val="13"/>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Owned (2)</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Owned (2)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0" w:type="dxa"/>
            <w:vAlign w:val="bottom"/>
            <w:tcBorders>
              <w:top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R. Baty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273,295</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760" w:type="dxa"/>
            <w:vAlign w:val="bottom"/>
          </w:tcPr>
          <w:p>
            <w:pPr>
              <w:jc w:val="right"/>
              <w:spacing w:after="0"/>
              <w:rPr>
                <w:sz w:val="20"/>
                <w:szCs w:val="20"/>
                <w:color w:val="auto"/>
              </w:rPr>
            </w:pPr>
            <w:r>
              <w:rPr>
                <w:rFonts w:ascii="Arial" w:cs="Arial" w:eastAsia="Arial" w:hAnsi="Arial"/>
                <w:sz w:val="18"/>
                <w:szCs w:val="18"/>
                <w:color w:val="auto"/>
              </w:rPr>
              <w:t>93,600</w:t>
            </w:r>
          </w:p>
        </w:tc>
        <w:tc>
          <w:tcPr>
            <w:tcW w:w="660" w:type="dxa"/>
            <w:vAlign w:val="bottom"/>
          </w:tcPr>
          <w:p>
            <w:pPr>
              <w:ind w:left="4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T. Gentry III</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125,194</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Jeffrey H. Hodge</w:t>
            </w:r>
          </w:p>
        </w:tc>
        <w:tc>
          <w:tcPr>
            <w:tcW w:w="760" w:type="dxa"/>
            <w:vAlign w:val="bottom"/>
          </w:tcPr>
          <w:p>
            <w:pPr>
              <w:jc w:val="right"/>
              <w:spacing w:after="0"/>
              <w:rPr>
                <w:sz w:val="20"/>
                <w:szCs w:val="20"/>
                <w:color w:val="auto"/>
              </w:rPr>
            </w:pPr>
            <w:r>
              <w:rPr>
                <w:rFonts w:ascii="Arial" w:cs="Arial" w:eastAsia="Arial" w:hAnsi="Arial"/>
                <w:sz w:val="18"/>
                <w:szCs w:val="18"/>
                <w:color w:val="auto"/>
              </w:rPr>
              <w:t>55,085</w:t>
            </w:r>
          </w:p>
        </w:tc>
        <w:tc>
          <w:tcPr>
            <w:tcW w:w="660" w:type="dxa"/>
            <w:vAlign w:val="bottom"/>
          </w:tcPr>
          <w:p>
            <w:pPr>
              <w:ind w:left="40"/>
              <w:spacing w:after="0"/>
              <w:rPr>
                <w:sz w:val="20"/>
                <w:szCs w:val="20"/>
                <w:color w:val="auto"/>
              </w:rPr>
            </w:pPr>
            <w:r>
              <w:rPr>
                <w:rFonts w:ascii="Arial" w:cs="Arial" w:eastAsia="Arial" w:hAnsi="Arial"/>
                <w:sz w:val="18"/>
                <w:szCs w:val="18"/>
                <w:color w:val="auto"/>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Robert M. Aiken, Jr.</w:t>
            </w:r>
          </w:p>
        </w:tc>
        <w:tc>
          <w:tcPr>
            <w:tcW w:w="760" w:type="dxa"/>
            <w:vAlign w:val="bottom"/>
          </w:tcPr>
          <w:p>
            <w:pPr>
              <w:jc w:val="right"/>
              <w:spacing w:after="0"/>
              <w:rPr>
                <w:sz w:val="20"/>
                <w:szCs w:val="20"/>
                <w:color w:val="auto"/>
              </w:rPr>
            </w:pPr>
            <w:r>
              <w:rPr>
                <w:rFonts w:ascii="Arial" w:cs="Arial" w:eastAsia="Arial" w:hAnsi="Arial"/>
                <w:sz w:val="18"/>
                <w:szCs w:val="18"/>
                <w:color w:val="auto"/>
              </w:rPr>
              <w:t>88,200</w:t>
            </w:r>
          </w:p>
        </w:tc>
        <w:tc>
          <w:tcPr>
            <w:tcW w:w="660" w:type="dxa"/>
            <w:vAlign w:val="bottom"/>
          </w:tcPr>
          <w:p>
            <w:pPr>
              <w:ind w:left="40"/>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Brunner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760" w:type="dxa"/>
            <w:vAlign w:val="bottom"/>
          </w:tcPr>
          <w:p>
            <w:pPr>
              <w:jc w:val="right"/>
              <w:spacing w:after="0"/>
              <w:rPr>
                <w:sz w:val="20"/>
                <w:szCs w:val="20"/>
                <w:color w:val="auto"/>
              </w:rPr>
            </w:pPr>
            <w:r>
              <w:rPr>
                <w:rFonts w:ascii="Arial" w:cs="Arial" w:eastAsia="Arial" w:hAnsi="Arial"/>
                <w:sz w:val="18"/>
                <w:szCs w:val="18"/>
                <w:color w:val="auto"/>
              </w:rPr>
              <w:t>53,400</w:t>
            </w:r>
          </w:p>
        </w:tc>
        <w:tc>
          <w:tcPr>
            <w:tcW w:w="660" w:type="dxa"/>
            <w:vAlign w:val="bottom"/>
          </w:tcPr>
          <w:p>
            <w:pPr>
              <w:ind w:left="4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106,400</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4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83,400</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760" w:type="dxa"/>
            <w:vAlign w:val="bottom"/>
          </w:tcPr>
          <w:p>
            <w:pPr>
              <w:jc w:val="right"/>
              <w:spacing w:after="0"/>
              <w:rPr>
                <w:sz w:val="20"/>
                <w:szCs w:val="20"/>
                <w:color w:val="auto"/>
              </w:rPr>
            </w:pPr>
            <w:r>
              <w:rPr>
                <w:rFonts w:ascii="Arial" w:cs="Arial" w:eastAsia="Arial" w:hAnsi="Arial"/>
                <w:sz w:val="18"/>
                <w:szCs w:val="18"/>
                <w:color w:val="auto"/>
              </w:rPr>
              <w:t>86,687</w:t>
            </w:r>
          </w:p>
        </w:tc>
        <w:tc>
          <w:tcPr>
            <w:tcW w:w="660" w:type="dxa"/>
            <w:vAlign w:val="bottom"/>
          </w:tcPr>
          <w:p>
            <w:pPr>
              <w:ind w:left="40"/>
              <w:spacing w:after="0"/>
              <w:rPr>
                <w:sz w:val="20"/>
                <w:szCs w:val="20"/>
                <w:color w:val="auto"/>
              </w:rPr>
            </w:pPr>
            <w:r>
              <w:rPr>
                <w:rFonts w:ascii="Arial" w:cs="Arial" w:eastAsia="Arial" w:hAnsi="Arial"/>
                <w:sz w:val="18"/>
                <w:szCs w:val="18"/>
                <w:color w:val="auto"/>
              </w:rPr>
              <w:t>(14)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(15 persons)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1,288,475</w:t>
            </w:r>
          </w:p>
        </w:tc>
        <w:tc>
          <w:tcPr>
            <w:tcW w:w="6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beneficial owner is c/o NN, Inc., 2000 Waters Edge Drive, Building C, Suite 12, Johnson City, Tennessee 37604.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Includes shares of Common Stock subject to options exercisable within 60 days of March 26, 2012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202,500 shares of Common Stock subject to presently exercisable options and 20,400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69,500 shares of Common Stock subject to presently exercisable options and 12,600 shares of restricted stock.</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87,033 shares of Common Stock subject to presently exercisable options, 12,600 shares of restricted stock and 8,561 shares of Common stock owned by Mr. Gentry’s spouse.</w:t>
      </w:r>
    </w:p>
    <w:p>
      <w:pPr>
        <w:ind w:left="460" w:right="3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33,000 shares of Common Stock subject to presently exercisable options and 9,400 shares of restricted stock and 685 shares of Common stock owned by Mr. Hodge’s spouse.</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9,400 shares of restricted stock.</w:t>
      </w:r>
    </w:p>
    <w:p>
      <w:pPr>
        <w:spacing w:after="0" w:line="9" w:lineRule="exact"/>
        <w:rPr>
          <w:rFonts w:ascii="Arial" w:cs="Arial" w:eastAsia="Arial" w:hAnsi="Arial"/>
          <w:sz w:val="18"/>
          <w:szCs w:val="18"/>
          <w:color w:val="auto"/>
        </w:rPr>
      </w:pPr>
    </w:p>
    <w:p>
      <w:pPr>
        <w:ind w:left="460" w:right="500" w:hanging="452"/>
        <w:spacing w:after="0" w:line="30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71,000 shares of Common Stock subject to presently exercisable options and 3,200 shares of restricted stock. Upon Mr. Aiken’s passing, all unvested options and unvested restricted stock became 100% vested and transferred to his estate. The options will expire at the end of 24 months.</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Brunner was appointed to the Board on March 22, 2012. Includes 3,200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35,000 shares of Common Stock subject to presently exercisable options and 6,400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65,000 shares of Common Stock subject to presently exercisable options and 6,400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Pugh is a nominee to the Board.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65,000 shares of Common Stock subject to presently exercisable options and 6,400 shares of restricted stock.</w:t>
      </w:r>
    </w:p>
    <w:p>
      <w:pPr>
        <w:spacing w:after="0" w:line="9"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65,000 shares of Common Stock subject to presently exercisable options, 6,400 shares of restricted stock and 5,287 shares of Common stock owned by Mr. Werner’s spouse.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17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following table sets forth the number of shares of the Company’s Common Stock beneficially owned by the only parties known to the Company’s management to own more than 5% of the Company’s Common Stock, based on 16,948,632 shares of Common Stock outstanding on December 31, 2011.</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1220" w:type="dxa"/>
            <w:vAlign w:val="bottom"/>
            <w:gridSpan w:val="3"/>
          </w:tcPr>
          <w:p>
            <w:pPr>
              <w:jc w:val="center"/>
              <w:ind w:left="35"/>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55"/>
        </w:trPr>
        <w:tc>
          <w:tcPr>
            <w:tcW w:w="6140" w:type="dxa"/>
            <w:vAlign w:val="bottom"/>
            <w:gridSpan w:val="3"/>
            <w:vMerge w:val="continue"/>
          </w:tcPr>
          <w:p>
            <w:pPr>
              <w:spacing w:after="0"/>
              <w:rPr>
                <w:sz w:val="13"/>
                <w:szCs w:val="13"/>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38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Dimensional Fund Advisors LP</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1299 Ocean Avenue</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Santa Monica, CA 90401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1,308,749</w:t>
            </w:r>
          </w:p>
        </w:tc>
        <w:tc>
          <w:tcPr>
            <w:tcW w:w="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(1)</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6"/>
        </w:trPr>
        <w:tc>
          <w:tcPr>
            <w:tcW w:w="6140" w:type="dxa"/>
            <w:vAlign w:val="bottom"/>
            <w:gridSpan w:val="3"/>
          </w:tcPr>
          <w:p>
            <w:pPr>
              <w:spacing w:after="0"/>
              <w:rPr>
                <w:sz w:val="20"/>
                <w:szCs w:val="20"/>
                <w:color w:val="auto"/>
              </w:rPr>
            </w:pPr>
            <w:r>
              <w:rPr>
                <w:rFonts w:ascii="Arial" w:cs="Arial" w:eastAsia="Arial" w:hAnsi="Arial"/>
                <w:sz w:val="18"/>
                <w:szCs w:val="18"/>
                <w:color w:val="auto"/>
              </w:rPr>
              <w:t>First Trust Advisors LP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200"/>
              <w:spacing w:after="0"/>
              <w:rPr>
                <w:sz w:val="20"/>
                <w:szCs w:val="20"/>
                <w:color w:val="auto"/>
              </w:rPr>
            </w:pPr>
            <w:r>
              <w:rPr>
                <w:rFonts w:ascii="Arial" w:cs="Arial" w:eastAsia="Arial" w:hAnsi="Arial"/>
                <w:sz w:val="18"/>
                <w:szCs w:val="18"/>
                <w:color w:val="auto"/>
              </w:rPr>
              <w:t>120 East Liberty Drive, Suite 400</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gridSpan w:val="2"/>
          </w:tcPr>
          <w:p>
            <w:pPr>
              <w:ind w:left="200"/>
              <w:spacing w:after="0"/>
              <w:rPr>
                <w:sz w:val="20"/>
                <w:szCs w:val="20"/>
                <w:color w:val="auto"/>
              </w:rPr>
            </w:pPr>
            <w:r>
              <w:rPr>
                <w:rFonts w:ascii="Arial" w:cs="Arial" w:eastAsia="Arial" w:hAnsi="Arial"/>
                <w:sz w:val="18"/>
                <w:szCs w:val="18"/>
                <w:color w:val="auto"/>
              </w:rPr>
              <w:t>Wheaton, IL 60187</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1,146,552</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w w:val="99"/>
              </w:rPr>
              <w:t>(2)</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1414 Avenue of the Americas</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1,088,001</w:t>
            </w:r>
          </w:p>
        </w:tc>
        <w:tc>
          <w:tcPr>
            <w:tcW w:w="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6"/>
        </w:trPr>
        <w:tc>
          <w:tcPr>
            <w:tcW w:w="6140" w:type="dxa"/>
            <w:vAlign w:val="bottom"/>
            <w:gridSpan w:val="3"/>
          </w:tcPr>
          <w:p>
            <w:pPr>
              <w:spacing w:after="0"/>
              <w:rPr>
                <w:sz w:val="20"/>
                <w:szCs w:val="20"/>
                <w:color w:val="auto"/>
              </w:rPr>
            </w:pPr>
            <w:r>
              <w:rPr>
                <w:rFonts w:ascii="Arial" w:cs="Arial" w:eastAsia="Arial" w:hAnsi="Arial"/>
                <w:sz w:val="18"/>
                <w:szCs w:val="18"/>
                <w:color w:val="auto"/>
              </w:rPr>
              <w:t>Systematic Financial Management LP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200"/>
              <w:spacing w:after="0"/>
              <w:rPr>
                <w:sz w:val="20"/>
                <w:szCs w:val="20"/>
                <w:color w:val="auto"/>
              </w:rPr>
            </w:pPr>
            <w:r>
              <w:rPr>
                <w:rFonts w:ascii="Arial" w:cs="Arial" w:eastAsia="Arial" w:hAnsi="Arial"/>
                <w:sz w:val="18"/>
                <w:szCs w:val="18"/>
                <w:color w:val="auto"/>
              </w:rPr>
              <w:t>300 Frank W. Burr Blvd.,</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200"/>
              <w:spacing w:after="0"/>
              <w:rPr>
                <w:sz w:val="20"/>
                <w:szCs w:val="20"/>
                <w:color w:val="auto"/>
              </w:rPr>
            </w:pPr>
            <w:r>
              <w:rPr>
                <w:rFonts w:ascii="Arial" w:cs="Arial" w:eastAsia="Arial" w:hAnsi="Arial"/>
                <w:sz w:val="18"/>
                <w:szCs w:val="18"/>
                <w:color w:val="auto"/>
              </w:rPr>
              <w:t>Glenpointe East, 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gridSpan w:val="2"/>
          </w:tcPr>
          <w:p>
            <w:pPr>
              <w:ind w:left="200"/>
              <w:spacing w:after="0"/>
              <w:rPr>
                <w:sz w:val="20"/>
                <w:szCs w:val="20"/>
                <w:color w:val="auto"/>
              </w:rPr>
            </w:pPr>
            <w:r>
              <w:rPr>
                <w:rFonts w:ascii="Arial" w:cs="Arial" w:eastAsia="Arial" w:hAnsi="Arial"/>
                <w:sz w:val="18"/>
                <w:szCs w:val="18"/>
                <w:color w:val="auto"/>
              </w:rPr>
              <w:t>Teaneck, NJ 07666</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1,030,489</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w w:val="99"/>
              </w:rPr>
              <w:t>(4)</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 Rock, Inc.</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1,024,215</w:t>
            </w:r>
          </w:p>
        </w:tc>
        <w:tc>
          <w:tcPr>
            <w:tcW w:w="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6"/>
        </w:trPr>
        <w:tc>
          <w:tcPr>
            <w:tcW w:w="6140" w:type="dxa"/>
            <w:vAlign w:val="bottom"/>
            <w:gridSpan w:val="3"/>
          </w:tcPr>
          <w:p>
            <w:pPr>
              <w:spacing w:after="0"/>
              <w:rPr>
                <w:sz w:val="20"/>
                <w:szCs w:val="20"/>
                <w:color w:val="auto"/>
              </w:rPr>
            </w:pPr>
            <w:r>
              <w:rPr>
                <w:rFonts w:ascii="Arial" w:cs="Arial" w:eastAsia="Arial" w:hAnsi="Arial"/>
                <w:sz w:val="18"/>
                <w:szCs w:val="18"/>
                <w:color w:val="auto"/>
              </w:rPr>
              <w:t>LSV Asset Management</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200"/>
              <w:spacing w:after="0"/>
              <w:rPr>
                <w:sz w:val="20"/>
                <w:szCs w:val="20"/>
                <w:color w:val="auto"/>
              </w:rPr>
            </w:pPr>
            <w:r>
              <w:rPr>
                <w:rFonts w:ascii="Arial" w:cs="Arial" w:eastAsia="Arial" w:hAnsi="Arial"/>
                <w:sz w:val="18"/>
                <w:szCs w:val="18"/>
                <w:color w:val="auto"/>
              </w:rPr>
              <w:t>155 N. Wacker Drive, Suite 4600</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gridSpan w:val="2"/>
          </w:tcPr>
          <w:p>
            <w:pPr>
              <w:ind w:left="200"/>
              <w:spacing w:after="0"/>
              <w:rPr>
                <w:sz w:val="20"/>
                <w:szCs w:val="20"/>
                <w:color w:val="auto"/>
              </w:rPr>
            </w:pPr>
            <w:r>
              <w:rPr>
                <w:rFonts w:ascii="Arial" w:cs="Arial" w:eastAsia="Arial" w:hAnsi="Arial"/>
                <w:sz w:val="18"/>
                <w:szCs w:val="18"/>
                <w:color w:val="auto"/>
              </w:rPr>
              <w:t>Chicago, IL 60606</w:t>
            </w:r>
          </w:p>
        </w:tc>
        <w:tc>
          <w:tcPr>
            <w:tcW w:w="760" w:type="dxa"/>
            <w:vAlign w:val="bottom"/>
          </w:tcPr>
          <w:p>
            <w:pPr>
              <w:jc w:val="right"/>
              <w:spacing w:after="0"/>
              <w:rPr>
                <w:sz w:val="20"/>
                <w:szCs w:val="20"/>
                <w:color w:val="auto"/>
              </w:rPr>
            </w:pPr>
            <w:r>
              <w:rPr>
                <w:rFonts w:ascii="Arial" w:cs="Arial" w:eastAsia="Arial" w:hAnsi="Arial"/>
                <w:sz w:val="18"/>
                <w:szCs w:val="18"/>
                <w:color w:val="auto"/>
              </w:rPr>
              <w:t>915,900</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w w:val="99"/>
              </w:rPr>
              <w:t>(6)</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based on Schedule 13G filed on February 14, 2012 with the SEC by Dimensional Fund Advisors LP.</w:t>
      </w:r>
    </w:p>
    <w:p>
      <w:pPr>
        <w:spacing w:after="0" w:line="15"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based on Schedule 13G filed jointly on February 9, 2012 with the SEC by First Trust Portfolios, LP, First Trust Advisors LP and the Charger Corporation.</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based on Schedule 13G filed on February 9, 2012 with the SEC by Royce &amp; Associates,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based on Schedule 13G filed on February 15, 2012 with the SEC by Systematic Financial Management LP.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based on Schedule 13G filed on February 9, 2012 with the SEC by BlackRock,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based on Schedule 13G filed on February 3, 2012 with the SEC by LSV Asset Management.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6" w:name="page17"/>
    <w:bookmarkEnd w:id="16"/>
    <w:p>
      <w:pPr>
        <w:ind w:right="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solely on its review of the copies of these reports furnished to the Company for the year ended December 31, 2011, the Company is not aware of any instance of noncompliance with Section 16(a) by its directors, executive officers or owners of more than 10% of the Common Stock.</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Principles</w:t>
      </w:r>
    </w:p>
    <w:p>
      <w:pPr>
        <w:spacing w:after="0" w:line="96"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goal of the Company is to structure its compensation arrangements for executive officers in a manner that will promote the Company’s profitability and enhance long-term shareholder value. In designing its compensation arrangements to achieve this goal, the Company is guided by the following objectives:</w:t>
      </w:r>
    </w:p>
    <w:p>
      <w:pPr>
        <w:spacing w:after="0" w:line="59"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the long-term success of the Company;</w:t>
      </w:r>
    </w:p>
    <w:p>
      <w:pPr>
        <w:spacing w:after="0" w:line="90" w:lineRule="exact"/>
        <w:rPr>
          <w:rFonts w:ascii="Arial" w:cs="Arial" w:eastAsia="Arial" w:hAnsi="Arial"/>
          <w:sz w:val="18"/>
          <w:szCs w:val="18"/>
          <w:color w:val="auto"/>
        </w:rPr>
      </w:pPr>
    </w:p>
    <w:p>
      <w:pPr>
        <w:ind w:left="1480" w:right="60" w:hanging="446"/>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the Company’s competitors;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the Company’s and the individual’s performance;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shareholders through stock-based compensation arrangements.</w:t>
      </w:r>
    </w:p>
    <w:p>
      <w:pPr>
        <w:spacing w:after="0" w:line="194"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In 2011, the components of the Company’s executive compensation arrangements consisted of salary, bonus opportunities, stock option award opportunities and restricted stock opportunities pursuant to the 2005 Stock Incentive Plan and the 2011 Stock Incentive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96"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Company structures its executive compensation arrangements in order to encourage executives to take appropriate risks designed to enhance Company performance and increase shareholder value in the long-term. The Company believes that providing a balanced mix of stock-based and cash compensation arrangements tied to both Company and individual performance goals provides an appropriate balance of incentives for executives and helps to avoid the taking of inappropriate risks. The Compensation Committee has assessed our compensation objectives, principles and forms of equity and cash based benefits for all employees, including executives, and has concluded that the Company’s compensation program and principles do not create risks that are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96" w:lineRule="exact"/>
        <w:rPr>
          <w:sz w:val="20"/>
          <w:szCs w:val="20"/>
          <w:color w:val="auto"/>
        </w:rPr>
      </w:pPr>
    </w:p>
    <w:p>
      <w:pPr>
        <w:ind w:right="100" w:firstLine="913"/>
        <w:spacing w:after="0" w:line="309" w:lineRule="auto"/>
        <w:rPr>
          <w:sz w:val="20"/>
          <w:szCs w:val="20"/>
          <w:color w:val="auto"/>
        </w:rPr>
      </w:pPr>
      <w:r>
        <w:rPr>
          <w:rFonts w:ascii="Arial" w:cs="Arial" w:eastAsia="Arial" w:hAnsi="Arial"/>
          <w:sz w:val="15"/>
          <w:szCs w:val="15"/>
          <w:color w:val="auto"/>
        </w:rPr>
        <w:t>The Company believes the interests of the Company and its shareholders are best served by developing and maintaining compensation policies that are consistent and competitive with peer group companies. The Company, therefore, periodically retains the services of an outside compensation consulting firm to conduct peer group benchmarking of public industrial companies of similar size, manufacturing capabilities and market segments and utilizes this information to aid in establishing a competitive compensation program for the Company. The following criteria are utilized as a basis for this program: performance (revenue growth, earnings per share growth, return on net assets, return on equity and total shareholder return), executive pay, bonus, benefits, and awards under the long-term stock incentive plan. The most recent benchmarking study conducted by Mercer, an outside consulting firm, in April 2010 included the following companies: WHX Corporation, Kaydon, Keystone Consolidated Industries, Haynes International Inc., Cascade Corporation, Ampco-Pittsburgh Corp., Gorman-Rupp Co., RBC Bearings Inc., MFRI Inc., Hardinge Inc., Flow Int’l Corp., Starett (L.S.), Universal Stainless &amp; Alloy Products, and Northwest Pipe Company. Additionally, the study utilized relevant published compensation surveys to develop total market data for executive management positions within the Company.</w:t>
      </w:r>
    </w:p>
    <w:p>
      <w:pPr>
        <w:spacing w:after="0" w:line="10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current executive compensation structure includes a formal salary grade structure that establishes five levels of executive compensation within the Company. In addition, a formal annual incentive bonus plan includes threshold, target and maximum awards based upon pre-established financial performance criteria.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Salary</w:t>
      </w:r>
    </w:p>
    <w:p>
      <w:pPr>
        <w:spacing w:after="0" w:line="96"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salary levels for the Company’s executive officers and other direct reports of the Chief Executive Officer are reviewed and determined annually by the Compensation Committee. Salaries are established and adjusted based upon three factors: individual performance, financial performance of the Company, and peer group and total market data established by the compensation studies performed by an outside compensation consulting firm. It is the policy of the Company to compensate executives in a targeted range of approximately the 50</w:t>
      </w:r>
      <w:r>
        <w:rPr>
          <w:rFonts w:ascii="Arial" w:cs="Arial" w:eastAsia="Arial" w:hAnsi="Arial"/>
          <w:sz w:val="10"/>
          <w:szCs w:val="10"/>
          <w:color w:val="auto"/>
        </w:rPr>
        <w:t>th</w:t>
      </w:r>
      <w:r>
        <w:rPr>
          <w:rFonts w:ascii="Arial" w:cs="Arial" w:eastAsia="Arial" w:hAnsi="Arial"/>
          <w:sz w:val="16"/>
          <w:szCs w:val="16"/>
          <w:color w:val="auto"/>
        </w:rPr>
        <w:t xml:space="preserve"> percentile of market of total direct compensation. Direct compensation is defined as base salary, bonus and awards under the long-term stock incentive plans.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96"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Annual non-equity incentive plan compensation payments are made contingent on achieving certain goals and objectives as defined in a formalized plan. Normally, at the beginning of each fiscal year, the Compensation Committee establishes net income goals for each operating business unit and the consolidated results of the Company based upon the Board-approved annual business plan. The Compensation Committee then sets certain threshold, target and maximum bonus payment percentages for each executive officer dependent upon the executive’s salary level and base compensation. The Compensation Committee, at its discretion, may make adjustments to the net income goals and set additional strategic goals based on certain factors as it feels appropriate and may grant bonuses using other criteria at its sole discretion.</w:t>
      </w:r>
    </w:p>
    <w:p>
      <w:pPr>
        <w:spacing w:after="0" w:line="12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Compensation Committee established a plan that allowed for payment of non-equity incentive plan compensation to all executive officers at certain target or threshold percentage levels contingent upon the Company reaching a goal of consolidated net income from normal operations of $18.1 million for the fiscal year of 2011.</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bonuses paid to Named Executive Officers for 2011 are set forth in the Summary Compensation Table.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9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2005 Stock Incentive Plan (“2005 Plan”), which was adopted by the Board on April 8, 2005 and approved by the shareholders on May 18, 2005, reserves 1.0 million shares of Common Stock for the issuance of options and stock appreciation rights and 300,000 shares of restricted stock, restricted stock units, performance shares and stock awards to directors, executive officers and other key employees. The 2005 Plan replaced the prior incentive plan which was adopted on March 2, 1994 and expired on March 2, 2004. Stock options granted under the former plan prior to its expiration are exercisable upon vesting for a period of ten years after the date of grant.</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2011 Stock Incentive Plan (“2011 Plan”), which was adopted by the Board on March 24, 2011 and approved by the shareholders on May 19, 2011 reserves an aggregate of 2.5 million shares of Common Stock for the issuance of options, stock appreciation rights, shares of restricted stock, restricted stock units, performance shares and stock awards to directors, executive officers and other key employees.</w:t>
      </w:r>
    </w:p>
    <w:p>
      <w:pPr>
        <w:spacing w:after="0" w:line="10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Stock options and restricted share grants to the Company’s executive officers and other key employees are generally reviewed and determined annually by the Compensation Committee. With respect to options and restricted shares awarded, the Committee considers the following: recommendations from the independent compensation review, Mr. Baty’s recommendations (other than for himself), interests of the Company in rewarding officers and other key employees for superior performance, and the need for financial incentives for officers and employees to continue to perform in a superior manner. During 2011, the Company awarded 216,000 options and 75,100 shares of restricted shares to eight executive officers, five non-employee directors and other key employees. Currently, there are 66,949 shares remaining under the 2005 Plan and 2,192,350 shares under the 2011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96"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Company’s decisions regarding compensation of its Chief Executive Officer are guided by the same policies and considerations that govern compensation of the Company’s other executive officers. Mr. Baty’s salary is established and adjusted based upon three factors: individual performance, financial performance of the Company, and peer group and total market data established by compensation studies performed by an outside compensation consulting firm. The Compensation Committee reviews and evaluates Mr. Baty’s individual performance annually on the basis of his actual performance in comparison to written financial and strategic objectives established at the beginning of the year by Mr. Baty and the Compensation Committee. The Compensation Committee also evaluates Mr. Baty based upon the financial performance of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as compared to the Company’s annual business plan and compares Mr. Baty’s compensation to the peer companies at the 50</w:t>
      </w:r>
      <w:r>
        <w:rPr>
          <w:rFonts w:ascii="Arial" w:cs="Arial" w:eastAsia="Arial" w:hAnsi="Arial"/>
          <w:sz w:val="11"/>
          <w:szCs w:val="11"/>
          <w:color w:val="auto"/>
        </w:rPr>
        <w:t>th</w:t>
      </w:r>
      <w:r>
        <w:rPr>
          <w:rFonts w:ascii="Arial" w:cs="Arial" w:eastAsia="Arial" w:hAnsi="Arial"/>
          <w:sz w:val="18"/>
          <w:szCs w:val="18"/>
          <w:color w:val="auto"/>
        </w:rPr>
        <w:t xml:space="preserve"> percentile of market of total direct compensation. Direct compensation is defined as base salary, bonus and awards under the long-term stock incentive plans. Additionally, on an annual basis, Mr. Baty prepares a written succession plan that is reviewed by the Compensation Committee. This plan includes a plan of succession for Mr. Baty and the executive management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Advisory Vote on Executive Compensation.</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provides its shareholders with the opportunity to cast an annual advisory vote to approve executive compensation. At the 2011 Annual Meeting, an overwhelming majority of the votes cast at the meeting voted in favor of approval of the Company’s executive compensation. The Board believes this affirms shareholders’ support of the Company’s approach to executive compensation, and did not change its approach in 2011. The Board will continue to consider the outcome of the annual advisory votes when making future compensation decisions for the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Internal Revenue Code Section 162(m)</w:t>
      </w:r>
    </w:p>
    <w:p>
      <w:pPr>
        <w:spacing w:after="0" w:line="9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Section 162(m) of the Internal Revenue Code of 1986, as amended, precludes any public corporation from taking a deduction for compensation in excess of $1 million paid to its chief executive officer and certain other executive officers. Certain performance-based compensation, however, is exempt from the deduction limit. No formal policy has been adopted by the Company with respect to minimizing the risk that compensation paid to its executive officers will exceed the deduction limit. Although the Compensation Committee uses the requirements of Section 162(m) as a guideline, deductibility is not the sole factor it considers in assessing the appropriate levels and types of executive compensation and it will elect to forgo deductibility when it believes it is in the best interests of the Company and our shareholders.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96"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following table sets forth for the year ended December 31, 2011 information concerning the compensation paid for services rendered in all capacities by the Company to its Chief Executive Officer and Chief Financial Officer and to each of the other three most highly compensated executive officers of the Company whose annual salary and bonus in 2011 exceeded $100,000 (collectively, the “Named Executive Officers”).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and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Non-equity</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Salary</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Bonus</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Earnings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0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260" w:type="dxa"/>
            <w:vAlign w:val="bottom"/>
          </w:tcPr>
          <w:p>
            <w:pPr>
              <w:spacing w:after="0"/>
              <w:rPr>
                <w:sz w:val="13"/>
                <w:szCs w:val="13"/>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240" w:type="dxa"/>
            <w:vAlign w:val="bottom"/>
          </w:tcPr>
          <w:p>
            <w:pPr>
              <w:spacing w:after="0"/>
              <w:rPr>
                <w:sz w:val="13"/>
                <w:szCs w:val="13"/>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260" w:type="dxa"/>
            <w:vAlign w:val="bottom"/>
          </w:tcPr>
          <w:p>
            <w:pPr>
              <w:spacing w:after="0"/>
              <w:rPr>
                <w:sz w:val="13"/>
                <w:szCs w:val="13"/>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84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rPr>
              <w:t>($)(4)(5)(6)</w:t>
            </w:r>
          </w:p>
        </w:tc>
        <w:tc>
          <w:tcPr>
            <w:tcW w:w="240" w:type="dxa"/>
            <w:vAlign w:val="bottom"/>
          </w:tcPr>
          <w:p>
            <w:pPr>
              <w:spacing w:after="0"/>
              <w:rPr>
                <w:sz w:val="13"/>
                <w:szCs w:val="13"/>
                <w:color w:val="auto"/>
              </w:rPr>
            </w:pPr>
          </w:p>
        </w:tc>
        <w:tc>
          <w:tcPr>
            <w:tcW w:w="760" w:type="dxa"/>
            <w:vAlign w:val="bottom"/>
          </w:tcPr>
          <w:p>
            <w:pPr>
              <w:jc w:val="right"/>
              <w:ind w:right="215"/>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Roderick R. Baty</w:t>
            </w:r>
          </w:p>
        </w:tc>
        <w:tc>
          <w:tcPr>
            <w:tcW w:w="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516,615</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144,126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114,190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Chairman/Chief</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507,011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145,860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Executive Officer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351,312</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34,650</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James H. Dorton</w:t>
            </w:r>
          </w:p>
        </w:tc>
        <w:tc>
          <w:tcPr>
            <w:tcW w:w="800" w:type="dxa"/>
            <w:vAlign w:val="bottom"/>
            <w:gridSpan w:val="3"/>
          </w:tcPr>
          <w:p>
            <w:pPr>
              <w:ind w:left="200"/>
              <w:spacing w:after="0"/>
              <w:rPr>
                <w:sz w:val="20"/>
                <w:szCs w:val="20"/>
                <w:color w:val="auto"/>
              </w:rPr>
            </w:pPr>
            <w:r>
              <w:rPr>
                <w:rFonts w:ascii="Arial" w:cs="Arial" w:eastAsia="Arial" w:hAnsi="Arial"/>
                <w:sz w:val="18"/>
                <w:szCs w:val="18"/>
                <w:color w:val="auto"/>
              </w:rPr>
              <w:t>2011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300,000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89,019</w:t>
            </w:r>
          </w:p>
        </w:tc>
        <w:tc>
          <w:tcPr>
            <w:tcW w:w="2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72,120</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24"/>
                <w:szCs w:val="24"/>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21,428</w:t>
            </w:r>
          </w:p>
        </w:tc>
        <w:tc>
          <w:tcPr>
            <w:tcW w:w="760" w:type="dxa"/>
            <w:vAlign w:val="bottom"/>
          </w:tcPr>
          <w:p>
            <w:pPr>
              <w:jc w:val="right"/>
              <w:spacing w:after="0"/>
              <w:rPr>
                <w:sz w:val="20"/>
                <w:szCs w:val="20"/>
                <w:color w:val="auto"/>
              </w:rPr>
            </w:pPr>
            <w:r>
              <w:rPr>
                <w:rFonts w:ascii="Arial" w:cs="Arial" w:eastAsia="Arial" w:hAnsi="Arial"/>
                <w:sz w:val="18"/>
                <w:szCs w:val="18"/>
                <w:color w:val="auto"/>
              </w:rPr>
              <w:t>632,567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b w:val="1"/>
                <w:bCs w:val="1"/>
                <w:color w:val="auto"/>
              </w:rPr>
              <w:t>Sr. Vice President –</w:t>
            </w:r>
          </w:p>
        </w:tc>
        <w:tc>
          <w:tcPr>
            <w:tcW w:w="800" w:type="dxa"/>
            <w:vAlign w:val="bottom"/>
            <w:gridSpan w:val="3"/>
          </w:tcPr>
          <w:p>
            <w:pPr>
              <w:ind w:left="200"/>
              <w:spacing w:after="0"/>
              <w:rPr>
                <w:sz w:val="20"/>
                <w:szCs w:val="20"/>
                <w:color w:val="auto"/>
              </w:rPr>
            </w:pPr>
            <w:r>
              <w:rPr>
                <w:rFonts w:ascii="Arial" w:cs="Arial" w:eastAsia="Arial" w:hAnsi="Arial"/>
                <w:sz w:val="18"/>
                <w:szCs w:val="18"/>
                <w:color w:val="auto"/>
              </w:rPr>
              <w:t>2010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295,664</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75,140</w:t>
            </w:r>
          </w:p>
        </w:tc>
        <w:tc>
          <w:tcPr>
            <w:tcW w:w="26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135,000</w:t>
            </w:r>
          </w:p>
        </w:tc>
        <w:tc>
          <w:tcPr>
            <w:tcW w:w="26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15,571</w:t>
            </w:r>
          </w:p>
        </w:tc>
        <w:tc>
          <w:tcPr>
            <w:tcW w:w="760" w:type="dxa"/>
            <w:vAlign w:val="bottom"/>
          </w:tcPr>
          <w:p>
            <w:pPr>
              <w:jc w:val="right"/>
              <w:spacing w:after="0"/>
              <w:rPr>
                <w:sz w:val="20"/>
                <w:szCs w:val="20"/>
                <w:color w:val="auto"/>
              </w:rPr>
            </w:pPr>
            <w:r>
              <w:rPr>
                <w:rFonts w:ascii="Arial" w:cs="Arial" w:eastAsia="Arial" w:hAnsi="Arial"/>
                <w:sz w:val="18"/>
                <w:szCs w:val="18"/>
                <w:color w:val="auto"/>
              </w:rPr>
              <w:t>521,375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b w:val="1"/>
                <w:bCs w:val="1"/>
                <w:color w:val="auto"/>
              </w:rPr>
              <w:t>Chief Financial Officer</w:t>
            </w:r>
          </w:p>
        </w:tc>
        <w:tc>
          <w:tcPr>
            <w:tcW w:w="800" w:type="dxa"/>
            <w:vAlign w:val="bottom"/>
            <w:gridSpan w:val="3"/>
          </w:tcPr>
          <w:p>
            <w:pPr>
              <w:ind w:left="200"/>
              <w:spacing w:after="0"/>
              <w:rPr>
                <w:sz w:val="20"/>
                <w:szCs w:val="20"/>
                <w:color w:val="auto"/>
              </w:rPr>
            </w:pPr>
            <w:r>
              <w:rPr>
                <w:rFonts w:ascii="Arial" w:cs="Arial" w:eastAsia="Arial" w:hAnsi="Arial"/>
                <w:sz w:val="18"/>
                <w:szCs w:val="18"/>
                <w:color w:val="auto"/>
              </w:rPr>
              <w:t>2009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219,717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15,400</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9,533</w:t>
            </w:r>
          </w:p>
        </w:tc>
        <w:tc>
          <w:tcPr>
            <w:tcW w:w="760" w:type="dxa"/>
            <w:vAlign w:val="bottom"/>
          </w:tcPr>
          <w:p>
            <w:pPr>
              <w:jc w:val="right"/>
              <w:spacing w:after="0"/>
              <w:rPr>
                <w:sz w:val="20"/>
                <w:szCs w:val="20"/>
                <w:color w:val="auto"/>
              </w:rPr>
            </w:pPr>
            <w:r>
              <w:rPr>
                <w:rFonts w:ascii="Arial" w:cs="Arial" w:eastAsia="Arial" w:hAnsi="Arial"/>
                <w:sz w:val="18"/>
                <w:szCs w:val="18"/>
                <w:color w:val="auto"/>
              </w:rPr>
              <w:t>244,650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Frank T. Gentry III</w:t>
            </w:r>
          </w:p>
        </w:tc>
        <w:tc>
          <w:tcPr>
            <w:tcW w:w="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300,000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Sr. Vice President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329,218</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Managing Director,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244,298</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15,540</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Metal Bearing Components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Jeffery H. Hodge</w:t>
            </w:r>
          </w:p>
        </w:tc>
        <w:tc>
          <w:tcPr>
            <w:tcW w:w="800" w:type="dxa"/>
            <w:vAlign w:val="bottom"/>
            <w:gridSpan w:val="3"/>
          </w:tcPr>
          <w:p>
            <w:pPr>
              <w:ind w:left="200"/>
              <w:spacing w:after="0"/>
              <w:rPr>
                <w:sz w:val="20"/>
                <w:szCs w:val="20"/>
                <w:color w:val="auto"/>
              </w:rPr>
            </w:pPr>
            <w:r>
              <w:rPr>
                <w:rFonts w:ascii="Arial" w:cs="Arial" w:eastAsia="Arial" w:hAnsi="Arial"/>
                <w:sz w:val="18"/>
                <w:szCs w:val="18"/>
                <w:color w:val="auto"/>
              </w:rPr>
              <w:t>2011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210,000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66,411</w:t>
            </w:r>
          </w:p>
        </w:tc>
        <w:tc>
          <w:tcPr>
            <w:tcW w:w="2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54,090</w:t>
            </w:r>
          </w:p>
        </w:tc>
        <w:tc>
          <w:tcPr>
            <w:tcW w:w="840" w:type="dxa"/>
            <w:vAlign w:val="bottom"/>
          </w:tcPr>
          <w:p>
            <w:pPr>
              <w:jc w:val="right"/>
              <w:spacing w:after="0"/>
              <w:rPr>
                <w:sz w:val="20"/>
                <w:szCs w:val="20"/>
                <w:color w:val="auto"/>
              </w:rPr>
            </w:pPr>
            <w:r>
              <w:rPr>
                <w:rFonts w:ascii="Arial" w:cs="Arial" w:eastAsia="Arial" w:hAnsi="Arial"/>
                <w:sz w:val="18"/>
                <w:szCs w:val="18"/>
                <w:color w:val="auto"/>
              </w:rPr>
              <w:t>99,225</w:t>
            </w:r>
          </w:p>
        </w:tc>
        <w:tc>
          <w:tcPr>
            <w:tcW w:w="260" w:type="dxa"/>
            <w:vAlign w:val="bottom"/>
          </w:tcPr>
          <w:p>
            <w:pPr>
              <w:spacing w:after="0"/>
              <w:rPr>
                <w:sz w:val="24"/>
                <w:szCs w:val="24"/>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19,355</w:t>
            </w:r>
          </w:p>
        </w:tc>
        <w:tc>
          <w:tcPr>
            <w:tcW w:w="760" w:type="dxa"/>
            <w:vAlign w:val="bottom"/>
          </w:tcPr>
          <w:p>
            <w:pPr>
              <w:jc w:val="right"/>
              <w:spacing w:after="0"/>
              <w:rPr>
                <w:sz w:val="20"/>
                <w:szCs w:val="20"/>
                <w:color w:val="auto"/>
              </w:rPr>
            </w:pPr>
            <w:r>
              <w:rPr>
                <w:rFonts w:ascii="Arial" w:cs="Arial" w:eastAsia="Arial" w:hAnsi="Arial"/>
                <w:sz w:val="18"/>
                <w:szCs w:val="18"/>
                <w:color w:val="auto"/>
              </w:rPr>
              <w:t>449,081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b w:val="1"/>
                <w:bCs w:val="1"/>
                <w:color w:val="auto"/>
              </w:rPr>
              <w:t>Vice President –</w:t>
            </w:r>
          </w:p>
        </w:tc>
        <w:tc>
          <w:tcPr>
            <w:tcW w:w="800" w:type="dxa"/>
            <w:vAlign w:val="bottom"/>
            <w:gridSpan w:val="3"/>
          </w:tcPr>
          <w:p>
            <w:pPr>
              <w:ind w:left="200"/>
              <w:spacing w:after="0"/>
              <w:rPr>
                <w:sz w:val="20"/>
                <w:szCs w:val="20"/>
                <w:color w:val="auto"/>
              </w:rPr>
            </w:pPr>
            <w:r>
              <w:rPr>
                <w:rFonts w:ascii="Arial" w:cs="Arial" w:eastAsia="Arial" w:hAnsi="Arial"/>
                <w:sz w:val="18"/>
                <w:szCs w:val="18"/>
                <w:color w:val="auto"/>
              </w:rPr>
              <w:t>2010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207,489</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53,040</w:t>
            </w:r>
          </w:p>
        </w:tc>
        <w:tc>
          <w:tcPr>
            <w:tcW w:w="26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105,000</w:t>
            </w:r>
          </w:p>
        </w:tc>
        <w:tc>
          <w:tcPr>
            <w:tcW w:w="26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15,772</w:t>
            </w:r>
          </w:p>
        </w:tc>
        <w:tc>
          <w:tcPr>
            <w:tcW w:w="760" w:type="dxa"/>
            <w:vAlign w:val="bottom"/>
          </w:tcPr>
          <w:p>
            <w:pPr>
              <w:jc w:val="right"/>
              <w:spacing w:after="0"/>
              <w:rPr>
                <w:sz w:val="20"/>
                <w:szCs w:val="20"/>
                <w:color w:val="auto"/>
              </w:rPr>
            </w:pPr>
            <w:r>
              <w:rPr>
                <w:rFonts w:ascii="Arial" w:cs="Arial" w:eastAsia="Arial" w:hAnsi="Arial"/>
                <w:sz w:val="18"/>
                <w:szCs w:val="18"/>
                <w:color w:val="auto"/>
              </w:rPr>
              <w:t>381,301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b w:val="1"/>
                <w:bCs w:val="1"/>
                <w:color w:val="auto"/>
              </w:rPr>
              <w:t>General Manager,</w:t>
            </w:r>
          </w:p>
        </w:tc>
        <w:tc>
          <w:tcPr>
            <w:tcW w:w="800" w:type="dxa"/>
            <w:vAlign w:val="bottom"/>
            <w:gridSpan w:val="3"/>
          </w:tcPr>
          <w:p>
            <w:pPr>
              <w:ind w:left="200"/>
              <w:spacing w:after="0"/>
              <w:rPr>
                <w:sz w:val="20"/>
                <w:szCs w:val="20"/>
                <w:color w:val="auto"/>
              </w:rPr>
            </w:pPr>
            <w:r>
              <w:rPr>
                <w:rFonts w:ascii="Arial" w:cs="Arial" w:eastAsia="Arial" w:hAnsi="Arial"/>
                <w:sz w:val="18"/>
                <w:szCs w:val="18"/>
                <w:color w:val="auto"/>
              </w:rPr>
              <w:t>2009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165,136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11,550</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10,118</w:t>
            </w:r>
          </w:p>
        </w:tc>
        <w:tc>
          <w:tcPr>
            <w:tcW w:w="760" w:type="dxa"/>
            <w:vAlign w:val="bottom"/>
          </w:tcPr>
          <w:p>
            <w:pPr>
              <w:jc w:val="right"/>
              <w:spacing w:after="0"/>
              <w:rPr>
                <w:sz w:val="20"/>
                <w:szCs w:val="20"/>
                <w:color w:val="auto"/>
              </w:rPr>
            </w:pPr>
            <w:r>
              <w:rPr>
                <w:rFonts w:ascii="Arial" w:cs="Arial" w:eastAsia="Arial" w:hAnsi="Arial"/>
                <w:sz w:val="18"/>
                <w:szCs w:val="18"/>
                <w:color w:val="auto"/>
              </w:rPr>
              <w:t>186,804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b w:val="1"/>
                <w:bCs w:val="1"/>
                <w:color w:val="auto"/>
              </w:rPr>
              <w:t>U.S. Ball &amp; Roller</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James R. Widders</w:t>
            </w:r>
          </w:p>
        </w:tc>
        <w:tc>
          <w:tcPr>
            <w:tcW w:w="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210,000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144,240</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Vice President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General Manager,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Precision Metal Components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80" w:hanging="452"/>
        <w:spacing w:after="0" w:line="28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of 10,200, 6,300, 6,300, 4,700 and 4,700 of stock awarded to Messrs. Baty, Dorton, Gentry, Hodge and Widders, respectively. On May 26, 2011, the Company awarded 75,100 shares of the Company’s restricted stock to five non-employee directors, seven executive officers and other key employees. The restricted stock awards to officers and other key employees vest over a period of three years beginning on the first anniversary of the date of grant.</w:t>
      </w:r>
    </w:p>
    <w:p>
      <w:pPr>
        <w:spacing w:after="0" w:line="2"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of 19,000, 12,000, 12,000, 9,000 and 9,000 of options to purchase the Company’s stock awarded to Messrs. Baty, Dorton, Gentry, Hodge and Widders. On May 26, 2011, the Company awarded 201,000 options to purchase the Company’s stock to five non-employee directors, eight executive officers and other key employees. On June 2, 2011, the Company granted 15,000 options to purchase shares to Mr. Widders.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2011 filed with the Commission on March 15, 2012.</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Generally, bonuses earned in one fiscal year are paid in the first quarter of the next year. Bonuses earned during 2011 were paid in March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include $14,400 for a car allowance for each of Messrs. Baty, Dorton, Gentry, Hodge and Widders.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include $4,900, $4,900, $4,900, $4,200 and $2,668 in Company-matched contributions under a “401(k)” savings plan for Messrs. Baty, Dorton, Gentry, Hodge and Widders, respectively. This 401(k) savings plan is open to substantially all of the Company’s U.S. employees and officers who have met certain service and age requirements.</w:t>
      </w:r>
    </w:p>
    <w:p>
      <w:pPr>
        <w:spacing w:after="0" w:line="1"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include $2,374, $2,128, $2,095 and $755 in premiums paid by the Company for supplemental life insurance for the benefit of Messrs. Baty, Dorton, Gentry and Hodge,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options granted during 2011 to the Named Executive Officers.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2360" w:type="dxa"/>
            <w:vAlign w:val="bottom"/>
            <w:gridSpan w:val="6"/>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Estimated Future Payouts Under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Number of</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or Base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23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Equity Incentive Plan</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Price of</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Awards</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Awards</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Stock or</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Underlying</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2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Grant</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Threshold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Maximum</w:t>
            </w:r>
          </w:p>
        </w:tc>
        <w:tc>
          <w:tcPr>
            <w:tcW w:w="24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2"/>
              </w:rPr>
              <w:t>Threshold</w:t>
            </w:r>
          </w:p>
        </w:tc>
        <w:tc>
          <w:tcPr>
            <w:tcW w:w="260" w:type="dxa"/>
            <w:vAlign w:val="bottom"/>
          </w:tcPr>
          <w:p>
            <w:pPr>
              <w:spacing w:after="0"/>
              <w:rPr>
                <w:sz w:val="11"/>
                <w:szCs w:val="11"/>
                <w:color w:val="auto"/>
              </w:rPr>
            </w:pPr>
          </w:p>
        </w:tc>
        <w:tc>
          <w:tcPr>
            <w:tcW w:w="6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Maximum</w:t>
            </w:r>
          </w:p>
        </w:tc>
        <w:tc>
          <w:tcPr>
            <w:tcW w:w="26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Units</w:t>
            </w: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Options</w:t>
            </w: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Awards</w:t>
            </w:r>
          </w:p>
        </w:tc>
        <w:tc>
          <w:tcPr>
            <w:tcW w:w="7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55"/>
        </w:trPr>
        <w:tc>
          <w:tcPr>
            <w:tcW w:w="2620" w:type="dxa"/>
            <w:vAlign w:val="bottom"/>
            <w:gridSpan w:val="3"/>
            <w:vMerge w:val="continue"/>
          </w:tcPr>
          <w:p>
            <w:pPr>
              <w:spacing w:after="0"/>
              <w:rPr>
                <w:sz w:val="13"/>
                <w:szCs w:val="13"/>
                <w:color w:val="auto"/>
              </w:rPr>
            </w:pPr>
          </w:p>
        </w:tc>
        <w:tc>
          <w:tcPr>
            <w:tcW w:w="6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Date</w:t>
            </w: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8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u w:val="single" w:color="auto"/>
                <w:color w:val="auto"/>
                <w:w w:val="90"/>
              </w:rPr>
              <w:t>Target($</w:t>
            </w:r>
            <w:r>
              <w:rPr>
                <w:rFonts w:ascii="Arial" w:cs="Arial" w:eastAsia="Arial" w:hAnsi="Arial"/>
                <w:sz w:val="14"/>
                <w:szCs w:val="14"/>
                <w:b w:val="1"/>
                <w:bCs w:val="1"/>
                <w:color w:val="auto"/>
                <w:w w:val="90"/>
              </w:rPr>
              <w:t>)</w:t>
            </w:r>
          </w:p>
        </w:tc>
        <w:tc>
          <w:tcPr>
            <w:tcW w:w="62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00" w:type="dxa"/>
            <w:vAlign w:val="bottom"/>
          </w:tcPr>
          <w:p>
            <w:pPr>
              <w:jc w:val="right"/>
              <w:ind w:right="138"/>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3"/>
                <w:szCs w:val="13"/>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240" w:type="dxa"/>
            <w:vAlign w:val="bottom"/>
          </w:tcPr>
          <w:p>
            <w:pPr>
              <w:spacing w:after="0"/>
              <w:rPr>
                <w:sz w:val="13"/>
                <w:szCs w:val="13"/>
                <w:color w:val="auto"/>
              </w:rPr>
            </w:pPr>
          </w:p>
        </w:tc>
        <w:tc>
          <w:tcPr>
            <w:tcW w:w="7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($/sh)</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Baty</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6,300</w:t>
            </w:r>
          </w:p>
        </w:tc>
        <w:tc>
          <w:tcPr>
            <w:tcW w:w="680" w:type="dxa"/>
            <w:vAlign w:val="bottom"/>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161,139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Mr. Hodge</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4,700</w:t>
            </w:r>
          </w:p>
        </w:tc>
        <w:tc>
          <w:tcPr>
            <w:tcW w:w="680" w:type="dxa"/>
            <w:vAlign w:val="bottom"/>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20" w:hanging="452"/>
        <w:spacing w:after="0" w:line="305"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On May 26, 2011, the Company awarded 75,100 shares of stock to five non-employee directors, seven executive officers and other key employees. The restricted stock awards to officers and other key employees vest over a period of three years beginning on the first anniversary of the date of grant.</w:t>
      </w:r>
    </w:p>
    <w:p>
      <w:pPr>
        <w:ind w:left="460" w:right="100" w:hanging="452"/>
        <w:spacing w:after="0" w:line="29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May 26, 2011, the Company awarded 201,000 stock options to five non-employee directors, eight executive officers and other key employees. On June 2, 2011, the Company awarded 15,000 stock options to Mr. Widders. The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2011, filed with the Commission on March 15, 2012.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outstanding equity awards as of December 31, 2011.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Equity</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Equity</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Incentive</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Market</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Value of</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Unearned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Awards: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Shares or</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Shares,</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9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Units of</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or Units</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Units or</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Securities</w:t>
            </w:r>
          </w:p>
        </w:tc>
        <w:tc>
          <w:tcPr>
            <w:tcW w:w="26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Securities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of Stock</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9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That Have</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That</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Rights</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9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Not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Have Not</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That Have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Options (#)</w:t>
            </w:r>
          </w:p>
        </w:tc>
        <w:tc>
          <w:tcPr>
            <w:tcW w:w="260" w:type="dxa"/>
            <w:vAlign w:val="bottom"/>
          </w:tcPr>
          <w:p>
            <w:pPr>
              <w:spacing w:after="0"/>
              <w:rPr>
                <w:sz w:val="12"/>
                <w:szCs w:val="12"/>
                <w:color w:val="auto"/>
              </w:rPr>
            </w:pPr>
          </w:p>
        </w:tc>
        <w:tc>
          <w:tcPr>
            <w:tcW w:w="9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Options (#)</w:t>
            </w:r>
          </w:p>
        </w:tc>
        <w:tc>
          <w:tcPr>
            <w:tcW w:w="34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5"/>
              </w:rPr>
              <w:t>Unearned</w:t>
            </w: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Price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Vested</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Vested</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55"/>
        </w:trPr>
        <w:tc>
          <w:tcPr>
            <w:tcW w:w="21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4"/>
              </w:rPr>
              <w:t>Exercisable(1)</w:t>
            </w:r>
          </w:p>
        </w:tc>
        <w:tc>
          <w:tcPr>
            <w:tcW w:w="260" w:type="dxa"/>
            <w:vAlign w:val="bottom"/>
          </w:tcPr>
          <w:p>
            <w:pPr>
              <w:spacing w:after="0"/>
              <w:rPr>
                <w:sz w:val="13"/>
                <w:szCs w:val="13"/>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Unexercisable(1)</w:t>
            </w:r>
          </w:p>
        </w:tc>
        <w:tc>
          <w:tcPr>
            <w:tcW w:w="340" w:type="dxa"/>
            <w:vAlign w:val="bottom"/>
          </w:tcPr>
          <w:p>
            <w:pPr>
              <w:spacing w:after="0"/>
              <w:rPr>
                <w:sz w:val="13"/>
                <w:szCs w:val="13"/>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Options (#)</w:t>
            </w: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3"/>
                <w:szCs w:val="13"/>
                <w:color w:val="auto"/>
              </w:rPr>
            </w:pPr>
          </w:p>
        </w:tc>
        <w:tc>
          <w:tcPr>
            <w:tcW w:w="11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340" w:type="dxa"/>
            <w:vAlign w:val="bottom"/>
          </w:tcPr>
          <w:p>
            <w:pPr>
              <w:spacing w:after="0"/>
              <w:rPr>
                <w:sz w:val="13"/>
                <w:szCs w:val="13"/>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340" w:type="dxa"/>
            <w:vAlign w:val="bottom"/>
          </w:tcPr>
          <w:p>
            <w:pPr>
              <w:spacing w:after="0"/>
              <w:rPr>
                <w:sz w:val="13"/>
                <w:szCs w:val="13"/>
                <w:color w:val="auto"/>
              </w:rPr>
            </w:pPr>
          </w:p>
        </w:tc>
        <w:tc>
          <w:tcPr>
            <w:tcW w:w="9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Vested (#)</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Baty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12.62</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3/1/2014</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8/19/2015</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8/14/2016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12.12</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5/25/2017</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3/6/2018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3/25/2019</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5/26/2021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144,126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120" w:type="dxa"/>
            <w:vAlign w:val="bottom"/>
            <w:gridSpan w:val="3"/>
          </w:tcPr>
          <w:p>
            <w:pPr>
              <w:spacing w:after="0"/>
              <w:rPr>
                <w:sz w:val="20"/>
                <w:szCs w:val="20"/>
                <w:color w:val="auto"/>
              </w:rPr>
            </w:pPr>
            <w:r>
              <w:rPr>
                <w:rFonts w:ascii="Arial" w:cs="Arial" w:eastAsia="Arial" w:hAnsi="Arial"/>
                <w:sz w:val="18"/>
                <w:szCs w:val="18"/>
                <w:color w:val="auto"/>
              </w:rPr>
              <w:t>Mr. Dorton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11.61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8/19/2015</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11,250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8/14/2016</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11,250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12.12</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5/25/2017</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3/6/2018</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13,334</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6,666</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3/25/2019</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14.13</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5/26/2021</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6,300</w:t>
            </w:r>
          </w:p>
        </w:tc>
        <w:tc>
          <w:tcPr>
            <w:tcW w:w="640" w:type="dxa"/>
            <w:vAlign w:val="bottom"/>
          </w:tcPr>
          <w:p>
            <w:pPr>
              <w:jc w:val="right"/>
              <w:spacing w:after="0"/>
              <w:rPr>
                <w:sz w:val="20"/>
                <w:szCs w:val="20"/>
                <w:color w:val="auto"/>
              </w:rPr>
            </w:pPr>
            <w:r>
              <w:rPr>
                <w:rFonts w:ascii="Arial" w:cs="Arial" w:eastAsia="Arial" w:hAnsi="Arial"/>
                <w:sz w:val="18"/>
                <w:szCs w:val="18"/>
                <w:color w:val="auto"/>
              </w:rPr>
              <w:t>89,019</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12.62</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3/1/2014</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8/19/2015</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8/14/2016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12.12</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5/25/2017</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3/6/02018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3/25/2019</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3/16/2020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5/26/2021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120" w:type="dxa"/>
            <w:vAlign w:val="bottom"/>
            <w:gridSpan w:val="3"/>
          </w:tcPr>
          <w:p>
            <w:pPr>
              <w:spacing w:after="0"/>
              <w:rPr>
                <w:sz w:val="20"/>
                <w:szCs w:val="20"/>
                <w:color w:val="auto"/>
              </w:rPr>
            </w:pPr>
            <w:r>
              <w:rPr>
                <w:rFonts w:ascii="Arial" w:cs="Arial" w:eastAsia="Arial" w:hAnsi="Arial"/>
                <w:sz w:val="18"/>
                <w:szCs w:val="18"/>
                <w:color w:val="auto"/>
              </w:rPr>
              <w:t>Mr. Hodge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8/14/2016</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12.12</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5/25/2017</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3/6/02018</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3/25/2019</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14.13</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5/26/2021</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4,700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66,411</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5/26/2021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6/2/2021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66,411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options vest by one-third on each anniversary date over a three-year period beginning on the first anniversary date of grant.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Restricted shares vest one-third on each anniversary date over a three-year period beginning on the first anniversary date of grant.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information with respect to option exercises and stock vesting as of December 31, 2011.</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 During 2011</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140" w:type="dxa"/>
            <w:vAlign w:val="bottom"/>
            <w:gridSpan w:val="4"/>
          </w:tcPr>
          <w:p>
            <w:pPr>
              <w:ind w:left="380"/>
              <w:spacing w:after="0"/>
              <w:rPr>
                <w:sz w:val="20"/>
                <w:szCs w:val="20"/>
                <w:color w:val="auto"/>
              </w:rPr>
            </w:pPr>
            <w:r>
              <w:rPr>
                <w:rFonts w:ascii="Arial" w:cs="Arial" w:eastAsia="Arial" w:hAnsi="Arial"/>
                <w:sz w:val="14"/>
                <w:szCs w:val="14"/>
                <w:b w:val="1"/>
                <w:bCs w:val="1"/>
                <w:color w:val="auto"/>
              </w:rPr>
              <w:t>Option Awards</w:t>
            </w: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2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Value</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of Shares</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Acquired</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Realized</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Acquired</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on</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on</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on</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9"/>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Vesting</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55"/>
        </w:trPr>
        <w:tc>
          <w:tcPr>
            <w:tcW w:w="6740" w:type="dxa"/>
            <w:vAlign w:val="bottom"/>
            <w:gridSpan w:val="3"/>
            <w:vMerge w:val="continue"/>
          </w:tcPr>
          <w:p>
            <w:pPr>
              <w:spacing w:after="0"/>
              <w:rPr>
                <w:sz w:val="13"/>
                <w:szCs w:val="13"/>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3"/>
                <w:szCs w:val="13"/>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3"/>
                <w:szCs w:val="13"/>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480" w:type="dxa"/>
            <w:vAlign w:val="bottom"/>
          </w:tcPr>
          <w:p>
            <w:pPr>
              <w:spacing w:after="0"/>
              <w:rPr>
                <w:sz w:val="13"/>
                <w:szCs w:val="13"/>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Baty</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75,000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512,152</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Mr. Hodge</w:t>
            </w: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96"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Messrs. Baty, Dorton, Gentry, Hodge and Kelly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Baty, Dorton, Gentry, Hodge and Kelly have a written change of control agreement. These agreements state if an executive’s employment is terminated within two years following a change of control as defined in the document that each executive will receive a lump sum payment equal to a multiple of his annual salary plus a multiple of his median bonus available at his specific target percentage. The multiple for each of the executive officers salary is as follows: Mr. Baty – 2.5, Mr. Dorton – 2.0, Mr. Gentry – 2.0, Mr. Hodge – 2.0, Mr. Kelly – 2.0. The percentage for each of the executive officers bonus is Mr. Baty</w:t>
      </w:r>
    </w:p>
    <w:p>
      <w:pPr>
        <w:ind w:right="620"/>
        <w:spacing w:after="0" w:line="255" w:lineRule="auto"/>
        <w:rPr>
          <w:sz w:val="20"/>
          <w:szCs w:val="20"/>
          <w:color w:val="auto"/>
        </w:rPr>
      </w:pPr>
      <w:r>
        <w:rPr>
          <w:rFonts w:ascii="Arial" w:cs="Arial" w:eastAsia="Arial" w:hAnsi="Arial"/>
          <w:sz w:val="18"/>
          <w:szCs w:val="18"/>
          <w:color w:val="auto"/>
        </w:rPr>
        <w:t>– 65%, Mr. Dorton – 50%, Mr. Gentry – 50%, Mr. Hodge – 45%, Mr. Widders – 45%. Additionally, a lump sum amount of $12,000 would be paid by the Company to each executive officer for transition costs. Each of Messrs. Baty, Dorton, Gentry, Hodge and Widders has also agreed to a non-competition agreement that ends two years after the conclusion of his employment with the Company.</w:t>
      </w:r>
    </w:p>
    <w:p>
      <w:pPr>
        <w:spacing w:after="0" w:line="14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following table shows the compensation these officers would have received under the employment agreements had a change in control occurred as of December 31, 2011.</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420" w:type="dxa"/>
            <w:vAlign w:val="bottom"/>
            <w:gridSpan w:val="3"/>
          </w:tcPr>
          <w:p>
            <w:pPr>
              <w:ind w:left="4320"/>
              <w:spacing w:after="0"/>
              <w:rPr>
                <w:sz w:val="20"/>
                <w:szCs w:val="20"/>
                <w:color w:val="auto"/>
              </w:rPr>
            </w:pPr>
            <w:r>
              <w:rPr>
                <w:rFonts w:ascii="Arial" w:cs="Arial" w:eastAsia="Arial" w:hAnsi="Arial"/>
                <w:sz w:val="14"/>
                <w:szCs w:val="14"/>
                <w:b w:val="1"/>
                <w:bCs w:val="1"/>
                <w:u w:val="single" w:color="auto"/>
                <w:color w:val="auto"/>
                <w:w w:val="94"/>
              </w:rPr>
              <w:t>Compensation($</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Baty</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762,000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Mr. Hodge</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526,500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320" w:type="dxa"/>
            <w:vAlign w:val="bottom"/>
          </w:tcPr>
          <w:p>
            <w:pPr>
              <w:jc w:val="right"/>
              <w:ind w:right="2615"/>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Compensation Committee:</w:t>
      </w:r>
    </w:p>
    <w:p>
      <w:pPr>
        <w:spacing w:after="0" w:line="90"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Has reviewed and discussed the section in this Proxy Statement entitled “Compensation Discussion and Analysis” with management; and</w:t>
      </w:r>
    </w:p>
    <w:p>
      <w:pPr>
        <w:spacing w:after="0" w:line="113" w:lineRule="exact"/>
        <w:rPr>
          <w:rFonts w:ascii="Arial" w:cs="Arial" w:eastAsia="Arial" w:hAnsi="Arial"/>
          <w:sz w:val="16"/>
          <w:szCs w:val="16"/>
          <w:color w:val="auto"/>
        </w:rPr>
      </w:pPr>
    </w:p>
    <w:p>
      <w:pPr>
        <w:ind w:left="1480" w:right="360" w:hanging="446"/>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the review and discussions referred to above, the Compensation Committee recommended to the Board that the Compensation Discussion and Analysis be included in this Proxy Statement.</w:t>
      </w:r>
    </w:p>
    <w:p>
      <w:pPr>
        <w:spacing w:after="0" w:line="1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Members of the Compensation Committee:</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Steven T. Warshaw</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Richard G. Fanelli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Michael E. Werner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60" w:firstLine="913"/>
        <w:spacing w:after="0" w:line="306" w:lineRule="auto"/>
        <w:rPr>
          <w:sz w:val="20"/>
          <w:szCs w:val="20"/>
          <w:color w:val="auto"/>
        </w:rPr>
      </w:pPr>
      <w:r>
        <w:rPr>
          <w:rFonts w:ascii="Arial" w:cs="Arial" w:eastAsia="Arial" w:hAnsi="Arial"/>
          <w:sz w:val="16"/>
          <w:szCs w:val="16"/>
          <w:color w:val="auto"/>
        </w:rPr>
        <w:t>All compensation decisions during the fiscal year ended December 31, 2011 for each of the Named Executive Officers were made by the Compensation Committee, consisting of Messrs. Warshaw, Fanelli and Werner, none of whom is or was an officer or employee of the Company during the last fiscal year or prior to the last fiscal year, or had any relationship requiring disclosure pursuant to Item 404 of Regulation S-K.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 to Shareholders</w:t>
      </w:r>
    </w:p>
    <w:p>
      <w:pPr>
        <w:spacing w:after="0" w:line="96"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In accordance with its written charter adopted by the Board, the Audit Committee assists the Board in fulfilling its responsibility for oversight of the quality and integrity of the accounting, auditing and financial reporting practices of the Company. Management has the responsibility for preparation of the Company’s financial statements and the registered independent public accounting firm has the responsibility for the audit of those statements. Each member of the Audit Committee meets the independence requirements of the NASDAQ rules.</w:t>
      </w:r>
    </w:p>
    <w:p>
      <w:pPr>
        <w:spacing w:after="0" w:line="11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Audit Committee has reviewed and discussed with the Company’s management and PricewaterhouseCoopers LLP, the Company’s registered independent public accounting firm, the audited financial statements of the Company for 2011; has discussed with PricewaterhouseCoopers LLP matters required to be discussed by the Statement on Auditing Standards No. 61, as amended, as adopted by the Public Company Accounting Oversight Board (“PCAOB”) in Rule 3200T; has received from the registered independent public accounting firm the written disclosures and letter required by PCAOB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the Company’s Annual Report on Form 10-K for the fiscal year ended December 31, 2011 for filing with the SEC.</w:t>
      </w:r>
    </w:p>
    <w:p>
      <w:pPr>
        <w:spacing w:after="0" w:line="11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8"/>
          <w:szCs w:val="18"/>
          <w:i w:val="1"/>
          <w:iCs w:val="1"/>
          <w:color w:val="auto"/>
        </w:rPr>
        <w:t>www.nnbr.com</w:t>
      </w:r>
      <w:r>
        <w:rPr>
          <w:rFonts w:ascii="Arial" w:cs="Arial" w:eastAsia="Arial" w:hAnsi="Arial"/>
          <w:sz w:val="18"/>
          <w:szCs w:val="18"/>
          <w:color w:val="auto"/>
        </w:rPr>
        <w:t>.</w:t>
      </w:r>
    </w:p>
    <w:p>
      <w:pPr>
        <w:spacing w:after="0" w:line="17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G. Ronald Morris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Steven T. Warshaw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w:t>
      </w:r>
    </w:p>
    <w:p>
      <w:pPr>
        <w:spacing w:after="0" w:line="177"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Except as described below, the Company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Other than the transaction described below, the Company has not engaged in a related party transaction in the last six years.</w:t>
      </w:r>
    </w:p>
    <w:p>
      <w:pPr>
        <w:spacing w:after="0" w:line="11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As part of the Board-approved acquisition of Whirlaway Corporation on November 30, 2006, the Company entered into operating leases covering two of the Whirlaway manufacturing facilities with a company owned by Thomas Zupan, who was an executive officer of the Company during 2011. While still employed by the Company, Mr. Zupan is no longer an executive officer of the Company. The terms of the leases are at prevailing market rates of the rental market in which the facilities are located. The rent payments in 2010 and 2011 to Mr. Zupan were $0.6 million and $0.6 million, respectively. The total future rental payments will be $0.6 million over one year. The Company is currently negotiating an option to extend the 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96"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The Company’s 2011 Annual Report to Shareholders, which includes its Annual Report on Form 10-K for the year ended December 31, 2011, is being mailed together with this Proxy Statement. Exhibits to the Annual Report on Form 10-K may be obtained by contacting the Secretary of the Company at 2000 Waters Edge Drive, Building C, Suite 12, Johnson City, Tennessee 37604.</w:t>
      </w:r>
    </w:p>
    <w:p>
      <w:pPr>
        <w:spacing w:after="0" w:line="14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500505" cy="548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005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C. Kelly,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Chief Administrative Officer and Secretary</w:t>
      </w:r>
    </w:p>
    <w:p>
      <w:pPr>
        <w:spacing w:after="0" w:line="182" w:lineRule="exact"/>
        <w:rPr>
          <w:sz w:val="20"/>
          <w:szCs w:val="20"/>
          <w:color w:val="auto"/>
        </w:rPr>
      </w:pPr>
    </w:p>
    <w:p>
      <w:pPr>
        <w:ind w:right="400" w:firstLine="913"/>
        <w:spacing w:after="0" w:line="339" w:lineRule="auto"/>
        <w:rPr>
          <w:sz w:val="20"/>
          <w:szCs w:val="20"/>
          <w:color w:val="auto"/>
        </w:rPr>
      </w:pPr>
      <w:r>
        <w:rPr>
          <w:rFonts w:ascii="Arial" w:cs="Arial" w:eastAsia="Arial" w:hAnsi="Arial"/>
          <w:sz w:val="16"/>
          <w:szCs w:val="16"/>
          <w:b w:val="1"/>
          <w:bCs w:val="1"/>
          <w:color w:val="auto"/>
        </w:rPr>
        <w:t>SHAREHOLDERS ARE REQUESTED TO MARK, DATE AND SIGN THE ENCLOSED PROXY CARD AND RETURN IT IN THE ENCLOSED ENVELOPE. YOUR PROMPT RESPONSE WILL BE HELPFUL, AND YOUR COOPERATION WILL BE APPRECIATED.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 w:name="page26"/>
    <w:bookmarkEnd w:id="25"/>
    <w:p>
      <w:pPr>
        <w:spacing w:after="0" w:line="4"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NN, INC.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2000 WATERS EDGE DRIVE</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BUILDING C, STE. 12</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6"/>
          <w:szCs w:val="16"/>
          <w:b w:val="1"/>
          <w:bCs w:val="1"/>
          <w:i w:val="1"/>
          <w:iCs w:val="1"/>
          <w:color w:val="auto"/>
        </w:rPr>
        <w:t>JOHNSON CITY, TN 37604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1" w:lineRule="exact"/>
        <w:rPr>
          <w:sz w:val="20"/>
          <w:szCs w:val="20"/>
          <w:color w:val="auto"/>
        </w:rPr>
      </w:pPr>
    </w:p>
    <w:p>
      <w:pPr>
        <w:ind w:right="160"/>
        <w:spacing w:after="0" w:line="230"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71" w:lineRule="exact"/>
        <w:rPr>
          <w:sz w:val="20"/>
          <w:szCs w:val="20"/>
          <w:color w:val="auto"/>
        </w:rPr>
      </w:pPr>
    </w:p>
    <w:p>
      <w:pPr>
        <w:ind w:right="200"/>
        <w:spacing w:after="0" w:line="273"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71"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71" w:lineRule="exact"/>
        <w:rPr>
          <w:sz w:val="20"/>
          <w:szCs w:val="20"/>
          <w:color w:val="auto"/>
        </w:rPr>
      </w:pPr>
    </w:p>
    <w:p>
      <w:pPr>
        <w:ind w:right="220"/>
        <w:spacing w:after="0" w:line="318"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00" w:space="720"/>
            <w:col w:w="5600"/>
          </w:cols>
          <w:pgMar w:left="240" w:top="3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620" w:val="left"/>
        </w:tabs>
        <w:rPr>
          <w:sz w:val="20"/>
          <w:szCs w:val="20"/>
          <w:color w:val="auto"/>
        </w:rPr>
      </w:pPr>
      <w:r>
        <w:rPr>
          <w:rFonts w:ascii="Arial" w:cs="Arial" w:eastAsia="Arial" w:hAnsi="Arial"/>
          <w:sz w:val="14"/>
          <w:szCs w:val="14"/>
          <w:color w:val="auto"/>
        </w:rPr>
        <w:t>M45279-P24308</w:t>
      </w:r>
      <w:r>
        <w:rPr>
          <w:sz w:val="20"/>
          <w:szCs w:val="20"/>
          <w:color w:val="auto"/>
        </w:rPr>
        <w:tab/>
      </w:r>
      <w:r>
        <w:rPr>
          <w:rFonts w:ascii="Arial" w:cs="Arial" w:eastAsia="Arial" w:hAnsi="Arial"/>
          <w:sz w:val="12"/>
          <w:szCs w:val="12"/>
          <w:color w:val="auto"/>
        </w:rPr>
        <w:t>KEEP THIS PORTION FOR YOUR RECORDS</w:t>
      </w:r>
    </w:p>
    <w:p>
      <w:pPr>
        <w:spacing w:after="0" w:line="28" w:lineRule="exact"/>
        <w:rPr>
          <w:sz w:val="20"/>
          <w:szCs w:val="20"/>
          <w:color w:val="auto"/>
        </w:rPr>
      </w:pPr>
    </w:p>
    <w:p>
      <w:pPr>
        <w:jc w:val="right"/>
        <w:spacing w:after="0"/>
        <w:tabs>
          <w:tab w:leader="none" w:pos="27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100965</wp:posOffset>
            </wp:positionV>
            <wp:extent cx="7276465" cy="3726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3726180"/>
                    </a:xfrm>
                    <a:prstGeom prst="rect">
                      <a:avLst/>
                    </a:prstGeom>
                    <a:noFill/>
                  </pic:spPr>
                </pic:pic>
              </a:graphicData>
            </a:graphic>
          </wp:anchor>
        </w:drawing>
      </w:r>
    </w:p>
    <w:p>
      <w:pPr>
        <w:sectPr>
          <w:pgSz w:w="11900" w:h="16838" w:orient="portrait"/>
          <w:cols w:equalWidth="0" w:num="1">
            <w:col w:w="11420"/>
          </w:cols>
          <w:pgMar w:left="240" w:top="316" w:right="239" w:bottom="1440" w:gutter="0" w:footer="0" w:header="0"/>
          <w:type w:val="continuous"/>
        </w:sectPr>
      </w:pPr>
    </w:p>
    <w:p>
      <w:pPr>
        <w:spacing w:after="0" w:line="16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Arial" w:cs="Arial" w:eastAsia="Arial" w:hAnsi="Arial"/>
                <w:sz w:val="14"/>
                <w:szCs w:val="14"/>
                <w:b w:val="1"/>
                <w:bCs w:val="1"/>
                <w:color w:val="auto"/>
                <w:w w:val="92"/>
              </w:rPr>
              <w:t>NN, INC.</w:t>
            </w:r>
          </w:p>
        </w:tc>
        <w:tc>
          <w:tcPr>
            <w:tcW w:w="3740" w:type="dxa"/>
            <w:vAlign w:val="bottom"/>
          </w:tcPr>
          <w:p>
            <w:pPr>
              <w:spacing w:after="0"/>
              <w:rPr>
                <w:sz w:val="14"/>
                <w:szCs w:val="14"/>
                <w:color w:val="auto"/>
              </w:rPr>
            </w:pPr>
          </w:p>
        </w:tc>
        <w:tc>
          <w:tcPr>
            <w:tcW w:w="660" w:type="dxa"/>
            <w:vAlign w:val="bottom"/>
          </w:tcPr>
          <w:p>
            <w:pPr>
              <w:jc w:val="center"/>
              <w:ind w:left="192"/>
              <w:spacing w:after="0"/>
              <w:rPr>
                <w:sz w:val="20"/>
                <w:szCs w:val="20"/>
                <w:color w:val="auto"/>
              </w:rPr>
            </w:pPr>
            <w:r>
              <w:rPr>
                <w:rFonts w:ascii="Arial" w:cs="Arial" w:eastAsia="Arial" w:hAnsi="Arial"/>
                <w:sz w:val="14"/>
                <w:szCs w:val="14"/>
                <w:b w:val="1"/>
                <w:bCs w:val="1"/>
                <w:color w:val="auto"/>
                <w:w w:val="88"/>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500" w:type="dxa"/>
            <w:vAlign w:val="bottom"/>
          </w:tcPr>
          <w:p>
            <w:pPr>
              <w:jc w:val="center"/>
              <w:ind w:left="32"/>
              <w:spacing w:after="0"/>
              <w:rPr>
                <w:sz w:val="20"/>
                <w:szCs w:val="20"/>
                <w:color w:val="auto"/>
              </w:rPr>
            </w:pPr>
            <w:r>
              <w:rPr>
                <w:rFonts w:ascii="Arial" w:cs="Arial" w:eastAsia="Arial" w:hAnsi="Arial"/>
                <w:sz w:val="14"/>
                <w:szCs w:val="14"/>
                <w:b w:val="1"/>
                <w:bCs w:val="1"/>
                <w:color w:val="auto"/>
                <w:w w:val="90"/>
              </w:rPr>
              <w:t>For All</w:t>
            </w:r>
          </w:p>
        </w:tc>
        <w:tc>
          <w:tcPr>
            <w:tcW w:w="0" w:type="dxa"/>
            <w:vAlign w:val="bottom"/>
          </w:tcPr>
          <w:p>
            <w:pPr>
              <w:spacing w:after="0"/>
              <w:rPr>
                <w:sz w:val="1"/>
                <w:szCs w:val="1"/>
                <w:color w:val="auto"/>
              </w:rPr>
            </w:pPr>
          </w:p>
        </w:tc>
      </w:tr>
      <w:tr>
        <w:trPr>
          <w:trHeight w:val="174"/>
        </w:trPr>
        <w:tc>
          <w:tcPr>
            <w:tcW w:w="4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The Board of Directors recommends you vote FOR the following:</w:t>
            </w:r>
          </w:p>
        </w:tc>
        <w:tc>
          <w:tcPr>
            <w:tcW w:w="660" w:type="dxa"/>
            <w:vAlign w:val="bottom"/>
          </w:tcPr>
          <w:p>
            <w:pPr>
              <w:jc w:val="center"/>
              <w:ind w:left="192"/>
              <w:spacing w:after="0"/>
              <w:rPr>
                <w:sz w:val="20"/>
                <w:szCs w:val="20"/>
                <w:color w:val="auto"/>
              </w:rPr>
            </w:pPr>
            <w:r>
              <w:rPr>
                <w:rFonts w:ascii="Arial" w:cs="Arial" w:eastAsia="Arial" w:hAnsi="Arial"/>
                <w:sz w:val="14"/>
                <w:szCs w:val="14"/>
                <w:b w:val="1"/>
                <w:bCs w:val="1"/>
                <w:color w:val="auto"/>
                <w:w w:val="89"/>
              </w:rPr>
              <w:t>All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500" w:type="dxa"/>
            <w:vAlign w:val="bottom"/>
          </w:tcPr>
          <w:p>
            <w:pPr>
              <w:jc w:val="center"/>
              <w:ind w:left="32"/>
              <w:spacing w:after="0"/>
              <w:rPr>
                <w:sz w:val="20"/>
                <w:szCs w:val="20"/>
                <w:color w:val="auto"/>
              </w:rPr>
            </w:pPr>
            <w:r>
              <w:rPr>
                <w:rFonts w:ascii="Arial" w:cs="Arial" w:eastAsia="Arial" w:hAnsi="Arial"/>
                <w:sz w:val="14"/>
                <w:szCs w:val="14"/>
                <w:b w:val="1"/>
                <w:bCs w:val="1"/>
                <w:color w:val="auto"/>
                <w:w w:val="87"/>
              </w:rPr>
              <w:t>Except</w:t>
            </w:r>
          </w:p>
        </w:tc>
        <w:tc>
          <w:tcPr>
            <w:tcW w:w="0" w:type="dxa"/>
            <w:vAlign w:val="bottom"/>
          </w:tcPr>
          <w:p>
            <w:pPr>
              <w:spacing w:after="0"/>
              <w:rPr>
                <w:sz w:val="1"/>
                <w:szCs w:val="1"/>
                <w:color w:val="auto"/>
              </w:rPr>
            </w:pPr>
          </w:p>
        </w:tc>
      </w:tr>
      <w:tr>
        <w:trPr>
          <w:trHeight w:val="162"/>
        </w:trPr>
        <w:tc>
          <w:tcPr>
            <w:tcW w:w="42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40" w:type="dxa"/>
            <w:vAlign w:val="bottom"/>
          </w:tcPr>
          <w:p>
            <w:pPr>
              <w:ind w:left="180"/>
              <w:spacing w:after="0"/>
              <w:rPr>
                <w:sz w:val="20"/>
                <w:szCs w:val="20"/>
                <w:color w:val="auto"/>
              </w:rPr>
            </w:pPr>
            <w:r>
              <w:rPr>
                <w:rFonts w:ascii="Arial" w:cs="Arial" w:eastAsia="Arial" w:hAnsi="Arial"/>
                <w:sz w:val="14"/>
                <w:szCs w:val="14"/>
                <w:color w:val="auto"/>
              </w:rPr>
              <w:t>1.</w:t>
            </w:r>
          </w:p>
        </w:tc>
        <w:tc>
          <w:tcPr>
            <w:tcW w:w="3740" w:type="dxa"/>
            <w:vAlign w:val="bottom"/>
          </w:tcPr>
          <w:p>
            <w:pPr>
              <w:ind w:left="20"/>
              <w:spacing w:after="0"/>
              <w:rPr>
                <w:sz w:val="20"/>
                <w:szCs w:val="20"/>
                <w:color w:val="auto"/>
              </w:rPr>
            </w:pPr>
            <w:r>
              <w:rPr>
                <w:rFonts w:ascii="Arial" w:cs="Arial" w:eastAsia="Arial" w:hAnsi="Arial"/>
                <w:sz w:val="14"/>
                <w:szCs w:val="14"/>
                <w:color w:val="auto"/>
              </w:rPr>
              <w:t>Election of Directors</w:t>
            </w:r>
          </w:p>
        </w:tc>
        <w:tc>
          <w:tcPr>
            <w:tcW w:w="660" w:type="dxa"/>
            <w:vAlign w:val="bottom"/>
          </w:tcPr>
          <w:p>
            <w:pPr>
              <w:jc w:val="center"/>
              <w:ind w:left="19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Nominees:</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20" w:hanging="287"/>
        <w:spacing w:after="0"/>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Roderick R. Baty</w:t>
      </w:r>
    </w:p>
    <w:p>
      <w:pPr>
        <w:spacing w:after="0" w:line="82" w:lineRule="exact"/>
        <w:rPr>
          <w:rFonts w:ascii="Arial" w:cs="Arial" w:eastAsia="Arial" w:hAnsi="Arial"/>
          <w:sz w:val="14"/>
          <w:szCs w:val="14"/>
          <w:color w:val="auto"/>
        </w:rPr>
      </w:pPr>
    </w:p>
    <w:p>
      <w:pPr>
        <w:ind w:left="1020" w:hanging="287"/>
        <w:spacing w:after="0"/>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David L. Pugh</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ind w:right="2280"/>
        <w:spacing w:after="0" w:line="288" w:lineRule="auto"/>
        <w:rPr>
          <w:sz w:val="20"/>
          <w:szCs w:val="20"/>
          <w:color w:val="auto"/>
        </w:rPr>
      </w:pPr>
      <w:r>
        <w:rPr>
          <w:rFonts w:ascii="Arial" w:cs="Arial" w:eastAsia="Arial" w:hAnsi="Arial"/>
          <w:sz w:val="12"/>
          <w:szCs w:val="12"/>
          <w:color w:val="auto"/>
        </w:rPr>
        <w:t>To withhold authority to vote for any individual nominee(s), mark “For All Except” and write the number(s) of the nominee(s) on the line below.</w:t>
      </w:r>
    </w:p>
    <w:p>
      <w:pPr>
        <w:spacing w:after="0" w:line="1027" w:lineRule="exact"/>
        <w:rPr>
          <w:sz w:val="20"/>
          <w:szCs w:val="20"/>
          <w:color w:val="auto"/>
        </w:rPr>
      </w:pPr>
    </w:p>
    <w:p>
      <w:pPr>
        <w:sectPr>
          <w:pgSz w:w="11900" w:h="16838" w:orient="portrait"/>
          <w:cols w:equalWidth="0" w:num="2">
            <w:col w:w="6340" w:space="160"/>
            <w:col w:w="4920"/>
          </w:cols>
          <w:pgMar w:left="240" w:top="316" w:right="239" w:bottom="1440" w:gutter="0" w:footer="0" w:header="0"/>
          <w:type w:val="continuous"/>
        </w:sectPr>
      </w:pPr>
    </w:p>
    <w:tbl>
      <w:tblPr>
        <w:tblLayout w:type="fixed"/>
        <w:tblInd w:w="360" w:type="dxa"/>
        <w:tblCellMar>
          <w:top w:w="0" w:type="dxa"/>
          <w:left w:w="0" w:type="dxa"/>
          <w:bottom w:w="0" w:type="dxa"/>
          <w:right w:w="0" w:type="dxa"/>
        </w:tblCellMar>
      </w:tblPr>
      <w:tr>
        <w:trPr>
          <w:trHeight w:val="174"/>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1440" w:type="dxa"/>
            <w:vAlign w:val="bottom"/>
          </w:tcPr>
          <w:p>
            <w:pPr>
              <w:jc w:val="center"/>
              <w:ind w:left="1052"/>
              <w:spacing w:after="0"/>
              <w:rPr>
                <w:sz w:val="20"/>
                <w:szCs w:val="20"/>
                <w:color w:val="auto"/>
              </w:rPr>
            </w:pPr>
            <w:r>
              <w:rPr>
                <w:rFonts w:ascii="Arial" w:cs="Arial" w:eastAsia="Arial" w:hAnsi="Arial"/>
                <w:sz w:val="14"/>
                <w:szCs w:val="14"/>
                <w:b w:val="1"/>
                <w:bCs w:val="1"/>
                <w:color w:val="auto"/>
                <w:w w:val="88"/>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71"/>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8020" w:type="dxa"/>
            <w:vAlign w:val="bottom"/>
          </w:tcPr>
          <w:p>
            <w:pPr>
              <w:ind w:left="140"/>
              <w:spacing w:after="0"/>
              <w:rPr>
                <w:sz w:val="20"/>
                <w:szCs w:val="20"/>
                <w:color w:val="auto"/>
              </w:rPr>
            </w:pPr>
            <w:r>
              <w:rPr>
                <w:rFonts w:ascii="Arial" w:cs="Arial" w:eastAsia="Arial" w:hAnsi="Arial"/>
                <w:sz w:val="14"/>
                <w:szCs w:val="14"/>
                <w:color w:val="auto"/>
              </w:rPr>
              <w:t>To approve an advisory resolution on executive compensation.</w:t>
            </w:r>
          </w:p>
        </w:tc>
        <w:tc>
          <w:tcPr>
            <w:tcW w:w="1440" w:type="dxa"/>
            <w:vAlign w:val="bottom"/>
          </w:tcPr>
          <w:p>
            <w:pPr>
              <w:jc w:val="center"/>
              <w:ind w:left="10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8020" w:type="dxa"/>
            <w:vAlign w:val="bottom"/>
          </w:tcPr>
          <w:p>
            <w:pPr>
              <w:ind w:left="140"/>
              <w:spacing w:after="0"/>
              <w:rPr>
                <w:sz w:val="20"/>
                <w:szCs w:val="20"/>
                <w:color w:val="auto"/>
              </w:rPr>
            </w:pPr>
            <w:r>
              <w:rPr>
                <w:rFonts w:ascii="Arial" w:cs="Arial" w:eastAsia="Arial" w:hAnsi="Arial"/>
                <w:sz w:val="14"/>
                <w:szCs w:val="14"/>
                <w:color w:val="auto"/>
              </w:rPr>
              <w:t>For ratification of the selection of PRICEWATERHOUSECOOPERS LLP as registered independent public accounting firm.</w:t>
            </w:r>
          </w:p>
        </w:tc>
        <w:tc>
          <w:tcPr>
            <w:tcW w:w="1440" w:type="dxa"/>
            <w:vAlign w:val="bottom"/>
          </w:tcPr>
          <w:p>
            <w:pPr>
              <w:jc w:val="center"/>
              <w:ind w:left="105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right="5240"/>
        <w:spacing w:after="0" w:line="230" w:lineRule="auto"/>
        <w:rPr>
          <w:sz w:val="20"/>
          <w:szCs w:val="20"/>
          <w:color w:val="auto"/>
        </w:rPr>
      </w:pPr>
      <w:r>
        <w:rPr>
          <w:rFonts w:ascii="Arial" w:cs="Arial" w:eastAsia="Arial" w:hAnsi="Arial"/>
          <w:sz w:val="14"/>
          <w:szCs w:val="14"/>
          <w:color w:val="auto"/>
        </w:rPr>
        <w:t>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
        <w:spacing w:after="0"/>
        <w:tabs>
          <w:tab w:leader="none" w:pos="3840" w:val="left"/>
          <w:tab w:leader="none" w:pos="6260" w:val="left"/>
          <w:tab w:leader="none" w:pos="96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316" w:right="239" w:bottom="1440" w:gutter="0" w:footer="0" w:header="0"/>
          <w:type w:val="continuous"/>
        </w:sectPr>
      </w:pPr>
    </w:p>
    <w:bookmarkStart w:id="26" w:name="page27"/>
    <w:bookmarkEnd w:id="26"/>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Notice and Proxy Statement, Form of Proxy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M45280-P24308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139700</wp:posOffset>
            </wp:positionV>
            <wp:extent cx="7263765" cy="2538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253873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2000 Waters Edge Drive, Bldg. C., Ste. 12</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Johnson City, TN 37604</w:t>
      </w:r>
    </w:p>
    <w:p>
      <w:pPr>
        <w:spacing w:after="0" w:line="21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SOLICITED BY THE BOARD OF DIRECTORS FOR THE ANNUAL MEETING OF STOCKHOLDERS TO BE HELD ON MAY 17, 2012, AT THE RENAISSANCE CHARLESTON HOTEL, 68 WENTWORTH STREET, CHARLESTON, SC 29401.</w:t>
      </w:r>
    </w:p>
    <w:p>
      <w:pPr>
        <w:spacing w:after="0" w:line="166" w:lineRule="exact"/>
        <w:rPr>
          <w:sz w:val="20"/>
          <w:szCs w:val="20"/>
          <w:color w:val="auto"/>
        </w:rPr>
      </w:pPr>
    </w:p>
    <w:p>
      <w:pPr>
        <w:jc w:val="both"/>
        <w:ind w:right="720"/>
        <w:spacing w:after="0" w:line="306" w:lineRule="auto"/>
        <w:rPr>
          <w:sz w:val="20"/>
          <w:szCs w:val="20"/>
          <w:color w:val="auto"/>
        </w:rPr>
      </w:pPr>
      <w:r>
        <w:rPr>
          <w:rFonts w:ascii="Arial" w:cs="Arial" w:eastAsia="Arial" w:hAnsi="Arial"/>
          <w:sz w:val="16"/>
          <w:szCs w:val="16"/>
          <w:color w:val="auto"/>
        </w:rPr>
        <w:t>The undersigned stockholder hereby appoints William C. Kelly, Jr. and James H. Dorton,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4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THIS PROXY WILL BE VOTED FOR THE NOMINEES IN ITEM 1 AND FOR ITEMS 2 AND 3.</w:t>
      </w:r>
    </w:p>
    <w:p>
      <w:pPr>
        <w:spacing w:after="0" w:line="17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460"/>
      </w:cols>
      <w:pgMar w:left="80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endash "/>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2019-12-09T10:55:04Z</dcterms:created>
  <dcterms:modified xsi:type="dcterms:W3CDTF">2019-12-09T10:55:04Z</dcterms:modified>
</cp:coreProperties>
</file>