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3"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4"/>
          <w:szCs w:val="24"/>
          <w:color w:val="auto"/>
        </w:rPr>
      </w:pPr>
    </w:p>
    <w:p>
      <w:pPr>
        <w:ind w:left="190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18"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SCHEDULE 13G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OMB APPROVAL</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OMB Number: 3235-0145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Expires: December 31, 2005</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Estimated average burden</w:t>
      </w:r>
    </w:p>
    <w:p>
      <w:pPr>
        <w:spacing w:after="0" w:line="238" w:lineRule="auto"/>
        <w:rPr>
          <w:sz w:val="20"/>
          <w:szCs w:val="20"/>
          <w:color w:val="auto"/>
        </w:rPr>
      </w:pPr>
      <w:r>
        <w:rPr>
          <w:rFonts w:ascii="Courier New" w:cs="Courier New" w:eastAsia="Courier New" w:hAnsi="Courier New"/>
          <w:sz w:val="18"/>
          <w:szCs w:val="18"/>
          <w:color w:val="auto"/>
        </w:rPr>
        <w:t>hours per response...11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5480" w:space="220"/>
            <w:col w:w="4519"/>
          </w:cols>
          <w:pgMar w:left="240" w:top="452" w:right="1440" w:bottom="0" w:gutter="0" w:footer="0" w:header="0"/>
        </w:sectPr>
      </w:pPr>
    </w:p>
    <w:p>
      <w:pPr>
        <w:spacing w:after="0" w:line="22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629337106</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12/31/2004</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320"/>
        <w:spacing w:after="0"/>
        <w:tabs>
          <w:tab w:leader="none" w:pos="136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Rule 13d-1(b)</w:t>
      </w:r>
    </w:p>
    <w:p>
      <w:pPr>
        <w:spacing w:after="0" w:line="201" w:lineRule="exact"/>
        <w:rPr>
          <w:sz w:val="24"/>
          <w:szCs w:val="24"/>
          <w:color w:val="auto"/>
        </w:rPr>
      </w:pPr>
    </w:p>
    <w:p>
      <w:pPr>
        <w:ind w:left="320"/>
        <w:spacing w:after="0"/>
        <w:tabs>
          <w:tab w:leader="none" w:pos="13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13d-1(c)</w:t>
      </w:r>
    </w:p>
    <w:p>
      <w:pPr>
        <w:spacing w:after="0" w:line="201" w:lineRule="exact"/>
        <w:rPr>
          <w:sz w:val="24"/>
          <w:szCs w:val="24"/>
          <w:color w:val="auto"/>
        </w:rPr>
      </w:pPr>
    </w:p>
    <w:p>
      <w:pPr>
        <w:ind w:left="320"/>
        <w:spacing w:after="0"/>
        <w:tabs>
          <w:tab w:leader="none" w:pos="13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13d-1(d)</w:t>
      </w:r>
    </w:p>
    <w:p>
      <w:pPr>
        <w:spacing w:after="0" w:line="200" w:lineRule="exact"/>
        <w:rPr>
          <w:sz w:val="24"/>
          <w:szCs w:val="24"/>
          <w:color w:val="auto"/>
        </w:rPr>
      </w:pPr>
    </w:p>
    <w:p>
      <w:pPr>
        <w:spacing w:after="0" w:line="209"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629337106</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10"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321"/>
        <w:spacing w:after="0" w:line="238" w:lineRule="auto"/>
        <w:tabs>
          <w:tab w:leader="none" w:pos="54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The TCW Group, Inc., on behalf of the TCW Business Unit</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321"/>
        <w:spacing w:after="0" w:line="238" w:lineRule="auto"/>
        <w:tabs>
          <w:tab w:leader="none" w:pos="5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rFonts w:ascii="Courier New" w:cs="Courier New" w:eastAsia="Courier New" w:hAnsi="Courier New"/>
          <w:sz w:val="18"/>
          <w:szCs w:val="18"/>
          <w:color w:val="auto"/>
        </w:rPr>
      </w:pPr>
    </w:p>
    <w:p>
      <w:pPr>
        <w:ind w:left="8020" w:hanging="533"/>
        <w:spacing w:after="0"/>
        <w:tabs>
          <w:tab w:leader="none" w:pos="802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020" w:hanging="533"/>
        <w:spacing w:after="0" w:line="238" w:lineRule="auto"/>
        <w:tabs>
          <w:tab w:leader="none" w:pos="802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321"/>
        <w:spacing w:after="0" w:line="238" w:lineRule="auto"/>
        <w:tabs>
          <w:tab w:leader="none" w:pos="5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321"/>
        <w:spacing w:after="0" w:line="238" w:lineRule="auto"/>
        <w:tabs>
          <w:tab w:leader="none" w:pos="5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Nevada corporation</w:t>
      </w:r>
    </w:p>
    <w:p>
      <w:pPr>
        <w:sectPr>
          <w:pgSz w:w="11900" w:h="16855" w:orient="portrait"/>
          <w:cols w:equalWidth="0" w:num="1">
            <w:col w:w="10219"/>
          </w:cols>
          <w:pgMar w:left="240" w:top="452"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62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c>
          <w:tcPr>
            <w:tcW w:w="518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 by</w:t>
            </w:r>
          </w:p>
        </w:tc>
        <w:tc>
          <w:tcPr>
            <w:tcW w:w="62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 Person</w:t>
            </w:r>
          </w:p>
        </w:tc>
        <w:tc>
          <w:tcPr>
            <w:tcW w:w="620" w:type="dxa"/>
            <w:vAlign w:val="bottom"/>
          </w:tcPr>
          <w:p>
            <w:pPr>
              <w:spacing w:after="0"/>
              <w:rPr>
                <w:sz w:val="17"/>
                <w:szCs w:val="17"/>
                <w:color w:val="auto"/>
              </w:rPr>
            </w:pPr>
          </w:p>
        </w:tc>
        <w:tc>
          <w:tcPr>
            <w:tcW w:w="518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5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540" w:type="dxa"/>
            <w:vAlign w:val="bottom"/>
          </w:tcPr>
          <w:p>
            <w:pPr>
              <w:spacing w:after="0"/>
              <w:rPr>
                <w:sz w:val="17"/>
                <w:szCs w:val="17"/>
                <w:color w:val="auto"/>
              </w:rPr>
            </w:pPr>
          </w:p>
        </w:tc>
        <w:tc>
          <w:tcPr>
            <w:tcW w:w="6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w:t>
            </w:r>
          </w:p>
        </w:tc>
        <w:tc>
          <w:tcPr>
            <w:tcW w:w="51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405"/>
        </w:trPr>
        <w:tc>
          <w:tcPr>
            <w:tcW w:w="2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180" w:type="dxa"/>
            <w:vAlign w:val="bottom"/>
          </w:tcPr>
          <w:p>
            <w:pPr>
              <w:spacing w:after="0"/>
              <w:rPr>
                <w:sz w:val="20"/>
                <w:szCs w:val="20"/>
                <w:color w:val="auto"/>
              </w:rPr>
            </w:pPr>
            <w:r>
              <w:rPr>
                <w:rFonts w:ascii="Courier New" w:cs="Courier New" w:eastAsia="Courier New" w:hAnsi="Courier New"/>
                <w:sz w:val="18"/>
                <w:szCs w:val="18"/>
                <w:color w:val="auto"/>
              </w:rPr>
              <w:t>1,151,441</w:t>
            </w:r>
          </w:p>
        </w:tc>
      </w:tr>
      <w:tr>
        <w:trPr>
          <w:trHeight w:val="203"/>
        </w:trPr>
        <w:tc>
          <w:tcPr>
            <w:tcW w:w="2540" w:type="dxa"/>
            <w:vAlign w:val="bottom"/>
          </w:tcPr>
          <w:p>
            <w:pPr>
              <w:spacing w:after="0"/>
              <w:rPr>
                <w:sz w:val="17"/>
                <w:szCs w:val="17"/>
                <w:color w:val="auto"/>
              </w:rPr>
            </w:pPr>
          </w:p>
        </w:tc>
        <w:tc>
          <w:tcPr>
            <w:tcW w:w="5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540" w:type="dxa"/>
            <w:vAlign w:val="bottom"/>
          </w:tcPr>
          <w:p>
            <w:pPr>
              <w:spacing w:after="0"/>
              <w:rPr>
                <w:sz w:val="17"/>
                <w:szCs w:val="17"/>
                <w:color w:val="auto"/>
              </w:rPr>
            </w:pPr>
          </w:p>
        </w:tc>
        <w:tc>
          <w:tcPr>
            <w:tcW w:w="6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w:t>
            </w:r>
          </w:p>
        </w:tc>
        <w:tc>
          <w:tcPr>
            <w:tcW w:w="51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2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180" w:type="dxa"/>
            <w:vAlign w:val="bottom"/>
          </w:tcPr>
          <w:p>
            <w:pPr>
              <w:spacing w:after="0"/>
              <w:rPr>
                <w:sz w:val="20"/>
                <w:szCs w:val="20"/>
                <w:color w:val="auto"/>
              </w:rPr>
            </w:pPr>
            <w:r>
              <w:rPr>
                <w:rFonts w:ascii="Courier New" w:cs="Courier New" w:eastAsia="Courier New" w:hAnsi="Courier New"/>
                <w:sz w:val="18"/>
                <w:szCs w:val="18"/>
                <w:color w:val="auto"/>
              </w:rPr>
              <w:t>-0-</w:t>
            </w:r>
          </w:p>
        </w:tc>
      </w:tr>
      <w:tr>
        <w:trPr>
          <w:trHeight w:val="203"/>
        </w:trPr>
        <w:tc>
          <w:tcPr>
            <w:tcW w:w="2540" w:type="dxa"/>
            <w:vAlign w:val="bottom"/>
          </w:tcPr>
          <w:p>
            <w:pPr>
              <w:spacing w:after="0"/>
              <w:rPr>
                <w:sz w:val="17"/>
                <w:szCs w:val="17"/>
                <w:color w:val="auto"/>
              </w:rPr>
            </w:pPr>
          </w:p>
        </w:tc>
        <w:tc>
          <w:tcPr>
            <w:tcW w:w="5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4" w:lineRule="exact"/>
        <w:rPr>
          <w:sz w:val="20"/>
          <w:szCs w:val="20"/>
          <w:color w:val="auto"/>
        </w:rPr>
      </w:pPr>
    </w:p>
    <w:p>
      <w:pPr>
        <w:ind w:left="3160" w:right="4519" w:hanging="308"/>
        <w:spacing w:after="0" w:line="357" w:lineRule="auto"/>
        <w:tabs>
          <w:tab w:leader="none" w:pos="3160"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1,484,811</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hanging="307"/>
        <w:spacing w:after="0" w:line="238" w:lineRule="auto"/>
        <w:tabs>
          <w:tab w:leader="none" w:pos="42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1,484,811</w:t>
      </w:r>
    </w:p>
    <w:p>
      <w:pPr>
        <w:spacing w:after="0" w:line="207"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251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if the Aggregate Amount in Row (9) Excludes Certain Shares (See Instructions) / /</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8.9%(see response to Item 4)</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HC/CO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1160" w:hanging="625"/>
        <w:spacing w:after="0" w:line="238" w:lineRule="auto"/>
        <w:tabs>
          <w:tab w:leader="none" w:pos="11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1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NN, Inc.</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160" w:hanging="625"/>
        <w:spacing w:after="0" w:line="238" w:lineRule="auto"/>
        <w:tabs>
          <w:tab w:leader="none" w:pos="11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2000 Waters Edge Drive</w:t>
      </w:r>
    </w:p>
    <w:p>
      <w:pPr>
        <w:ind w:left="1160"/>
        <w:spacing w:after="0" w:line="238" w:lineRule="auto"/>
        <w:rPr>
          <w:sz w:val="20"/>
          <w:szCs w:val="20"/>
          <w:color w:val="auto"/>
        </w:rPr>
      </w:pPr>
      <w:r>
        <w:rPr>
          <w:rFonts w:ascii="Courier New" w:cs="Courier New" w:eastAsia="Courier New" w:hAnsi="Courier New"/>
          <w:sz w:val="18"/>
          <w:szCs w:val="18"/>
          <w:color w:val="auto"/>
        </w:rPr>
        <w:t>Building C, Suite 12</w:t>
      </w:r>
    </w:p>
    <w:p>
      <w:pPr>
        <w:ind w:left="1160"/>
        <w:spacing w:after="0"/>
        <w:rPr>
          <w:sz w:val="20"/>
          <w:szCs w:val="20"/>
          <w:color w:val="auto"/>
        </w:rPr>
      </w:pPr>
      <w:r>
        <w:rPr>
          <w:rFonts w:ascii="Courier New" w:cs="Courier New" w:eastAsia="Courier New" w:hAnsi="Courier New"/>
          <w:sz w:val="18"/>
          <w:szCs w:val="18"/>
          <w:color w:val="auto"/>
        </w:rPr>
        <w:t>Johnson City, TN 37604</w:t>
      </w:r>
    </w:p>
    <w:p>
      <w:pPr>
        <w:ind w:left="116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1160" w:hanging="625"/>
        <w:spacing w:after="0" w:line="238" w:lineRule="auto"/>
        <w:tabs>
          <w:tab w:leader="none" w:pos="11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ind w:left="1160" w:hanging="625"/>
        <w:spacing w:after="0" w:line="238" w:lineRule="auto"/>
        <w:tabs>
          <w:tab w:leader="none" w:pos="11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ind w:left="1160" w:hanging="625"/>
        <w:spacing w:after="0" w:line="238" w:lineRule="auto"/>
        <w:tabs>
          <w:tab w:leader="none" w:pos="11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7" w:lineRule="exact"/>
        <w:rPr>
          <w:rFonts w:ascii="Courier New" w:cs="Courier New" w:eastAsia="Courier New" w:hAnsi="Courier New"/>
          <w:sz w:val="18"/>
          <w:szCs w:val="18"/>
          <w:color w:val="auto"/>
        </w:rPr>
      </w:pPr>
    </w:p>
    <w:p>
      <w:pPr>
        <w:ind w:left="1160" w:right="3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TCW Group, Inc., on behalf of the TCW Business Unit 865 South Figueroa Street</w:t>
      </w:r>
    </w:p>
    <w:p>
      <w:pPr>
        <w:spacing w:after="0" w:line="5" w:lineRule="exact"/>
        <w:rPr>
          <w:rFonts w:ascii="Courier New" w:cs="Courier New" w:eastAsia="Courier New" w:hAnsi="Courier New"/>
          <w:sz w:val="18"/>
          <w:szCs w:val="18"/>
          <w:color w:val="auto"/>
        </w:rPr>
      </w:pPr>
    </w:p>
    <w:p>
      <w:pPr>
        <w:ind w:left="1160" w:right="68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Los Angeles, CA 90017 (Nevada Corporation)</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160" w:hanging="625"/>
        <w:spacing w:after="0" w:line="238" w:lineRule="auto"/>
        <w:tabs>
          <w:tab w:leader="none" w:pos="11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1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160" w:hanging="625"/>
        <w:spacing w:after="0" w:line="238" w:lineRule="auto"/>
        <w:tabs>
          <w:tab w:leader="none" w:pos="11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1" w:lineRule="exact"/>
        <w:rPr>
          <w:rFonts w:ascii="Courier New" w:cs="Courier New" w:eastAsia="Courier New" w:hAnsi="Courier New"/>
          <w:sz w:val="18"/>
          <w:szCs w:val="18"/>
          <w:color w:val="auto"/>
        </w:rPr>
      </w:pPr>
    </w:p>
    <w:p>
      <w:pPr>
        <w:ind w:left="1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629337106</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ind w:left="116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2120" w:right="2739" w:hanging="953"/>
        <w:spacing w:after="0" w:line="235" w:lineRule="auto"/>
        <w:tabs>
          <w:tab w:leader="none" w:pos="169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1700" w:hanging="533"/>
        <w:spacing w:after="0"/>
        <w:tabs>
          <w:tab w:leader="none" w:pos="1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2120"/>
        <w:spacing w:after="0" w:line="238" w:lineRule="auto"/>
        <w:rPr>
          <w:sz w:val="20"/>
          <w:szCs w:val="20"/>
          <w:color w:val="auto"/>
        </w:rPr>
      </w:pPr>
      <w:r>
        <w:rPr>
          <w:rFonts w:ascii="Courier New" w:cs="Courier New" w:eastAsia="Courier New" w:hAnsi="Courier New"/>
          <w:sz w:val="18"/>
          <w:szCs w:val="18"/>
          <w:color w:val="auto"/>
        </w:rPr>
        <w:t>(15 U.S.C. 78c).</w:t>
      </w:r>
    </w:p>
    <w:p>
      <w:pPr>
        <w:spacing w:after="0" w:line="207" w:lineRule="exact"/>
        <w:rPr>
          <w:sz w:val="20"/>
          <w:szCs w:val="20"/>
          <w:color w:val="auto"/>
        </w:rPr>
      </w:pPr>
    </w:p>
    <w:p>
      <w:pPr>
        <w:ind w:left="2120" w:right="2739" w:hanging="953"/>
        <w:spacing w:after="0" w:line="235" w:lineRule="auto"/>
        <w:tabs>
          <w:tab w:leader="none" w:pos="169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ectPr>
          <w:pgSz w:w="11900" w:h="16838" w:orient="portrait"/>
          <w:cols w:equalWidth="0" w:num="1">
            <w:col w:w="10219"/>
          </w:cols>
          <w:pgMar w:left="240" w:top="344" w:right="1440" w:bottom="0" w:gutter="0" w:footer="0" w:header="0"/>
        </w:sectPr>
      </w:pPr>
    </w:p>
    <w:bookmarkStart w:id="2" w:name="page3"/>
    <w:bookmarkEnd w:id="2"/>
    <w:p>
      <w:pPr>
        <w:ind w:left="2120" w:right="2619" w:hanging="953"/>
        <w:spacing w:after="0" w:line="290" w:lineRule="auto"/>
        <w:tabs>
          <w:tab w:leader="none" w:pos="1699"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spacing w:after="0" w:line="169" w:lineRule="exact"/>
        <w:rPr>
          <w:rFonts w:ascii="Courier New" w:cs="Courier New" w:eastAsia="Courier New" w:hAnsi="Courier New"/>
          <w:sz w:val="16"/>
          <w:szCs w:val="16"/>
          <w:color w:val="auto"/>
        </w:rPr>
      </w:pPr>
    </w:p>
    <w:p>
      <w:pPr>
        <w:ind w:left="2120" w:right="3039" w:hanging="953"/>
        <w:spacing w:after="0" w:line="235" w:lineRule="auto"/>
        <w:tabs>
          <w:tab w:leader="none" w:pos="169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 240.13d-1(b)(1)(ii)(E);</w:t>
      </w:r>
    </w:p>
    <w:p>
      <w:pPr>
        <w:spacing w:after="0" w:line="208" w:lineRule="exact"/>
        <w:rPr>
          <w:rFonts w:ascii="Courier New" w:cs="Courier New" w:eastAsia="Courier New" w:hAnsi="Courier New"/>
          <w:sz w:val="18"/>
          <w:szCs w:val="18"/>
          <w:color w:val="auto"/>
        </w:rPr>
      </w:pPr>
    </w:p>
    <w:p>
      <w:pPr>
        <w:ind w:left="2120" w:right="2199" w:hanging="953"/>
        <w:spacing w:after="0" w:line="235" w:lineRule="auto"/>
        <w:tabs>
          <w:tab w:leader="none" w:pos="169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2120" w:right="2199" w:hanging="953"/>
        <w:spacing w:after="0" w:line="235" w:lineRule="auto"/>
        <w:tabs>
          <w:tab w:leader="none" w:pos="169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20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(SEE Item 7)</w:t>
      </w:r>
    </w:p>
    <w:p>
      <w:pPr>
        <w:ind w:left="2120"/>
        <w:spacing w:after="0" w:line="238" w:lineRule="auto"/>
        <w:rPr>
          <w:sz w:val="20"/>
          <w:szCs w:val="20"/>
          <w:color w:val="auto"/>
        </w:rPr>
      </w:pPr>
      <w:r>
        <w:rPr>
          <w:rFonts w:ascii="Courier New" w:cs="Courier New" w:eastAsia="Courier New" w:hAnsi="Courier New"/>
          <w:sz w:val="18"/>
          <w:szCs w:val="18"/>
          <w:color w:val="auto"/>
        </w:rPr>
        <w:t>The TCW Group, Inc., on behalf of the TCW Business Unit</w:t>
      </w:r>
    </w:p>
    <w:p>
      <w:pPr>
        <w:spacing w:after="0" w:line="200" w:lineRule="exact"/>
        <w:rPr>
          <w:sz w:val="20"/>
          <w:szCs w:val="20"/>
          <w:color w:val="auto"/>
        </w:rPr>
      </w:pPr>
    </w:p>
    <w:p>
      <w:pPr>
        <w:spacing w:after="0" w:line="210" w:lineRule="exact"/>
        <w:rPr>
          <w:sz w:val="20"/>
          <w:szCs w:val="20"/>
          <w:color w:val="auto"/>
        </w:rPr>
      </w:pPr>
    </w:p>
    <w:p>
      <w:pPr>
        <w:ind w:left="2120" w:right="2319" w:hanging="953"/>
        <w:spacing w:after="0" w:line="235" w:lineRule="auto"/>
        <w:tabs>
          <w:tab w:leader="none" w:pos="169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120" w:right="2199" w:hanging="953"/>
        <w:spacing w:after="0" w:line="236" w:lineRule="auto"/>
        <w:tabs>
          <w:tab w:leader="none" w:pos="169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8" w:lineRule="exact"/>
        <w:rPr>
          <w:rFonts w:ascii="Courier New" w:cs="Courier New" w:eastAsia="Courier New" w:hAnsi="Courier New"/>
          <w:sz w:val="18"/>
          <w:szCs w:val="18"/>
          <w:color w:val="auto"/>
        </w:rPr>
      </w:pPr>
    </w:p>
    <w:p>
      <w:pPr>
        <w:ind w:left="1160" w:right="2099" w:firstLine="7"/>
        <w:spacing w:after="0" w:line="236" w:lineRule="auto"/>
        <w:tabs>
          <w:tab w:leader="none" w:pos="168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 240.13d-1(b)(1)(ii)(J). If this statement is filed pursuant to Rule 13d-1(c), check this box. / /</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 **</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The TCW Group, Inc., on behalf of the Business Unit ***</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2519" w:firstLine="527"/>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1580" w:hanging="519"/>
        <w:spacing w:after="0"/>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1,484,811</w:t>
      </w:r>
    </w:p>
    <w:p>
      <w:pPr>
        <w:spacing w:after="0" w:line="4" w:lineRule="exact"/>
        <w:rPr>
          <w:rFonts w:ascii="Courier New" w:cs="Courier New" w:eastAsia="Courier New" w:hAnsi="Courier New"/>
          <w:sz w:val="18"/>
          <w:szCs w:val="18"/>
          <w:color w:val="auto"/>
        </w:rPr>
      </w:pPr>
    </w:p>
    <w:p>
      <w:pPr>
        <w:ind w:left="11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580" w:hanging="519"/>
        <w:spacing w:after="0" w:line="238" w:lineRule="auto"/>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8.9%</w:t>
      </w:r>
    </w:p>
    <w:p>
      <w:pPr>
        <w:spacing w:after="0" w:line="207"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580" w:hanging="519"/>
        <w:spacing w:after="0"/>
        <w:tabs>
          <w:tab w:leader="none" w:pos="1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7" w:lineRule="exact"/>
        <w:rPr>
          <w:sz w:val="20"/>
          <w:szCs w:val="20"/>
          <w:color w:val="auto"/>
        </w:rPr>
      </w:pPr>
    </w:p>
    <w:p>
      <w:pPr>
        <w:ind w:left="3060" w:right="3479" w:hanging="1156"/>
        <w:spacing w:after="0" w:line="235" w:lineRule="auto"/>
        <w:tabs>
          <w:tab w:leader="none" w:pos="253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none</w:t>
      </w:r>
    </w:p>
    <w:p>
      <w:pPr>
        <w:spacing w:after="0" w:line="6"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060" w:right="3259" w:hanging="1156"/>
        <w:spacing w:after="0" w:line="235" w:lineRule="auto"/>
        <w:tabs>
          <w:tab w:leader="none" w:pos="253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1,151,441</w:t>
      </w:r>
    </w:p>
    <w:p>
      <w:pPr>
        <w:spacing w:after="0" w:line="6"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060" w:right="2099" w:hanging="1156"/>
        <w:spacing w:after="0" w:line="235" w:lineRule="auto"/>
        <w:tabs>
          <w:tab w:leader="none" w:pos="253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none</w:t>
      </w:r>
    </w:p>
    <w:p>
      <w:pPr>
        <w:spacing w:after="0" w:line="6"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540" w:hanging="636"/>
        <w:spacing w:after="0"/>
        <w:tabs>
          <w:tab w:leader="none" w:pos="25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w:t>
      </w:r>
    </w:p>
    <w:p>
      <w:pPr>
        <w:spacing w:after="0" w:line="1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1,484,811</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640" w:right="1779" w:hanging="632"/>
        <w:spacing w:after="0" w:line="271" w:lineRule="auto"/>
        <w:tabs>
          <w:tab w:leader="none" w:pos="6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filing of this Schedule 13G shall not be construed as an admission that the reporting person or any of its affiliates is, for the purposes of Section 13(d) or 13(g) of the Securities Exchange Act of 1934, the beneficial owner of any securities covered by this Schedule 13G.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80"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ectPr>
          <w:pgSz w:w="11900" w:h="16838" w:orient="portrait"/>
          <w:cols w:equalWidth="0" w:num="1">
            <w:col w:w="10219"/>
          </w:cols>
          <w:pgMar w:left="240" w:top="344" w:right="1440" w:bottom="0" w:gutter="0" w:footer="0" w:header="0"/>
        </w:sectPr>
      </w:pPr>
    </w:p>
    <w:bookmarkStart w:id="3" w:name="page4"/>
    <w:bookmarkEnd w:id="3"/>
    <w:p>
      <w:pPr>
        <w:ind w:left="1280" w:right="1779"/>
        <w:spacing w:after="0" w:line="236" w:lineRule="auto"/>
        <w:rPr>
          <w:sz w:val="20"/>
          <w:szCs w:val="20"/>
          <w:color w:val="auto"/>
        </w:rPr>
      </w:pPr>
      <w:r>
        <w:rPr>
          <w:rFonts w:ascii="Courier New" w:cs="Courier New" w:eastAsia="Courier New" w:hAnsi="Courier New"/>
          <w:sz w:val="18"/>
          <w:szCs w:val="18"/>
          <w:color w:val="auto"/>
        </w:rPr>
        <w:t>Various persons other than as described in Item 4 have the right to receive or the power to direct the receipt of dividends from, or the proceeds from the sale of, the Common Stock of NN, Inc.</w:t>
      </w:r>
    </w:p>
    <w:p>
      <w:pPr>
        <w:spacing w:after="0" w:line="209" w:lineRule="exact"/>
        <w:rPr>
          <w:sz w:val="20"/>
          <w:szCs w:val="20"/>
          <w:color w:val="auto"/>
        </w:rPr>
      </w:pPr>
    </w:p>
    <w:p>
      <w:pPr>
        <w:ind w:left="1060" w:right="219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060" w:right="2619"/>
        <w:spacing w:after="0" w:line="235" w:lineRule="auto"/>
        <w:rPr>
          <w:sz w:val="20"/>
          <w:szCs w:val="20"/>
          <w:color w:val="auto"/>
        </w:rPr>
      </w:pPr>
      <w:r>
        <w:rPr>
          <w:rFonts w:ascii="Courier New" w:cs="Courier New" w:eastAsia="Courier New" w:hAnsi="Courier New"/>
          <w:sz w:val="18"/>
          <w:szCs w:val="18"/>
          <w:color w:val="auto"/>
        </w:rPr>
        <w:t>Because this statement is filed pursuant to Rule 13d-1(b), the following certification is included:</w:t>
      </w:r>
    </w:p>
    <w:p>
      <w:pPr>
        <w:spacing w:after="0" w:line="208" w:lineRule="exact"/>
        <w:rPr>
          <w:sz w:val="20"/>
          <w:szCs w:val="20"/>
          <w:color w:val="auto"/>
        </w:rPr>
      </w:pPr>
    </w:p>
    <w:p>
      <w:pPr>
        <w:ind w:left="1060" w:right="21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this 9th day of February, 2005.</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The TCW Group, Inc., on behalf of the</w:t>
      </w:r>
    </w:p>
    <w:p>
      <w:pPr>
        <w:ind w:left="3900"/>
        <w:spacing w:after="0" w:line="238" w:lineRule="auto"/>
        <w:rPr>
          <w:sz w:val="20"/>
          <w:szCs w:val="20"/>
          <w:color w:val="auto"/>
        </w:rPr>
      </w:pPr>
      <w:r>
        <w:rPr>
          <w:rFonts w:ascii="Courier New" w:cs="Courier New" w:eastAsia="Courier New" w:hAnsi="Courier New"/>
          <w:sz w:val="18"/>
          <w:szCs w:val="18"/>
          <w:color w:val="auto"/>
        </w:rPr>
        <w:t>TCW Business Unit</w:t>
      </w:r>
    </w:p>
    <w:p>
      <w:pPr>
        <w:spacing w:after="0" w:line="202"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By: /s/ Linda D. Barker</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rPr>
          <w:sz w:val="20"/>
          <w:szCs w:val="20"/>
          <w:color w:val="auto"/>
        </w:rPr>
      </w:pPr>
      <w:r>
        <w:rPr>
          <w:rFonts w:ascii="Courier New" w:cs="Courier New" w:eastAsia="Courier New" w:hAnsi="Courier New"/>
          <w:sz w:val="18"/>
          <w:szCs w:val="18"/>
          <w:color w:val="auto"/>
        </w:rPr>
        <w:t>Linda D. Barker</w:t>
      </w:r>
    </w:p>
    <w:p>
      <w:pPr>
        <w:ind w:left="4320"/>
        <w:spacing w:after="0" w:line="237" w:lineRule="auto"/>
        <w:rPr>
          <w:sz w:val="20"/>
          <w:szCs w:val="20"/>
          <w:color w:val="auto"/>
        </w:rPr>
      </w:pPr>
      <w:r>
        <w:rPr>
          <w:rFonts w:ascii="Courier New" w:cs="Courier New" w:eastAsia="Courier New" w:hAnsi="Courier New"/>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RELEVANT SUBSIDIARIES OF PARENT HOLDING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A: TCW ENTITIES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PARENT HOLDING COMPANY:</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TCW Group,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RELEVANT SUBSIDIARIES THAT ARE PERSONS DESCRIBED IN RULE 13d-1(b):</w:t>
      </w:r>
    </w:p>
    <w:p>
      <w:pPr>
        <w:spacing w:after="0" w:line="207" w:lineRule="exact"/>
        <w:rPr>
          <w:sz w:val="20"/>
          <w:szCs w:val="20"/>
          <w:color w:val="auto"/>
        </w:rPr>
      </w:pPr>
    </w:p>
    <w:p>
      <w:pPr>
        <w:ind w:left="960" w:right="2319" w:hanging="952"/>
        <w:spacing w:after="0" w:line="290" w:lineRule="auto"/>
        <w:tabs>
          <w:tab w:leader="none" w:pos="9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Trust Company of the West, a California corporation and a bank as defined in Section 3(a)(6) of the Securities Exchange Act of 1934.</w:t>
      </w:r>
    </w:p>
    <w:p>
      <w:pPr>
        <w:spacing w:after="0" w:line="169" w:lineRule="exact"/>
        <w:rPr>
          <w:rFonts w:ascii="Courier New" w:cs="Courier New" w:eastAsia="Courier New" w:hAnsi="Courier New"/>
          <w:sz w:val="16"/>
          <w:szCs w:val="16"/>
          <w:color w:val="auto"/>
        </w:rPr>
      </w:pPr>
    </w:p>
    <w:p>
      <w:pPr>
        <w:ind w:left="960" w:right="2419" w:hanging="952"/>
        <w:spacing w:after="0" w:line="236" w:lineRule="auto"/>
        <w:tabs>
          <w:tab w:leader="none" w:pos="9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TCW Asset Management Company, a California corporation and an Investment Adviser registered under Section 203 of the Investment Advisers Act of 1940.</w:t>
      </w:r>
    </w:p>
    <w:p>
      <w:pPr>
        <w:spacing w:after="0" w:line="208" w:lineRule="exact"/>
        <w:rPr>
          <w:rFonts w:ascii="Courier New" w:cs="Courier New" w:eastAsia="Courier New" w:hAnsi="Courier New"/>
          <w:sz w:val="18"/>
          <w:szCs w:val="18"/>
          <w:color w:val="auto"/>
        </w:rPr>
      </w:pPr>
    </w:p>
    <w:p>
      <w:pPr>
        <w:ind w:left="960" w:right="2319" w:hanging="952"/>
        <w:spacing w:after="0" w:line="236" w:lineRule="auto"/>
        <w:tabs>
          <w:tab w:leader="none" w:pos="9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TCW Investment Management Company, a California corporation and an Investment Adviser registered under Section 203 of the Investment Advisers Act of 1940.</w:t>
      </w:r>
    </w:p>
    <w:p>
      <w:pPr>
        <w:spacing w:after="0" w:line="209"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This Schedule 13G is being filed by the TCW Group, Inc., a Nevada corporation ("TCW"), on behalf of itself and its direct and indirect subsidiaries, which collectively constitute The TCW Group, Inc. business unit (the "TCW Business Unit" or the "Reporting Person"). The TCW Business Unit is primarily engaged in</w:t>
      </w:r>
    </w:p>
    <w:p>
      <w:pPr>
        <w:sectPr>
          <w:pgSz w:w="11900" w:h="16838" w:orient="portrait"/>
          <w:cols w:equalWidth="0" w:num="1">
            <w:col w:w="10219"/>
          </w:cols>
          <w:pgMar w:left="240" w:top="14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the provision of investment management services.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As of July 6, 2001, the ultimate parent company of TCW is Societe Generale, S.A., a corporation formed under the laws of France ("SG"). The principal business of SG is acting as a holding company for a global financial services group, which includes certain distinct specialized business units that are independently operated, including the TCW Business Unit.</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SG, for purpose of the federal securities laws, may be deemed ultimately to control TCW and the TCW Business Unit. SG, its executive officers and directors, and its direct and indirect subsidiaries (including all business units except the TCW Business Unit), may beneficially own shares of the securities of the issuer to which this schedule relates (the "Shares") and such shares are not reported in this statement. In accordance with Securities and Exchange Commission ("SEC") Release No. 34-39538 (January 12, 1998), and due to the separate management and independent operation of its business units, SG disclaims beneficial ownership of Shares beneficially owned by the Reporting Person. The Reporting Person disclaims beneficial ownership of Shares beneficially owned by SG and any of SG's other business units.</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A-1</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lvl w:ilvl="1">
      <w:lvlJc w:val="left"/>
      <w:lvlText w:val="%2."/>
      <w:numFmt w:val="decimal"/>
      <w:start w:val="1"/>
    </w:lvl>
  </w:abstractNum>
  <w:abstractNum w:abstractNumId="4">
    <w:nsid w:val="41A7C4C9"/>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5">
    <w:nsid w:val="6B68079A"/>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6">
    <w:nsid w:val="4E6AFB66"/>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7">
    <w:nsid w:val="25E45D32"/>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8">
    <w:nsid w:val="519B500D"/>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1)"/>
      <w:numFmt w:val="lowerLetter"/>
      <w:start w:val="1"/>
    </w:lvl>
  </w:abstractNum>
  <w:abstractNum w:abstractNumId="12">
    <w:nsid w:val="257130A3"/>
    <w:multiLevelType w:val="hybridMultilevel"/>
    <w:lvl w:ilvl="0">
      <w:lvlJc w:val="left"/>
      <w:lvlText w:val="(%1)"/>
      <w:numFmt w:val="lowerLetter"/>
      <w:start w:val="1"/>
    </w:lvl>
  </w:abstractNum>
  <w:abstractNum w:abstractNumId="13">
    <w:nsid w:val="62BBD95A"/>
    <w:multiLevelType w:val="hybridMultilevel"/>
    <w:lvl w:ilvl="0">
      <w:lvlJc w:val="left"/>
      <w:lvlText w:val="(%1)"/>
      <w:numFmt w:val="lowerLetter"/>
      <w:start w:val="1"/>
    </w:lvl>
  </w:abstractNum>
  <w:abstractNum w:abstractNumId="14">
    <w:nsid w:val="436C6125"/>
    <w:multiLevelType w:val="hybridMultilevel"/>
    <w:lvl w:ilvl="0">
      <w:lvlJc w:val="left"/>
      <w:lvlText w:val="(%1)"/>
      <w:numFmt w:val="lowerLetter"/>
      <w:start w:val="3"/>
    </w:lvl>
  </w:abstractNum>
  <w:abstractNum w:abstractNumId="15">
    <w:nsid w:val="628C895D"/>
    <w:multiLevelType w:val="hybridMultilevel"/>
    <w:lvl w:ilvl="0">
      <w:lvlJc w:val="left"/>
      <w:lvlText w:val="(%1)"/>
      <w:numFmt w:val="lowerLetter"/>
      <w:start w:val="4"/>
    </w:lvl>
  </w:abstractNum>
  <w:abstractNum w:abstractNumId="16">
    <w:nsid w:val="333AB105"/>
    <w:multiLevelType w:val="hybridMultilevel"/>
    <w:lvl w:ilvl="0">
      <w:lvlJc w:val="left"/>
      <w:lvlText w:val="(%1)"/>
      <w:numFmt w:val="lowerLetter"/>
      <w:start w:val="8"/>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lowerLetter"/>
      <w:start w:val="3"/>
    </w:lvl>
  </w:abstractNum>
  <w:abstractNum w:abstractNumId="19">
    <w:nsid w:val="2D1D5AE9"/>
    <w:multiLevelType w:val="hybridMultilevel"/>
    <w:lvl w:ilvl="0">
      <w:lvlJc w:val="left"/>
      <w:lvlText w:val="(%1)"/>
      <w:numFmt w:val="lowerRoman"/>
      <w:start w:val="1"/>
    </w:lvl>
  </w:abstractNum>
  <w:abstractNum w:abstractNumId="20">
    <w:nsid w:val="6763845E"/>
    <w:multiLevelType w:val="hybridMultilevel"/>
    <w:lvl w:ilvl="0">
      <w:lvlJc w:val="left"/>
      <w:lvlText w:val="(%1)"/>
      <w:numFmt w:val="lowerRoman"/>
      <w:start w:val="2"/>
    </w:lvl>
  </w:abstractNum>
  <w:abstractNum w:abstractNumId="21">
    <w:nsid w:val="75A2A8D4"/>
    <w:multiLevelType w:val="hybridMultilevel"/>
    <w:lvl w:ilvl="0">
      <w:lvlJc w:val="left"/>
      <w:lvlText w:val="(%1)"/>
      <w:numFmt w:val="lowerRoman"/>
      <w:start w:val="3"/>
    </w:lvl>
  </w:abstractNum>
  <w:abstractNum w:abstractNumId="22">
    <w:nsid w:val="8EDBDAB"/>
    <w:multiLevelType w:val="hybridMultilevel"/>
    <w:lvl w:ilvl="0">
      <w:lvlJc w:val="left"/>
      <w:lvlText w:val="(%1)"/>
      <w:numFmt w:val="lowerRoman"/>
      <w:start w:val="4"/>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2019-12-14T03:08:37Z</dcterms:created>
  <dcterms:modified xsi:type="dcterms:W3CDTF">2019-12-14T03:08:37Z</dcterms:modified>
</cp:coreProperties>
</file>