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640"/>
        <w:spacing w:after="0"/>
        <w:tabs>
          <w:tab w:leader="none" w:pos="46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060" w:right="5159" w:hanging="313"/>
        <w:spacing w:after="0" w:line="536" w:lineRule="auto"/>
        <w:tabs>
          <w:tab w:leader="none" w:pos="3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(Name of Issuer)</w:t>
      </w:r>
    </w:p>
    <w:p>
      <w:pPr>
        <w:jc w:val="center"/>
        <w:ind w:right="2419"/>
        <w:spacing w:after="0" w:line="234" w:lineRule="auto"/>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629305103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0"/>
          <w:szCs w:val="20"/>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827,000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827,000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9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827,000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Guardian Trust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95-2553868</w:t>
      </w:r>
    </w:p>
    <w:p>
      <w:pPr>
        <w:spacing w:after="0" w:line="202" w:lineRule="exact"/>
        <w:rPr>
          <w:sz w:val="20"/>
          <w:szCs w:val="20"/>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540" w:hanging="427"/>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6519" w:hanging="417"/>
        <w:spacing w:after="0" w:line="470" w:lineRule="auto"/>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827,000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827,000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939" w:hanging="427"/>
        <w:spacing w:after="0" w:line="47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827,000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BK</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NN Ball &amp; Roller,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 Tennessee Road</w:t>
      </w: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Erwin, TN</w:t>
        <w:tab/>
        <w:t>37650</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3159"/>
        <w:spacing w:after="0" w:line="235" w:lineRule="auto"/>
        <w:rPr>
          <w:sz w:val="20"/>
          <w:szCs w:val="20"/>
          <w:color w:val="auto"/>
        </w:rPr>
      </w:pPr>
      <w:r>
        <w:rPr>
          <w:rFonts w:ascii="Courier New" w:cs="Courier New" w:eastAsia="Courier New" w:hAnsi="Courier New"/>
          <w:sz w:val="18"/>
          <w:szCs w:val="18"/>
          <w:color w:val="auto"/>
        </w:rPr>
        <w:t>The Capital Group Companies, Inc. and Capital Guardian Trust Company</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629305103</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1" w:lineRule="exact"/>
        <w:rPr>
          <w:sz w:val="20"/>
          <w:szCs w:val="20"/>
          <w:color w:val="auto"/>
        </w:rPr>
      </w:pPr>
    </w:p>
    <w:p>
      <w:pPr>
        <w:ind w:left="1380" w:hanging="635"/>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w:t>
      </w:r>
    </w:p>
    <w:p>
      <w:pPr>
        <w:spacing w:after="0" w:line="4" w:lineRule="exact"/>
        <w:rPr>
          <w:sz w:val="20"/>
          <w:szCs w:val="20"/>
          <w:color w:val="auto"/>
        </w:rPr>
      </w:pPr>
    </w:p>
    <w:p>
      <w:pPr>
        <w:ind w:left="1280" w:right="2939" w:hanging="535"/>
        <w:spacing w:after="0" w:line="235" w:lineRule="auto"/>
        <w:tabs>
          <w:tab w:leader="none" w:pos="149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619"/>
        <w:spacing w:after="0" w:line="238" w:lineRule="auto"/>
        <w:rPr>
          <w:sz w:val="20"/>
          <w:szCs w:val="20"/>
          <w:color w:val="auto"/>
        </w:rPr>
      </w:pPr>
      <w:r>
        <w:rPr>
          <w:rFonts w:ascii="Courier New" w:cs="Courier New" w:eastAsia="Courier New" w:hAnsi="Courier New"/>
          <w:sz w:val="18"/>
          <w:szCs w:val="18"/>
          <w:color w:val="auto"/>
        </w:rPr>
        <w:t>The Capital Group Companies,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The Capital Group Companies, Inc. does not have investment power or voting power over any of the securities reported herein; however, The Capital Group Companies, Inc. may be deemed to "beneficially own" such securities by virtue of Rule 13d-3 under the Act.</w:t>
      </w:r>
    </w:p>
    <w:p>
      <w:pPr>
        <w:sectPr>
          <w:pgSz w:w="11900" w:h="16838" w:orient="portrait"/>
          <w:cols w:equalWidth="0" w:num="1">
            <w:col w:w="10219"/>
          </w:cols>
          <w:pgMar w:left="240" w:top="717" w:right="1440" w:bottom="1440" w:gutter="0" w:footer="0" w:header="0"/>
        </w:sectPr>
      </w:pPr>
    </w:p>
    <w:bookmarkStart w:id="6" w:name="page7"/>
    <w:bookmarkEnd w:id="6"/>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740" w:right="2739"/>
        <w:spacing w:after="0" w:line="237" w:lineRule="auto"/>
        <w:rPr>
          <w:sz w:val="20"/>
          <w:szCs w:val="20"/>
          <w:color w:val="auto"/>
        </w:rPr>
      </w:pPr>
      <w:r>
        <w:rPr>
          <w:rFonts w:ascii="Courier New" w:cs="Courier New" w:eastAsia="Courier New" w:hAnsi="Courier New"/>
          <w:sz w:val="18"/>
          <w:szCs w:val="18"/>
          <w:color w:val="auto"/>
        </w:rPr>
        <w:t>Capital Guardian Trust Company, a bank as defined in Section 3(a)6 of the Act and a wholly owned subsidiary of The Capital Group Companies, Inc., is the beneficial owner of 827,000 shares or 5.6% of the 14,804,000 shares of Common Stock believed to be outstanding as a result of its serving as the investment manager of various institutional accounts.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60" w:right="2619"/>
        <w:spacing w:after="0" w:line="236" w:lineRule="auto"/>
        <w:rPr>
          <w:sz w:val="20"/>
          <w:szCs w:val="20"/>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Vice Chairman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Capital Guardian Trust Company</w:t>
      </w:r>
    </w:p>
    <w:p>
      <w:pPr>
        <w:sectPr>
          <w:pgSz w:w="11900" w:h="16838" w:orient="portrait"/>
          <w:cols w:equalWidth="0" w:num="1">
            <w:col w:w="10219"/>
          </w:cols>
          <w:pgMar w:left="240" w:top="925" w:right="1440" w:bottom="1440"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James P. Ryan</w:t>
      </w:r>
    </w:p>
    <w:p>
      <w:pPr>
        <w:ind w:left="72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72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4, 1997 included as an Exhibit to Schedule 13G filed with the Securities and Exchange Commission by The Capital Group Companies, Inc. on December 10, 1997 with respect to Viatel Inc.</w:t>
      </w:r>
    </w:p>
    <w:p>
      <w:pPr>
        <w:sectPr>
          <w:pgSz w:w="11900" w:h="16838" w:orient="portrait"/>
          <w:cols w:equalWidth="0" w:num="1">
            <w:col w:w="9359"/>
          </w:cols>
          <w:pgMar w:left="1100" w:top="919" w:right="1440" w:bottom="1440" w:gutter="0" w:footer="0" w:header="0"/>
        </w:sectPr>
      </w:pPr>
    </w:p>
    <w:bookmarkStart w:id="10" w:name="page11"/>
    <w:bookmarkEnd w:id="10"/>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Los Angeles, CA</w:t>
      </w:r>
    </w:p>
    <w:p>
      <w:pPr>
        <w:jc w:val="center"/>
        <w:ind w:right="2739"/>
        <w:spacing w:after="0" w:line="238" w:lineRule="auto"/>
        <w:rPr>
          <w:sz w:val="20"/>
          <w:szCs w:val="20"/>
          <w:color w:val="auto"/>
        </w:rPr>
      </w:pPr>
      <w:r>
        <w:rPr>
          <w:rFonts w:ascii="Courier New" w:cs="Courier New" w:eastAsia="Courier New" w:hAnsi="Courier New"/>
          <w:sz w:val="18"/>
          <w:szCs w:val="18"/>
          <w:color w:val="auto"/>
        </w:rPr>
        <w:t>February 10, 1998</w:t>
      </w:r>
    </w:p>
    <w:p>
      <w:pPr>
        <w:spacing w:after="0" w:line="207" w:lineRule="exact"/>
        <w:rPr>
          <w:sz w:val="20"/>
          <w:szCs w:val="20"/>
          <w:color w:val="auto"/>
        </w:rPr>
      </w:pPr>
    </w:p>
    <w:p>
      <w:pPr>
        <w:ind w:right="2619" w:firstLine="211"/>
        <w:spacing w:after="0" w:line="237" w:lineRule="auto"/>
        <w:rPr>
          <w:sz w:val="20"/>
          <w:szCs w:val="20"/>
          <w:color w:val="auto"/>
        </w:rPr>
      </w:pPr>
      <w:r>
        <w:rPr>
          <w:rFonts w:ascii="Courier New" w:cs="Courier New" w:eastAsia="Courier New" w:hAnsi="Courier New"/>
          <w:sz w:val="18"/>
          <w:szCs w:val="18"/>
          <w:color w:val="auto"/>
        </w:rPr>
        <w:t>The Capital Group Companies, Inc. ("CGC") and Capital Guardian Trust Company ("CGTC") hereby agree to file a joint statement on Schedule 13G under the Securities Exchange Act of 1934 (the "Act") in connection with their beneficial ownership of Common Stock issued by NN Ball &amp; Roller, Inc.</w:t>
      </w:r>
    </w:p>
    <w:p>
      <w:pPr>
        <w:spacing w:after="0" w:line="209" w:lineRule="exact"/>
        <w:rPr>
          <w:sz w:val="20"/>
          <w:szCs w:val="20"/>
          <w:color w:val="auto"/>
        </w:rPr>
      </w:pPr>
    </w:p>
    <w:p>
      <w:pPr>
        <w:ind w:right="3039" w:firstLine="211"/>
        <w:spacing w:after="0" w:line="235" w:lineRule="auto"/>
        <w:rPr>
          <w:sz w:val="20"/>
          <w:szCs w:val="20"/>
          <w:color w:val="auto"/>
        </w:rPr>
      </w:pPr>
      <w:r>
        <w:rPr>
          <w:rFonts w:ascii="Courier New" w:cs="Courier New" w:eastAsia="Courier New" w:hAnsi="Courier New"/>
          <w:sz w:val="18"/>
          <w:szCs w:val="18"/>
          <w:color w:val="auto"/>
        </w:rPr>
        <w:t>CGC and CGTC state that they are each entitled to individually use Schedule 13G pursuant to Rule 13d-1(c) of the Act.</w:t>
      </w:r>
    </w:p>
    <w:p>
      <w:pPr>
        <w:spacing w:after="0" w:line="208"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CGC and CGTC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Larry P. Clemmensen, President</w:t>
      </w:r>
    </w:p>
    <w:p>
      <w:pPr>
        <w:ind w:left="3700"/>
        <w:spacing w:after="0" w:line="238" w:lineRule="auto"/>
        <w:rPr>
          <w:sz w:val="20"/>
          <w:szCs w:val="20"/>
          <w:color w:val="auto"/>
        </w:rPr>
      </w:pPr>
      <w:r>
        <w:rPr>
          <w:rFonts w:ascii="Courier New" w:cs="Courier New" w:eastAsia="Courier New" w:hAnsi="Courier New"/>
          <w:sz w:val="18"/>
          <w:szCs w:val="18"/>
          <w:color w:val="auto"/>
        </w:rPr>
        <w:t>The Capital Group Companies,</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GUARDIAN TRUST COMPANY</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Vice Chairman</w:t>
      </w:r>
    </w:p>
    <w:p>
      <w:pPr>
        <w:ind w:left="3700"/>
        <w:spacing w:after="0" w:line="238" w:lineRule="auto"/>
        <w:rPr>
          <w:sz w:val="20"/>
          <w:szCs w:val="20"/>
          <w:color w:val="auto"/>
        </w:rPr>
      </w:pPr>
      <w:r>
        <w:rPr>
          <w:rFonts w:ascii="Courier New" w:cs="Courier New" w:eastAsia="Courier New" w:hAnsi="Courier New"/>
          <w:sz w:val="18"/>
          <w:szCs w:val="18"/>
          <w:color w:val="auto"/>
        </w:rPr>
        <w:t>Capital Guardian Trust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P. Ryan</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9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4, 1997 included as an Exhibit to Schedule 13G filed with the Securities and Exchange Commission by The Capital Group Companies, Inc. on December 10, 1997 with respect to Viatel Inc.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40"/>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2"/>
      <w:numFmt w:val="bullet"/>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4"/>
      <w:numFmt w:val="bullet"/>
      <w:start w:val="1"/>
    </w:lvl>
  </w:abstractNum>
  <w:abstractNum w:abstractNumId="5">
    <w:nsid w:val="140E0F76"/>
    <w:multiLevelType w:val="hybridMultilevel"/>
    <w:lvl w:ilvl="0">
      <w:lvlJc w:val="left"/>
      <w:lvlText w:val="5"/>
      <w:numFmt w:val="bullet"/>
      <w:start w:val="1"/>
    </w:lvl>
  </w:abstractNum>
  <w:abstractNum w:abstractNumId="6">
    <w:nsid w:val="3352255A"/>
    <w:multiLevelType w:val="hybridMultilevel"/>
    <w:lvl w:ilvl="0">
      <w:lvlJc w:val="left"/>
      <w:lvlText w:val="8"/>
      <w:numFmt w:val="bullet"/>
      <w:start w:val="1"/>
    </w:lvl>
  </w:abstractNum>
  <w:abstractNum w:abstractNumId="7">
    <w:nsid w:val="109CF92E"/>
    <w:multiLevelType w:val="hybridMultilevel"/>
    <w:lvl w:ilvl="0">
      <w:lvlJc w:val="left"/>
      <w:lvlText w:val="9"/>
      <w:numFmt w:val="bullet"/>
      <w:start w:val="1"/>
    </w:lvl>
  </w:abstractNum>
  <w:abstractNum w:abstractNumId="8">
    <w:nsid w:val="DED7263"/>
    <w:multiLevelType w:val="hybridMultilevel"/>
    <w:lvl w:ilvl="0">
      <w:lvlJc w:val="left"/>
      <w:lvlText w:val="%1"/>
      <w:numFmt w:val="decimal"/>
      <w:start w:val="10"/>
    </w:lvl>
    <w:lvl w:ilvl="1">
      <w:lvlJc w:val="left"/>
      <w:lvlText w:val="*"/>
      <w:numFmt w:val="bullet"/>
      <w:start w:val="1"/>
    </w:lvl>
  </w:abstractNum>
  <w:abstractNum w:abstractNumId="9">
    <w:nsid w:val="7FDCC233"/>
    <w:multiLevelType w:val="hybridMultilevel"/>
    <w:lvl w:ilvl="0">
      <w:lvlJc w:val="left"/>
      <w:lvlText w:val="1"/>
      <w:numFmt w:val="bullet"/>
      <w:start w:val="1"/>
    </w:lvl>
  </w:abstractNum>
  <w:abstractNum w:abstractNumId="10">
    <w:nsid w:val="1BEFD79F"/>
    <w:multiLevelType w:val="hybridMultilevel"/>
    <w:lvl w:ilvl="0">
      <w:lvlJc w:val="left"/>
      <w:lvlText w:val="2"/>
      <w:numFmt w:val="bullet"/>
      <w:start w:val="1"/>
    </w:lvl>
  </w:abstractNum>
  <w:abstractNum w:abstractNumId="11">
    <w:nsid w:val="41A7C4C9"/>
    <w:multiLevelType w:val="hybridMultilevel"/>
    <w:lvl w:ilvl="0">
      <w:lvlJc w:val="left"/>
      <w:lvlText w:val="3"/>
      <w:numFmt w:val="bullet"/>
      <w:start w:val="1"/>
    </w:lvl>
  </w:abstractNum>
  <w:abstractNum w:abstractNumId="12">
    <w:nsid w:val="6B68079A"/>
    <w:multiLevelType w:val="hybridMultilevel"/>
    <w:lvl w:ilvl="0">
      <w:lvlJc w:val="left"/>
      <w:lvlText w:val="4"/>
      <w:numFmt w:val="bullet"/>
      <w:start w:val="1"/>
    </w:lvl>
  </w:abstractNum>
  <w:abstractNum w:abstractNumId="13">
    <w:nsid w:val="4E6AFB66"/>
    <w:multiLevelType w:val="hybridMultilevel"/>
    <w:lvl w:ilvl="0">
      <w:lvlJc w:val="left"/>
      <w:lvlText w:val="5"/>
      <w:numFmt w:val="bullet"/>
      <w:start w:val="1"/>
    </w:lvl>
  </w:abstractNum>
  <w:abstractNum w:abstractNumId="14">
    <w:nsid w:val="25E45D32"/>
    <w:multiLevelType w:val="hybridMultilevel"/>
    <w:lvl w:ilvl="0">
      <w:lvlJc w:val="left"/>
      <w:lvlText w:val="8"/>
      <w:numFmt w:val="bullet"/>
      <w:start w:val="1"/>
    </w:lvl>
  </w:abstractNum>
  <w:abstractNum w:abstractNumId="15">
    <w:nsid w:val="519B500D"/>
    <w:multiLevelType w:val="hybridMultilevel"/>
    <w:lvl w:ilvl="0">
      <w:lvlJc w:val="left"/>
      <w:lvlText w:val="9"/>
      <w:numFmt w:val="bullet"/>
      <w:start w:val="1"/>
    </w:lvl>
  </w:abstractNum>
  <w:abstractNum w:abstractNumId="16">
    <w:nsid w:val="431BD7B7"/>
    <w:multiLevelType w:val="hybridMultilevel"/>
    <w:lvl w:ilvl="0">
      <w:lvlJc w:val="left"/>
      <w:lvlText w:val="%1"/>
      <w:numFmt w:val="decimal"/>
      <w:start w:val="10"/>
    </w:lvl>
    <w:lvl w:ilvl="1">
      <w:lvlJc w:val="left"/>
      <w:lvlText w:val="*"/>
      <w:numFmt w:val="bullet"/>
      <w:start w:val="1"/>
    </w:lvl>
  </w:abstractNum>
  <w:abstractNum w:abstractNumId="17">
    <w:nsid w:val="3F2DBA31"/>
    <w:multiLevelType w:val="hybridMultilevel"/>
    <w:lvl w:ilvl="0">
      <w:lvlJc w:val="left"/>
      <w:lvlText w:val="(%1)"/>
      <w:numFmt w:val="lowerLetter"/>
      <w:start w:val="2"/>
    </w:lvl>
  </w:abstractNum>
  <w:abstractNum w:abstractNumId="18">
    <w:nsid w:val="7C83E45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2019-12-14T03:17:33Z</dcterms:created>
  <dcterms:modified xsi:type="dcterms:W3CDTF">2019-12-14T03:17:33Z</dcterms:modified>
</cp:coreProperties>
</file>