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4" w:lineRule="exact"/>
        <w:rPr>
          <w:sz w:val="24"/>
          <w:szCs w:val="24"/>
          <w:color w:val="auto"/>
        </w:rPr>
      </w:pPr>
    </w:p>
    <w:p>
      <w:pPr>
        <w:spacing w:after="0"/>
        <w:rPr>
          <w:sz w:val="20"/>
          <w:szCs w:val="20"/>
          <w:color w:val="auto"/>
        </w:rPr>
      </w:pPr>
      <w:r>
        <w:rPr>
          <w:rFonts w:ascii="Courier New" w:cs="Courier New" w:eastAsia="Courier New" w:hAnsi="Courier New"/>
          <w:sz w:val="13"/>
          <w:szCs w:val="13"/>
          <w:b w:val="1"/>
          <w:bCs w:val="1"/>
          <w:color w:val="auto"/>
        </w:rPr>
        <w:t>================================================================================</w:t>
      </w:r>
    </w:p>
    <w:p>
      <w:pPr>
        <w:spacing w:after="0" w:line="315" w:lineRule="exact"/>
        <w:rPr>
          <w:sz w:val="24"/>
          <w:szCs w:val="24"/>
          <w:color w:val="auto"/>
        </w:rPr>
      </w:pPr>
    </w:p>
    <w:p>
      <w:pPr>
        <w:jc w:val="center"/>
        <w:ind w:right="3819"/>
        <w:spacing w:after="0"/>
        <w:rPr>
          <w:sz w:val="20"/>
          <w:szCs w:val="20"/>
          <w:color w:val="auto"/>
        </w:rPr>
      </w:pPr>
      <w:r>
        <w:rPr>
          <w:rFonts w:ascii="Courier New" w:cs="Courier New" w:eastAsia="Courier New" w:hAnsi="Courier New"/>
          <w:sz w:val="13"/>
          <w:szCs w:val="13"/>
          <w:b w:val="1"/>
          <w:bCs w:val="1"/>
          <w:color w:val="auto"/>
        </w:rPr>
        <w:t>SECURITIES AND EXCHANGE COMMISSION</w:t>
      </w:r>
    </w:p>
    <w:p>
      <w:pPr>
        <w:spacing w:after="0" w:line="7" w:lineRule="exact"/>
        <w:rPr>
          <w:sz w:val="24"/>
          <w:szCs w:val="24"/>
          <w:color w:val="auto"/>
        </w:rPr>
      </w:pPr>
    </w:p>
    <w:p>
      <w:pPr>
        <w:jc w:val="center"/>
        <w:ind w:right="3819"/>
        <w:spacing w:after="0"/>
        <w:rPr>
          <w:sz w:val="20"/>
          <w:szCs w:val="20"/>
          <w:color w:val="auto"/>
        </w:rPr>
      </w:pPr>
      <w:r>
        <w:rPr>
          <w:rFonts w:ascii="Courier New" w:cs="Courier New" w:eastAsia="Courier New" w:hAnsi="Courier New"/>
          <w:sz w:val="13"/>
          <w:szCs w:val="13"/>
          <w:b w:val="1"/>
          <w:bCs w:val="1"/>
          <w:color w:val="auto"/>
        </w:rPr>
        <w:t>Washington, D.C. 20549</w:t>
      </w:r>
    </w:p>
    <w:p>
      <w:pPr>
        <w:spacing w:after="0" w:line="315" w:lineRule="exact"/>
        <w:rPr>
          <w:sz w:val="24"/>
          <w:szCs w:val="24"/>
          <w:color w:val="auto"/>
        </w:rPr>
      </w:pPr>
    </w:p>
    <w:p>
      <w:pPr>
        <w:ind w:left="2880"/>
        <w:spacing w:after="0"/>
        <w:rPr>
          <w:sz w:val="20"/>
          <w:szCs w:val="20"/>
          <w:color w:val="auto"/>
        </w:rPr>
      </w:pPr>
      <w:r>
        <w:rPr>
          <w:rFonts w:ascii="Courier New" w:cs="Courier New" w:eastAsia="Courier New" w:hAnsi="Courier New"/>
          <w:sz w:val="13"/>
          <w:szCs w:val="13"/>
          <w:b w:val="1"/>
          <w:bCs w:val="1"/>
          <w:color w:val="auto"/>
        </w:rPr>
        <w:t>FORM 10-K</w:t>
      </w:r>
    </w:p>
    <w:p>
      <w:pPr>
        <w:sectPr>
          <w:pgSz w:w="11900" w:h="16903" w:orient="portrait"/>
          <w:cols w:equalWidth="0" w:num="1">
            <w:col w:w="10239"/>
          </w:cols>
          <w:pgMar w:left="220" w:top="378" w:right="1440" w:bottom="0" w:gutter="0" w:footer="0" w:header="0"/>
        </w:sectPr>
      </w:pPr>
    </w:p>
    <w:p>
      <w:pPr>
        <w:spacing w:after="0" w:line="161" w:lineRule="exact"/>
        <w:rPr>
          <w:sz w:val="24"/>
          <w:szCs w:val="24"/>
          <w:color w:val="auto"/>
        </w:rPr>
      </w:pPr>
    </w:p>
    <w:p>
      <w:pPr>
        <w:spacing w:after="0"/>
        <w:rPr>
          <w:sz w:val="20"/>
          <w:szCs w:val="20"/>
          <w:color w:val="auto"/>
        </w:rPr>
      </w:pPr>
      <w:r>
        <w:rPr>
          <w:rFonts w:ascii="Courier New" w:cs="Courier New" w:eastAsia="Courier New" w:hAnsi="Courier New"/>
          <w:sz w:val="13"/>
          <w:szCs w:val="13"/>
          <w:b w:val="1"/>
          <w:bCs w:val="1"/>
          <w:color w:val="auto"/>
        </w:rPr>
        <w:t>|X|</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Courier New" w:cs="Courier New" w:eastAsia="Courier New" w:hAnsi="Courier New"/>
          <w:sz w:val="13"/>
          <w:szCs w:val="13"/>
          <w:b w:val="1"/>
          <w:bCs w:val="1"/>
          <w:color w:val="auto"/>
        </w:rPr>
        <w:t>ANNUAL REPORT PURSUANT TO SECTION 13 OR 15(d) OF THE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3"/>
          <w:szCs w:val="13"/>
          <w:b w:val="1"/>
          <w:bCs w:val="1"/>
          <w:color w:val="auto"/>
        </w:rPr>
        <w:t>SECURITIES EXCHANGE ACT OF 1934</w:t>
      </w:r>
    </w:p>
    <w:p>
      <w:pPr>
        <w:spacing w:after="0" w:line="161" w:lineRule="exact"/>
        <w:rPr>
          <w:sz w:val="24"/>
          <w:szCs w:val="24"/>
          <w:color w:val="auto"/>
        </w:rPr>
      </w:pPr>
    </w:p>
    <w:p>
      <w:pPr>
        <w:sectPr>
          <w:pgSz w:w="11900" w:h="16903" w:orient="portrait"/>
          <w:cols w:equalWidth="0" w:num="2">
            <w:col w:w="240" w:space="480"/>
            <w:col w:w="9519"/>
          </w:cols>
          <w:pgMar w:left="220" w:top="378" w:right="1440" w:bottom="0" w:gutter="0" w:footer="0" w:header="0"/>
          <w:type w:val="continuous"/>
        </w:sectPr>
      </w:pPr>
    </w:p>
    <w:p>
      <w:pPr>
        <w:spacing w:after="0" w:line="309" w:lineRule="exact"/>
        <w:rPr>
          <w:sz w:val="24"/>
          <w:szCs w:val="24"/>
          <w:color w:val="auto"/>
        </w:rPr>
      </w:pPr>
    </w:p>
    <w:p>
      <w:pPr>
        <w:spacing w:after="0"/>
        <w:rPr>
          <w:sz w:val="20"/>
          <w:szCs w:val="20"/>
          <w:color w:val="auto"/>
        </w:rPr>
      </w:pPr>
      <w:r>
        <w:rPr>
          <w:rFonts w:ascii="Courier New" w:cs="Courier New" w:eastAsia="Courier New" w:hAnsi="Courier New"/>
          <w:sz w:val="13"/>
          <w:szCs w:val="13"/>
          <w:b w:val="1"/>
          <w:bCs w:val="1"/>
          <w:color w:val="auto"/>
        </w:rPr>
        <w:t>|_|</w:t>
      </w:r>
    </w:p>
    <w:p>
      <w:pPr>
        <w:spacing w:after="0" w:line="20" w:lineRule="exact"/>
        <w:rPr>
          <w:sz w:val="24"/>
          <w:szCs w:val="24"/>
          <w:color w:val="auto"/>
        </w:rPr>
      </w:pPr>
      <w:r>
        <w:rPr>
          <w:sz w:val="24"/>
          <w:szCs w:val="24"/>
          <w:color w:val="auto"/>
        </w:rPr>
        <w:br w:type="column"/>
      </w:r>
    </w:p>
    <w:p>
      <w:pPr>
        <w:ind w:left="800"/>
        <w:spacing w:after="0"/>
        <w:rPr>
          <w:sz w:val="20"/>
          <w:szCs w:val="20"/>
          <w:color w:val="auto"/>
        </w:rPr>
      </w:pPr>
      <w:r>
        <w:rPr>
          <w:rFonts w:ascii="Courier New" w:cs="Courier New" w:eastAsia="Courier New" w:hAnsi="Courier New"/>
          <w:sz w:val="13"/>
          <w:szCs w:val="13"/>
          <w:b w:val="1"/>
          <w:bCs w:val="1"/>
          <w:color w:val="auto"/>
        </w:rPr>
        <w:t>For the fiscal year ended December 31, 2002</w:t>
      </w:r>
    </w:p>
    <w:p>
      <w:pPr>
        <w:spacing w:after="0" w:line="7" w:lineRule="exact"/>
        <w:rPr>
          <w:sz w:val="24"/>
          <w:szCs w:val="24"/>
          <w:color w:val="auto"/>
        </w:rPr>
      </w:pPr>
    </w:p>
    <w:p>
      <w:pPr>
        <w:ind w:left="2400"/>
        <w:spacing w:after="0"/>
        <w:rPr>
          <w:sz w:val="20"/>
          <w:szCs w:val="20"/>
          <w:color w:val="auto"/>
        </w:rPr>
      </w:pPr>
      <w:r>
        <w:rPr>
          <w:rFonts w:ascii="Courier New" w:cs="Courier New" w:eastAsia="Courier New" w:hAnsi="Courier New"/>
          <w:sz w:val="13"/>
          <w:szCs w:val="13"/>
          <w:b w:val="1"/>
          <w:bCs w:val="1"/>
          <w:color w:val="auto"/>
        </w:rPr>
        <w:t>OR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3"/>
          <w:szCs w:val="13"/>
          <w:b w:val="1"/>
          <w:bCs w:val="1"/>
          <w:color w:val="auto"/>
        </w:rPr>
        <w:t>TRANSITION REPORT PURSUANT TO SECTION 13 OR 15(d) OF THE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3"/>
          <w:szCs w:val="13"/>
          <w:b w:val="1"/>
          <w:bCs w:val="1"/>
          <w:color w:val="auto"/>
        </w:rPr>
        <w:t>SECURITIES EXCHANGE ACT OF 1934</w:t>
      </w:r>
    </w:p>
    <w:p>
      <w:pPr>
        <w:spacing w:after="0" w:line="7" w:lineRule="exact"/>
        <w:rPr>
          <w:sz w:val="24"/>
          <w:szCs w:val="24"/>
          <w:color w:val="auto"/>
        </w:rPr>
      </w:pPr>
    </w:p>
    <w:p>
      <w:pPr>
        <w:ind w:left="1200"/>
        <w:spacing w:after="0"/>
        <w:rPr>
          <w:sz w:val="20"/>
          <w:szCs w:val="20"/>
          <w:color w:val="auto"/>
        </w:rPr>
      </w:pPr>
      <w:r>
        <w:rPr>
          <w:rFonts w:ascii="Courier New" w:cs="Courier New" w:eastAsia="Courier New" w:hAnsi="Courier New"/>
          <w:sz w:val="13"/>
          <w:szCs w:val="13"/>
          <w:b w:val="1"/>
          <w:bCs w:val="1"/>
          <w:color w:val="auto"/>
        </w:rPr>
        <w:t>For the transition period from to</w:t>
      </w:r>
    </w:p>
    <w:p>
      <w:pPr>
        <w:spacing w:after="0" w:line="161" w:lineRule="exact"/>
        <w:rPr>
          <w:sz w:val="24"/>
          <w:szCs w:val="24"/>
          <w:color w:val="auto"/>
        </w:rPr>
      </w:pPr>
    </w:p>
    <w:p>
      <w:pPr>
        <w:sectPr>
          <w:pgSz w:w="11900" w:h="16903" w:orient="portrait"/>
          <w:cols w:equalWidth="0" w:num="2">
            <w:col w:w="240" w:space="480"/>
            <w:col w:w="9519"/>
          </w:cols>
          <w:pgMar w:left="220" w:top="378" w:right="1440" w:bottom="0" w:gutter="0" w:footer="0" w:header="0"/>
          <w:type w:val="continuous"/>
        </w:sectPr>
      </w:pPr>
    </w:p>
    <w:p>
      <w:pPr>
        <w:ind w:left="2000"/>
        <w:spacing w:after="0"/>
        <w:rPr>
          <w:sz w:val="20"/>
          <w:szCs w:val="20"/>
          <w:color w:val="auto"/>
        </w:rPr>
      </w:pPr>
      <w:r>
        <w:rPr>
          <w:rFonts w:ascii="Courier New" w:cs="Courier New" w:eastAsia="Courier New" w:hAnsi="Courier New"/>
          <w:sz w:val="13"/>
          <w:szCs w:val="13"/>
          <w:b w:val="1"/>
          <w:bCs w:val="1"/>
          <w:color w:val="auto"/>
        </w:rPr>
        <w:t>Commission file number 0-23486</w:t>
      </w:r>
    </w:p>
    <w:p>
      <w:pPr>
        <w:spacing w:after="0" w:line="200" w:lineRule="exact"/>
        <w:rPr>
          <w:sz w:val="24"/>
          <w:szCs w:val="24"/>
          <w:color w:val="auto"/>
        </w:rPr>
      </w:pPr>
    </w:p>
    <w:p>
      <w:pPr>
        <w:spacing w:after="0" w:line="270" w:lineRule="exact"/>
        <w:rPr>
          <w:sz w:val="24"/>
          <w:szCs w:val="24"/>
          <w:color w:val="auto"/>
        </w:rPr>
      </w:pPr>
    </w:p>
    <w:p>
      <w:pPr>
        <w:jc w:val="center"/>
        <w:ind w:right="3819"/>
        <w:spacing w:after="0"/>
        <w:rPr>
          <w:sz w:val="20"/>
          <w:szCs w:val="20"/>
          <w:color w:val="auto"/>
        </w:rPr>
      </w:pPr>
      <w:r>
        <w:rPr>
          <w:rFonts w:ascii="Courier New" w:cs="Courier New" w:eastAsia="Courier New" w:hAnsi="Courier New"/>
          <w:sz w:val="13"/>
          <w:szCs w:val="13"/>
          <w:b w:val="1"/>
          <w:bCs w:val="1"/>
          <w:color w:val="auto"/>
        </w:rPr>
        <w:t>NN, INC.</w:t>
      </w:r>
    </w:p>
    <w:p>
      <w:pPr>
        <w:spacing w:after="0" w:line="7" w:lineRule="exact"/>
        <w:rPr>
          <w:sz w:val="24"/>
          <w:szCs w:val="24"/>
          <w:color w:val="auto"/>
        </w:rPr>
      </w:pPr>
    </w:p>
    <w:p>
      <w:pPr>
        <w:jc w:val="center"/>
        <w:ind w:right="3819"/>
        <w:spacing w:after="0"/>
        <w:rPr>
          <w:sz w:val="20"/>
          <w:szCs w:val="20"/>
          <w:color w:val="auto"/>
        </w:rPr>
      </w:pPr>
      <w:r>
        <w:rPr>
          <w:rFonts w:ascii="Courier New" w:cs="Courier New" w:eastAsia="Courier New" w:hAnsi="Courier New"/>
          <w:sz w:val="13"/>
          <w:szCs w:val="13"/>
          <w:b w:val="1"/>
          <w:bCs w:val="1"/>
          <w:color w:val="auto"/>
        </w:rPr>
        <w:t>(Exact name of registrant as specified in its charter)</w:t>
      </w:r>
    </w:p>
    <w:p>
      <w:pPr>
        <w:sectPr>
          <w:pgSz w:w="11900" w:h="16903" w:orient="portrait"/>
          <w:cols w:equalWidth="0" w:num="1">
            <w:col w:w="10239"/>
          </w:cols>
          <w:pgMar w:left="220" w:top="378" w:right="1440" w:bottom="0" w:gutter="0" w:footer="0" w:header="0"/>
          <w:type w:val="continuous"/>
        </w:sectPr>
      </w:pPr>
    </w:p>
    <w:p>
      <w:pPr>
        <w:spacing w:after="0" w:line="161" w:lineRule="exact"/>
        <w:rPr>
          <w:sz w:val="24"/>
          <w:szCs w:val="24"/>
          <w:color w:val="auto"/>
        </w:rPr>
      </w:pPr>
    </w:p>
    <w:p>
      <w:pPr>
        <w:ind w:left="560"/>
        <w:spacing w:after="0"/>
        <w:rPr>
          <w:sz w:val="20"/>
          <w:szCs w:val="20"/>
          <w:color w:val="auto"/>
        </w:rPr>
      </w:pPr>
      <w:r>
        <w:rPr>
          <w:rFonts w:ascii="Courier New" w:cs="Courier New" w:eastAsia="Courier New" w:hAnsi="Courier New"/>
          <w:sz w:val="13"/>
          <w:szCs w:val="13"/>
          <w:b w:val="1"/>
          <w:bCs w:val="1"/>
          <w:color w:val="auto"/>
        </w:rPr>
        <w:t>Delaware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(State or other jurisdiction of</w:t>
      </w:r>
    </w:p>
    <w:p>
      <w:pPr>
        <w:spacing w:after="0" w:line="7" w:lineRule="exact"/>
        <w:rPr>
          <w:sz w:val="24"/>
          <w:szCs w:val="24"/>
          <w:color w:val="auto"/>
        </w:rPr>
      </w:pPr>
    </w:p>
    <w:p>
      <w:pPr>
        <w:ind w:left="80"/>
        <w:spacing w:after="0"/>
        <w:rPr>
          <w:sz w:val="20"/>
          <w:szCs w:val="20"/>
          <w:color w:val="auto"/>
        </w:rPr>
      </w:pPr>
      <w:r>
        <w:rPr>
          <w:rFonts w:ascii="Courier New" w:cs="Courier New" w:eastAsia="Courier New" w:hAnsi="Courier New"/>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ind w:left="320"/>
        <w:spacing w:after="0"/>
        <w:rPr>
          <w:sz w:val="20"/>
          <w:szCs w:val="20"/>
          <w:color w:val="auto"/>
        </w:rPr>
      </w:pPr>
      <w:r>
        <w:rPr>
          <w:rFonts w:ascii="Courier New" w:cs="Courier New" w:eastAsia="Courier New" w:hAnsi="Courier New"/>
          <w:sz w:val="13"/>
          <w:szCs w:val="13"/>
          <w:b w:val="1"/>
          <w:bCs w:val="1"/>
          <w:color w:val="auto"/>
        </w:rPr>
        <w:t>62-1096725</w:t>
      </w:r>
    </w:p>
    <w:p>
      <w:pPr>
        <w:spacing w:after="0" w:line="7" w:lineRule="exact"/>
        <w:rPr>
          <w:sz w:val="24"/>
          <w:szCs w:val="24"/>
          <w:color w:val="auto"/>
        </w:rPr>
      </w:pPr>
    </w:p>
    <w:p>
      <w:pPr>
        <w:ind w:left="80"/>
        <w:spacing w:after="0"/>
        <w:rPr>
          <w:sz w:val="20"/>
          <w:szCs w:val="20"/>
          <w:color w:val="auto"/>
        </w:rPr>
      </w:pPr>
      <w:r>
        <w:rPr>
          <w:rFonts w:ascii="Courier New" w:cs="Courier New" w:eastAsia="Courier New" w:hAnsi="Courier New"/>
          <w:sz w:val="13"/>
          <w:szCs w:val="13"/>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Identification No.)</w:t>
      </w:r>
    </w:p>
    <w:p>
      <w:pPr>
        <w:spacing w:after="0" w:line="161" w:lineRule="exact"/>
        <w:rPr>
          <w:sz w:val="24"/>
          <w:szCs w:val="24"/>
          <w:color w:val="auto"/>
        </w:rPr>
      </w:pPr>
    </w:p>
    <w:p>
      <w:pPr>
        <w:sectPr>
          <w:pgSz w:w="11900" w:h="16903" w:orient="portrait"/>
          <w:cols w:equalWidth="0" w:num="2">
            <w:col w:w="3540" w:space="720"/>
            <w:col w:w="5979"/>
          </w:cols>
          <w:pgMar w:left="220" w:top="378" w:right="1440" w:bottom="0" w:gutter="0" w:footer="0" w:header="0"/>
          <w:type w:val="continuous"/>
        </w:sectPr>
      </w:pPr>
    </w:p>
    <w:p>
      <w:pPr>
        <w:ind w:left="160"/>
        <w:spacing w:after="0"/>
        <w:rPr>
          <w:sz w:val="20"/>
          <w:szCs w:val="20"/>
          <w:color w:val="auto"/>
        </w:rPr>
      </w:pPr>
      <w:r>
        <w:rPr>
          <w:rFonts w:ascii="Courier New" w:cs="Courier New" w:eastAsia="Courier New" w:hAnsi="Courier New"/>
          <w:sz w:val="13"/>
          <w:szCs w:val="13"/>
          <w:b w:val="1"/>
          <w:bCs w:val="1"/>
          <w:color w:val="auto"/>
        </w:rPr>
        <w:t>2000 Waters Edge Drive</w:t>
      </w:r>
    </w:p>
    <w:p>
      <w:pPr>
        <w:spacing w:after="0" w:line="7" w:lineRule="exact"/>
        <w:rPr>
          <w:sz w:val="24"/>
          <w:szCs w:val="24"/>
          <w:color w:val="auto"/>
        </w:rPr>
      </w:pPr>
    </w:p>
    <w:p>
      <w:pPr>
        <w:ind w:left="160"/>
        <w:spacing w:after="0"/>
        <w:rPr>
          <w:sz w:val="20"/>
          <w:szCs w:val="20"/>
          <w:color w:val="auto"/>
        </w:rPr>
      </w:pPr>
      <w:r>
        <w:rPr>
          <w:rFonts w:ascii="Courier New" w:cs="Courier New" w:eastAsia="Courier New" w:hAnsi="Courier New"/>
          <w:sz w:val="13"/>
          <w:szCs w:val="13"/>
          <w:b w:val="1"/>
          <w:bCs w:val="1"/>
          <w:color w:val="auto"/>
        </w:rPr>
        <w:t>Johnson City, Tennessee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ind w:left="240"/>
        <w:spacing w:after="0"/>
        <w:rPr>
          <w:sz w:val="20"/>
          <w:szCs w:val="20"/>
          <w:color w:val="auto"/>
        </w:rPr>
      </w:pPr>
      <w:r>
        <w:rPr>
          <w:rFonts w:ascii="Courier New" w:cs="Courier New" w:eastAsia="Courier New" w:hAnsi="Courier New"/>
          <w:sz w:val="13"/>
          <w:szCs w:val="13"/>
          <w:b w:val="1"/>
          <w:bCs w:val="1"/>
          <w:color w:val="auto"/>
        </w:rPr>
        <w:t>37604</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(Zip Code)</w:t>
      </w:r>
    </w:p>
    <w:p>
      <w:pPr>
        <w:spacing w:after="0" w:line="161" w:lineRule="exact"/>
        <w:rPr>
          <w:sz w:val="24"/>
          <w:szCs w:val="24"/>
          <w:color w:val="auto"/>
        </w:rPr>
      </w:pPr>
    </w:p>
    <w:p>
      <w:pPr>
        <w:sectPr>
          <w:pgSz w:w="11900" w:h="16903" w:orient="portrait"/>
          <w:cols w:equalWidth="0" w:num="2">
            <w:col w:w="3780" w:space="720"/>
            <w:col w:w="5739"/>
          </w:cols>
          <w:pgMar w:left="220" w:top="378" w:right="1440" w:bottom="0" w:gutter="0" w:footer="0" w:header="0"/>
          <w:type w:val="continuous"/>
        </w:sectPr>
      </w:pPr>
    </w:p>
    <w:p>
      <w:pPr>
        <w:jc w:val="center"/>
        <w:ind w:right="3819"/>
        <w:spacing w:after="0"/>
        <w:rPr>
          <w:sz w:val="20"/>
          <w:szCs w:val="20"/>
          <w:color w:val="auto"/>
        </w:rPr>
      </w:pPr>
      <w:r>
        <w:rPr>
          <w:rFonts w:ascii="Courier New" w:cs="Courier New" w:eastAsia="Courier New" w:hAnsi="Courier New"/>
          <w:sz w:val="13"/>
          <w:szCs w:val="13"/>
          <w:color w:val="auto"/>
        </w:rPr>
        <w:t>Registrant's telephone number, including area code: (423) 743-9151</w:t>
      </w:r>
    </w:p>
    <w:p>
      <w:pPr>
        <w:spacing w:after="0" w:line="161" w:lineRule="exact"/>
        <w:rPr>
          <w:sz w:val="24"/>
          <w:szCs w:val="24"/>
          <w:color w:val="auto"/>
        </w:rPr>
      </w:pPr>
    </w:p>
    <w:p>
      <w:pPr>
        <w:ind w:left="2160"/>
        <w:spacing w:after="0"/>
        <w:rPr>
          <w:sz w:val="20"/>
          <w:szCs w:val="20"/>
          <w:color w:val="auto"/>
        </w:rPr>
      </w:pPr>
      <w:r>
        <w:rPr>
          <w:rFonts w:ascii="Courier New" w:cs="Courier New" w:eastAsia="Courier New" w:hAnsi="Courier New"/>
          <w:sz w:val="13"/>
          <w:szCs w:val="13"/>
          <w:color w:val="auto"/>
        </w:rPr>
        <w:t>-------------------------</w:t>
      </w:r>
    </w:p>
    <w:p>
      <w:pPr>
        <w:spacing w:after="0" w:line="161" w:lineRule="exact"/>
        <w:rPr>
          <w:sz w:val="24"/>
          <w:szCs w:val="24"/>
          <w:color w:val="auto"/>
        </w:rPr>
      </w:pPr>
    </w:p>
    <w:p>
      <w:pPr>
        <w:ind w:left="800"/>
        <w:spacing w:after="0"/>
        <w:rPr>
          <w:sz w:val="20"/>
          <w:szCs w:val="20"/>
          <w:color w:val="auto"/>
        </w:rPr>
      </w:pPr>
      <w:r>
        <w:rPr>
          <w:rFonts w:ascii="Courier New" w:cs="Courier New" w:eastAsia="Courier New" w:hAnsi="Courier New"/>
          <w:sz w:val="13"/>
          <w:szCs w:val="13"/>
          <w:color w:val="auto"/>
        </w:rPr>
        <w:t>Securities registered pursuant to Section 12(b) of the Act:</w:t>
      </w:r>
    </w:p>
    <w:p>
      <w:pPr>
        <w:spacing w:after="0" w:line="161" w:lineRule="exact"/>
        <w:rPr>
          <w:sz w:val="24"/>
          <w:szCs w:val="24"/>
          <w:color w:val="auto"/>
        </w:rPr>
      </w:pPr>
    </w:p>
    <w:tbl>
      <w:tblPr>
        <w:tblLayout w:type="fixed"/>
        <w:tblInd w:w="800" w:type="dxa"/>
        <w:tblCellMar>
          <w:top w:w="0" w:type="dxa"/>
          <w:left w:w="0" w:type="dxa"/>
          <w:bottom w:w="0" w:type="dxa"/>
          <w:right w:w="0" w:type="dxa"/>
        </w:tblCellMar>
      </w:tblPr>
      <w:tr>
        <w:trPr>
          <w:trHeight w:val="149"/>
        </w:trPr>
        <w:tc>
          <w:tcPr>
            <w:tcW w:w="1840" w:type="dxa"/>
            <w:vAlign w:val="bottom"/>
          </w:tcPr>
          <w:p>
            <w:pPr>
              <w:jc w:val="center"/>
              <w:ind w:right="973"/>
              <w:spacing w:after="0"/>
              <w:rPr>
                <w:sz w:val="20"/>
                <w:szCs w:val="20"/>
                <w:color w:val="auto"/>
              </w:rPr>
            </w:pPr>
            <w:r>
              <w:rPr>
                <w:rFonts w:ascii="Courier New" w:cs="Courier New" w:eastAsia="Courier New" w:hAnsi="Courier New"/>
                <w:sz w:val="13"/>
                <w:szCs w:val="13"/>
                <w:color w:val="auto"/>
              </w:rPr>
              <w:t>Title of</w:t>
            </w:r>
          </w:p>
        </w:tc>
        <w:tc>
          <w:tcPr>
            <w:tcW w:w="2740" w:type="dxa"/>
            <w:vAlign w:val="bottom"/>
          </w:tcPr>
          <w:p>
            <w:pPr>
              <w:jc w:val="center"/>
              <w:ind w:left="993"/>
              <w:spacing w:after="0"/>
              <w:rPr>
                <w:sz w:val="20"/>
                <w:szCs w:val="20"/>
                <w:color w:val="auto"/>
              </w:rPr>
            </w:pPr>
            <w:r>
              <w:rPr>
                <w:rFonts w:ascii="Courier New" w:cs="Courier New" w:eastAsia="Courier New" w:hAnsi="Courier New"/>
                <w:sz w:val="13"/>
                <w:szCs w:val="13"/>
                <w:color w:val="auto"/>
              </w:rPr>
              <w:t>Name of each exchange</w:t>
            </w:r>
          </w:p>
        </w:tc>
      </w:tr>
      <w:tr>
        <w:trPr>
          <w:trHeight w:val="154"/>
        </w:trPr>
        <w:tc>
          <w:tcPr>
            <w:tcW w:w="1840" w:type="dxa"/>
            <w:vAlign w:val="bottom"/>
          </w:tcPr>
          <w:p>
            <w:pPr>
              <w:jc w:val="center"/>
              <w:ind w:right="973"/>
              <w:spacing w:after="0"/>
              <w:rPr>
                <w:sz w:val="20"/>
                <w:szCs w:val="20"/>
                <w:color w:val="auto"/>
              </w:rPr>
            </w:pPr>
            <w:r>
              <w:rPr>
                <w:rFonts w:ascii="Courier New" w:cs="Courier New" w:eastAsia="Courier New" w:hAnsi="Courier New"/>
                <w:sz w:val="13"/>
                <w:szCs w:val="13"/>
                <w:color w:val="auto"/>
              </w:rPr>
              <w:t>each class</w:t>
            </w:r>
          </w:p>
        </w:tc>
        <w:tc>
          <w:tcPr>
            <w:tcW w:w="2740" w:type="dxa"/>
            <w:vAlign w:val="bottom"/>
          </w:tcPr>
          <w:p>
            <w:pPr>
              <w:jc w:val="center"/>
              <w:ind w:left="993"/>
              <w:spacing w:after="0"/>
              <w:rPr>
                <w:sz w:val="20"/>
                <w:szCs w:val="20"/>
                <w:color w:val="auto"/>
              </w:rPr>
            </w:pPr>
            <w:r>
              <w:rPr>
                <w:rFonts w:ascii="Courier New" w:cs="Courier New" w:eastAsia="Courier New" w:hAnsi="Courier New"/>
                <w:sz w:val="13"/>
                <w:szCs w:val="13"/>
                <w:color w:val="auto"/>
              </w:rPr>
              <w:t>on which registered</w:t>
            </w:r>
          </w:p>
        </w:tc>
      </w:tr>
      <w:tr>
        <w:trPr>
          <w:trHeight w:val="154"/>
        </w:trPr>
        <w:tc>
          <w:tcPr>
            <w:tcW w:w="1840" w:type="dxa"/>
            <w:vAlign w:val="bottom"/>
          </w:tcPr>
          <w:p>
            <w:pPr>
              <w:jc w:val="center"/>
              <w:ind w:right="973"/>
              <w:spacing w:after="0"/>
              <w:rPr>
                <w:sz w:val="20"/>
                <w:szCs w:val="20"/>
                <w:color w:val="auto"/>
              </w:rPr>
            </w:pPr>
            <w:r>
              <w:rPr>
                <w:rFonts w:ascii="Courier New" w:cs="Courier New" w:eastAsia="Courier New" w:hAnsi="Courier New"/>
                <w:sz w:val="13"/>
                <w:szCs w:val="13"/>
                <w:color w:val="auto"/>
              </w:rPr>
              <w:t>----------</w:t>
            </w:r>
          </w:p>
        </w:tc>
        <w:tc>
          <w:tcPr>
            <w:tcW w:w="2740" w:type="dxa"/>
            <w:vAlign w:val="bottom"/>
          </w:tcPr>
          <w:p>
            <w:pPr>
              <w:jc w:val="center"/>
              <w:ind w:left="993"/>
              <w:spacing w:after="0"/>
              <w:rPr>
                <w:sz w:val="20"/>
                <w:szCs w:val="20"/>
                <w:color w:val="auto"/>
              </w:rPr>
            </w:pPr>
            <w:r>
              <w:rPr>
                <w:rFonts w:ascii="Courier New" w:cs="Courier New" w:eastAsia="Courier New" w:hAnsi="Courier New"/>
                <w:sz w:val="13"/>
                <w:szCs w:val="13"/>
                <w:color w:val="auto"/>
              </w:rPr>
              <w:t>---------------------</w:t>
            </w:r>
          </w:p>
        </w:tc>
      </w:tr>
      <w:tr>
        <w:trPr>
          <w:trHeight w:val="308"/>
        </w:trPr>
        <w:tc>
          <w:tcPr>
            <w:tcW w:w="1840" w:type="dxa"/>
            <w:vAlign w:val="bottom"/>
          </w:tcPr>
          <w:p>
            <w:pPr>
              <w:jc w:val="center"/>
              <w:ind w:right="973"/>
              <w:spacing w:after="0"/>
              <w:rPr>
                <w:sz w:val="20"/>
                <w:szCs w:val="20"/>
                <w:color w:val="auto"/>
              </w:rPr>
            </w:pPr>
            <w:r>
              <w:rPr>
                <w:rFonts w:ascii="Courier New" w:cs="Courier New" w:eastAsia="Courier New" w:hAnsi="Courier New"/>
                <w:sz w:val="13"/>
                <w:szCs w:val="13"/>
                <w:color w:val="auto"/>
              </w:rPr>
              <w:t>None</w:t>
            </w:r>
          </w:p>
        </w:tc>
        <w:tc>
          <w:tcPr>
            <w:tcW w:w="2740" w:type="dxa"/>
            <w:vAlign w:val="bottom"/>
          </w:tcPr>
          <w:p>
            <w:pPr>
              <w:ind w:left="1700"/>
              <w:spacing w:after="0"/>
              <w:rPr>
                <w:sz w:val="20"/>
                <w:szCs w:val="20"/>
                <w:color w:val="auto"/>
              </w:rPr>
            </w:pPr>
            <w:r>
              <w:rPr>
                <w:rFonts w:ascii="Courier New" w:cs="Courier New" w:eastAsia="Courier New" w:hAnsi="Courier New"/>
                <w:sz w:val="13"/>
                <w:szCs w:val="13"/>
                <w:color w:val="auto"/>
              </w:rPr>
              <w:t>None</w:t>
            </w:r>
          </w:p>
        </w:tc>
      </w:tr>
    </w:tbl>
    <w:p>
      <w:pPr>
        <w:spacing w:after="0" w:line="159" w:lineRule="exact"/>
        <w:rPr>
          <w:sz w:val="24"/>
          <w:szCs w:val="24"/>
          <w:color w:val="auto"/>
        </w:rPr>
      </w:pPr>
    </w:p>
    <w:p>
      <w:pPr>
        <w:jc w:val="center"/>
        <w:ind w:right="3739"/>
        <w:spacing w:after="0"/>
        <w:rPr>
          <w:sz w:val="20"/>
          <w:szCs w:val="20"/>
          <w:color w:val="auto"/>
        </w:rPr>
      </w:pPr>
      <w:r>
        <w:rPr>
          <w:rFonts w:ascii="Courier New" w:cs="Courier New" w:eastAsia="Courier New" w:hAnsi="Courier New"/>
          <w:sz w:val="13"/>
          <w:szCs w:val="13"/>
          <w:color w:val="auto"/>
        </w:rPr>
        <w:t>Securities registered pursuant to Section 12(g) of the Act:</w:t>
      </w:r>
    </w:p>
    <w:p>
      <w:pPr>
        <w:spacing w:after="0" w:line="161" w:lineRule="exact"/>
        <w:rPr>
          <w:sz w:val="24"/>
          <w:szCs w:val="24"/>
          <w:color w:val="auto"/>
        </w:rPr>
      </w:pPr>
    </w:p>
    <w:p>
      <w:pPr>
        <w:jc w:val="center"/>
        <w:ind w:right="3819"/>
        <w:spacing w:after="0"/>
        <w:rPr>
          <w:sz w:val="20"/>
          <w:szCs w:val="20"/>
          <w:color w:val="auto"/>
        </w:rPr>
      </w:pPr>
      <w:r>
        <w:rPr>
          <w:rFonts w:ascii="Courier New" w:cs="Courier New" w:eastAsia="Courier New" w:hAnsi="Courier New"/>
          <w:sz w:val="13"/>
          <w:szCs w:val="13"/>
          <w:b w:val="1"/>
          <w:bCs w:val="1"/>
          <w:color w:val="auto"/>
        </w:rPr>
        <w:t>Common Stock, par value $.01</w:t>
      </w:r>
    </w:p>
    <w:p>
      <w:pPr>
        <w:spacing w:after="0" w:line="7" w:lineRule="exact"/>
        <w:rPr>
          <w:sz w:val="24"/>
          <w:szCs w:val="24"/>
          <w:color w:val="auto"/>
        </w:rPr>
      </w:pPr>
    </w:p>
    <w:p>
      <w:pPr>
        <w:jc w:val="center"/>
        <w:ind w:right="3819"/>
        <w:spacing w:after="0"/>
        <w:rPr>
          <w:sz w:val="20"/>
          <w:szCs w:val="20"/>
          <w:color w:val="auto"/>
        </w:rPr>
      </w:pPr>
      <w:r>
        <w:rPr>
          <w:rFonts w:ascii="Courier New" w:cs="Courier New" w:eastAsia="Courier New" w:hAnsi="Courier New"/>
          <w:sz w:val="13"/>
          <w:szCs w:val="13"/>
          <w:color w:val="auto"/>
        </w:rPr>
        <w:t>(Title of class)</w:t>
      </w:r>
    </w:p>
    <w:p>
      <w:pPr>
        <w:spacing w:after="0" w:line="161" w:lineRule="exact"/>
        <w:rPr>
          <w:sz w:val="24"/>
          <w:szCs w:val="24"/>
          <w:color w:val="auto"/>
        </w:rPr>
      </w:pPr>
    </w:p>
    <w:p>
      <w:pPr>
        <w:ind w:right="3819" w:firstLine="722"/>
        <w:spacing w:after="0" w:line="252" w:lineRule="auto"/>
        <w:rPr>
          <w:sz w:val="20"/>
          <w:szCs w:val="20"/>
          <w:color w:val="auto"/>
        </w:rPr>
      </w:pPr>
      <w:r>
        <w:rPr>
          <w:rFonts w:ascii="Courier New" w:cs="Courier New" w:eastAsia="Courier New" w:hAnsi="Courier New"/>
          <w:sz w:val="13"/>
          <w:szCs w:val="13"/>
          <w:color w:val="auto"/>
        </w:rPr>
        <w:t>Indicate by check mark whether the registrant (1) has filed all reports required to be filed by Section 13 or 15(d) of the Securities and Exchange Act of 1934 during the preceding 12 months (or for such shorter period that the registrant was required to file such reports), and (2) has been subject to such filing requirements for the past 90 days.</w:t>
      </w:r>
    </w:p>
    <w:p>
      <w:pPr>
        <w:spacing w:after="0" w:line="152" w:lineRule="exact"/>
        <w:rPr>
          <w:sz w:val="24"/>
          <w:szCs w:val="24"/>
          <w:color w:val="auto"/>
        </w:rPr>
      </w:pPr>
    </w:p>
    <w:p>
      <w:pPr>
        <w:spacing w:after="0"/>
        <w:tabs>
          <w:tab w:leader="none" w:pos="540" w:val="left"/>
          <w:tab w:leader="none" w:pos="1340" w:val="left"/>
          <w:tab w:leader="none" w:pos="1820" w:val="left"/>
        </w:tabs>
        <w:rPr>
          <w:sz w:val="20"/>
          <w:szCs w:val="20"/>
          <w:color w:val="auto"/>
        </w:rPr>
      </w:pPr>
      <w:r>
        <w:rPr>
          <w:rFonts w:ascii="Courier New" w:cs="Courier New" w:eastAsia="Courier New" w:hAnsi="Courier New"/>
          <w:sz w:val="13"/>
          <w:szCs w:val="13"/>
          <w:color w:val="auto"/>
        </w:rPr>
        <w:t>Yes</w:t>
      </w:r>
      <w:r>
        <w:rPr>
          <w:sz w:val="20"/>
          <w:szCs w:val="20"/>
          <w:color w:val="auto"/>
        </w:rPr>
        <w:tab/>
      </w:r>
      <w:r>
        <w:rPr>
          <w:rFonts w:ascii="Courier New" w:cs="Courier New" w:eastAsia="Courier New" w:hAnsi="Courier New"/>
          <w:sz w:val="13"/>
          <w:szCs w:val="13"/>
          <w:color w:val="auto"/>
        </w:rPr>
        <w:t>|X|</w:t>
      </w:r>
      <w:r>
        <w:rPr>
          <w:sz w:val="20"/>
          <w:szCs w:val="20"/>
          <w:color w:val="auto"/>
        </w:rPr>
        <w:tab/>
      </w:r>
      <w:r>
        <w:rPr>
          <w:rFonts w:ascii="Courier New" w:cs="Courier New" w:eastAsia="Courier New" w:hAnsi="Courier New"/>
          <w:sz w:val="13"/>
          <w:szCs w:val="13"/>
          <w:color w:val="auto"/>
        </w:rPr>
        <w:t>No</w:t>
      </w:r>
      <w:r>
        <w:rPr>
          <w:sz w:val="20"/>
          <w:szCs w:val="20"/>
          <w:color w:val="auto"/>
        </w:rPr>
        <w:tab/>
      </w:r>
      <w:r>
        <w:rPr>
          <w:rFonts w:ascii="Courier New" w:cs="Courier New" w:eastAsia="Courier New" w:hAnsi="Courier New"/>
          <w:sz w:val="13"/>
          <w:szCs w:val="13"/>
          <w:color w:val="auto"/>
        </w:rPr>
        <w:t>|_|</w:t>
      </w:r>
    </w:p>
    <w:p>
      <w:pPr>
        <w:spacing w:after="0" w:line="315" w:lineRule="exact"/>
        <w:rPr>
          <w:sz w:val="24"/>
          <w:szCs w:val="24"/>
          <w:color w:val="auto"/>
        </w:rPr>
      </w:pPr>
    </w:p>
    <w:p>
      <w:pPr>
        <w:ind w:right="3979" w:firstLine="722"/>
        <w:spacing w:after="0" w:line="252" w:lineRule="auto"/>
        <w:rPr>
          <w:sz w:val="20"/>
          <w:szCs w:val="20"/>
          <w:color w:val="auto"/>
        </w:rPr>
      </w:pPr>
      <w:r>
        <w:rPr>
          <w:rFonts w:ascii="Courier New" w:cs="Courier New" w:eastAsia="Courier New" w:hAnsi="Courier New"/>
          <w:sz w:val="13"/>
          <w:szCs w:val="13"/>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52" w:lineRule="exact"/>
        <w:rPr>
          <w:sz w:val="24"/>
          <w:szCs w:val="24"/>
          <w:color w:val="auto"/>
        </w:rPr>
      </w:pPr>
    </w:p>
    <w:p>
      <w:pPr>
        <w:ind w:left="720"/>
        <w:spacing w:after="0"/>
        <w:rPr>
          <w:sz w:val="20"/>
          <w:szCs w:val="20"/>
          <w:color w:val="auto"/>
        </w:rPr>
      </w:pPr>
      <w:r>
        <w:rPr>
          <w:rFonts w:ascii="Courier New" w:cs="Courier New" w:eastAsia="Courier New" w:hAnsi="Courier New"/>
          <w:sz w:val="13"/>
          <w:szCs w:val="13"/>
          <w:color w:val="auto"/>
        </w:rPr>
        <w:t>Indicate by check mark whether the registrant is an accelerated filer.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(as defined in Rule 12b-2 of the Exchange Act)</w:t>
      </w:r>
    </w:p>
    <w:p>
      <w:pPr>
        <w:spacing w:after="0" w:line="161" w:lineRule="exact"/>
        <w:rPr>
          <w:sz w:val="24"/>
          <w:szCs w:val="24"/>
          <w:color w:val="auto"/>
        </w:rPr>
      </w:pPr>
    </w:p>
    <w:p>
      <w:pPr>
        <w:spacing w:after="0"/>
        <w:tabs>
          <w:tab w:leader="none" w:pos="540" w:val="left"/>
          <w:tab w:leader="none" w:pos="1340" w:val="left"/>
          <w:tab w:leader="none" w:pos="1820" w:val="left"/>
        </w:tabs>
        <w:rPr>
          <w:sz w:val="20"/>
          <w:szCs w:val="20"/>
          <w:color w:val="auto"/>
        </w:rPr>
      </w:pPr>
      <w:r>
        <w:rPr>
          <w:rFonts w:ascii="Courier New" w:cs="Courier New" w:eastAsia="Courier New" w:hAnsi="Courier New"/>
          <w:sz w:val="13"/>
          <w:szCs w:val="13"/>
          <w:color w:val="auto"/>
        </w:rPr>
        <w:t>Yes</w:t>
      </w:r>
      <w:r>
        <w:rPr>
          <w:sz w:val="20"/>
          <w:szCs w:val="20"/>
          <w:color w:val="auto"/>
        </w:rPr>
        <w:tab/>
      </w:r>
      <w:r>
        <w:rPr>
          <w:rFonts w:ascii="Courier New" w:cs="Courier New" w:eastAsia="Courier New" w:hAnsi="Courier New"/>
          <w:sz w:val="13"/>
          <w:szCs w:val="13"/>
          <w:color w:val="auto"/>
        </w:rPr>
        <w:t>|X|</w:t>
      </w:r>
      <w:r>
        <w:rPr>
          <w:sz w:val="20"/>
          <w:szCs w:val="20"/>
          <w:color w:val="auto"/>
        </w:rPr>
        <w:tab/>
      </w:r>
      <w:r>
        <w:rPr>
          <w:rFonts w:ascii="Courier New" w:cs="Courier New" w:eastAsia="Courier New" w:hAnsi="Courier New"/>
          <w:sz w:val="13"/>
          <w:szCs w:val="13"/>
          <w:color w:val="auto"/>
        </w:rPr>
        <w:t>No</w:t>
      </w:r>
      <w:r>
        <w:rPr>
          <w:sz w:val="20"/>
          <w:szCs w:val="20"/>
          <w:color w:val="auto"/>
        </w:rPr>
        <w:tab/>
      </w:r>
      <w:r>
        <w:rPr>
          <w:rFonts w:ascii="Courier New" w:cs="Courier New" w:eastAsia="Courier New" w:hAnsi="Courier New"/>
          <w:sz w:val="13"/>
          <w:szCs w:val="13"/>
          <w:color w:val="auto"/>
        </w:rPr>
        <w:t>|_|</w:t>
      </w:r>
    </w:p>
    <w:p>
      <w:pPr>
        <w:spacing w:after="0" w:line="315" w:lineRule="exact"/>
        <w:rPr>
          <w:sz w:val="24"/>
          <w:szCs w:val="24"/>
          <w:color w:val="auto"/>
        </w:rPr>
      </w:pPr>
    </w:p>
    <w:p>
      <w:pPr>
        <w:ind w:right="4059" w:firstLine="722"/>
        <w:spacing w:after="0" w:line="254" w:lineRule="auto"/>
        <w:rPr>
          <w:sz w:val="20"/>
          <w:szCs w:val="20"/>
          <w:color w:val="auto"/>
        </w:rPr>
      </w:pPr>
      <w:r>
        <w:rPr>
          <w:rFonts w:ascii="Courier New" w:cs="Courier New" w:eastAsia="Courier New" w:hAnsi="Courier New"/>
          <w:sz w:val="13"/>
          <w:szCs w:val="13"/>
          <w:color w:val="auto"/>
        </w:rPr>
        <w:t>The number of shares of the registrant's common stock outstanding on March 28, 2003 was 15,370,807.</w:t>
      </w:r>
    </w:p>
    <w:p>
      <w:pPr>
        <w:spacing w:after="0" w:line="151" w:lineRule="exact"/>
        <w:rPr>
          <w:sz w:val="24"/>
          <w:szCs w:val="24"/>
          <w:color w:val="auto"/>
        </w:rPr>
      </w:pPr>
    </w:p>
    <w:p>
      <w:pPr>
        <w:ind w:right="3979" w:firstLine="722"/>
        <w:spacing w:after="0" w:line="253" w:lineRule="auto"/>
        <w:rPr>
          <w:sz w:val="20"/>
          <w:szCs w:val="20"/>
          <w:color w:val="auto"/>
        </w:rPr>
      </w:pPr>
      <w:r>
        <w:rPr>
          <w:rFonts w:ascii="Courier New" w:cs="Courier New" w:eastAsia="Courier New" w:hAnsi="Courier New"/>
          <w:sz w:val="13"/>
          <w:szCs w:val="13"/>
          <w:color w:val="auto"/>
        </w:rPr>
        <w:t>The aggregate market value of the voting stock held by non-affiliates of the registrant at June 30, 2002, based on the closing price on the NASDAQ National Market System on that date was approximately $123,090,496.</w:t>
      </w:r>
    </w:p>
    <w:p>
      <w:pPr>
        <w:spacing w:after="0" w:line="151" w:lineRule="exact"/>
        <w:rPr>
          <w:sz w:val="24"/>
          <w:szCs w:val="24"/>
          <w:color w:val="auto"/>
        </w:rPr>
      </w:pPr>
    </w:p>
    <w:p>
      <w:pPr>
        <w:ind w:left="1840"/>
        <w:spacing w:after="0"/>
        <w:rPr>
          <w:sz w:val="20"/>
          <w:szCs w:val="20"/>
          <w:color w:val="auto"/>
        </w:rPr>
      </w:pPr>
      <w:r>
        <w:rPr>
          <w:rFonts w:ascii="Courier New" w:cs="Courier New" w:eastAsia="Courier New" w:hAnsi="Courier New"/>
          <w:sz w:val="13"/>
          <w:szCs w:val="13"/>
          <w:b w:val="1"/>
          <w:bCs w:val="1"/>
          <w:color w:val="auto"/>
        </w:rPr>
        <w:t>DOCUMENTS INCORPORATED BY REFERENCE</w:t>
      </w:r>
    </w:p>
    <w:p>
      <w:pPr>
        <w:spacing w:after="0" w:line="161" w:lineRule="exact"/>
        <w:rPr>
          <w:sz w:val="24"/>
          <w:szCs w:val="24"/>
          <w:color w:val="auto"/>
        </w:rPr>
      </w:pPr>
    </w:p>
    <w:p>
      <w:pPr>
        <w:ind w:right="3819" w:firstLine="722"/>
        <w:spacing w:after="0" w:line="254" w:lineRule="auto"/>
        <w:rPr>
          <w:sz w:val="20"/>
          <w:szCs w:val="20"/>
          <w:color w:val="auto"/>
        </w:rPr>
      </w:pPr>
      <w:r>
        <w:rPr>
          <w:rFonts w:ascii="Courier New" w:cs="Courier New" w:eastAsia="Courier New" w:hAnsi="Courier New"/>
          <w:sz w:val="13"/>
          <w:szCs w:val="13"/>
          <w:color w:val="auto"/>
        </w:rPr>
        <w:t>Portions of the Proxy Statement with respect to the 2003 Annual Meeting of Stockholders are incorporated by reference in Part III of this Form 10-K.</w:t>
      </w:r>
    </w:p>
    <w:p>
      <w:pPr>
        <w:spacing w:after="0" w:line="151" w:lineRule="exact"/>
        <w:rPr>
          <w:sz w:val="24"/>
          <w:szCs w:val="24"/>
          <w:color w:val="auto"/>
        </w:rPr>
      </w:pPr>
    </w:p>
    <w:p>
      <w:pPr>
        <w:spacing w:after="0"/>
        <w:rPr>
          <w:sz w:val="20"/>
          <w:szCs w:val="20"/>
          <w:color w:val="auto"/>
        </w:rPr>
      </w:pPr>
      <w:r>
        <w:rPr>
          <w:rFonts w:ascii="Courier New" w:cs="Courier New" w:eastAsia="Courier New" w:hAnsi="Courier New"/>
          <w:sz w:val="13"/>
          <w:szCs w:val="13"/>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ind w:left="2960"/>
        <w:spacing w:after="0"/>
        <w:rPr>
          <w:sz w:val="20"/>
          <w:szCs w:val="20"/>
          <w:color w:val="auto"/>
        </w:rPr>
      </w:pPr>
      <w:r>
        <w:rPr>
          <w:rFonts w:ascii="Courier New" w:cs="Courier New" w:eastAsia="Courier New" w:hAnsi="Courier New"/>
          <w:sz w:val="13"/>
          <w:szCs w:val="13"/>
          <w:b w:val="1"/>
          <w:bCs w:val="1"/>
          <w:color w:val="auto"/>
        </w:rPr>
        <w:t>PART I</w:t>
      </w:r>
    </w:p>
    <w:p>
      <w:pPr>
        <w:spacing w:after="0" w:line="161" w:lineRule="exact"/>
        <w:rPr>
          <w:sz w:val="24"/>
          <w:szCs w:val="24"/>
          <w:color w:val="auto"/>
        </w:rPr>
      </w:pPr>
    </w:p>
    <w:p>
      <w:pPr>
        <w:spacing w:after="0"/>
        <w:tabs>
          <w:tab w:leader="none" w:pos="700" w:val="left"/>
        </w:tabs>
        <w:rPr>
          <w:sz w:val="20"/>
          <w:szCs w:val="20"/>
          <w:color w:val="auto"/>
        </w:rPr>
      </w:pPr>
      <w:r>
        <w:rPr>
          <w:rFonts w:ascii="Courier New" w:cs="Courier New" w:eastAsia="Courier New" w:hAnsi="Courier New"/>
          <w:sz w:val="13"/>
          <w:szCs w:val="13"/>
          <w:b w:val="1"/>
          <w:bCs w:val="1"/>
          <w:color w:val="auto"/>
        </w:rPr>
        <w:t>Item 1.</w:t>
        <w:tab/>
        <w:t>Business</w:t>
      </w:r>
    </w:p>
    <w:p>
      <w:pPr>
        <w:spacing w:after="0" w:line="161" w:lineRule="exact"/>
        <w:rPr>
          <w:sz w:val="24"/>
          <w:szCs w:val="24"/>
          <w:color w:val="auto"/>
        </w:rPr>
      </w:pPr>
    </w:p>
    <w:p>
      <w:pPr>
        <w:spacing w:after="0"/>
        <w:rPr>
          <w:sz w:val="20"/>
          <w:szCs w:val="20"/>
          <w:color w:val="auto"/>
        </w:rPr>
      </w:pPr>
      <w:r>
        <w:rPr>
          <w:rFonts w:ascii="Courier New" w:cs="Courier New" w:eastAsia="Courier New" w:hAnsi="Courier New"/>
          <w:sz w:val="13"/>
          <w:szCs w:val="13"/>
          <w:b w:val="1"/>
          <w:bCs w:val="1"/>
          <w:color w:val="auto"/>
        </w:rPr>
        <w:t>Overview</w:t>
      </w:r>
    </w:p>
    <w:p>
      <w:pPr>
        <w:spacing w:after="0" w:line="161" w:lineRule="exact"/>
        <w:rPr>
          <w:sz w:val="24"/>
          <w:szCs w:val="24"/>
          <w:color w:val="auto"/>
        </w:rPr>
      </w:pPr>
    </w:p>
    <w:p>
      <w:pPr>
        <w:ind w:right="3899" w:firstLine="722"/>
        <w:spacing w:after="0" w:line="251" w:lineRule="auto"/>
        <w:rPr>
          <w:sz w:val="20"/>
          <w:szCs w:val="20"/>
          <w:color w:val="auto"/>
        </w:rPr>
      </w:pPr>
      <w:r>
        <w:rPr>
          <w:rFonts w:ascii="Courier New" w:cs="Courier New" w:eastAsia="Courier New" w:hAnsi="Courier New"/>
          <w:sz w:val="13"/>
          <w:szCs w:val="13"/>
          <w:color w:val="auto"/>
        </w:rPr>
        <w:t>NN, Inc. manufactures and supplies high precision bearing components, consisting of balls, rollers, seals and retainers, for leading bearing manufacturers on a global basis. We are the leading independent manufacturer of precision steel bearing balls for the North American and European markets. In 1998, we began implementing a strategic plan designed to position us as a worldwide supplier of a broad line of bearing components and other precision plastic components. Through a series of acquisitions executed as part of that plan, we have built on our strong core ball business and greatly expanded our bearing component product offering. Today, we offer among the industry's most complete line of bearing components. We emphasize engineered products that take advantage of our competencies in product design and tight tolerance</w:t>
      </w:r>
    </w:p>
    <w:p>
      <w:pPr>
        <w:sectPr>
          <w:pgSz w:w="11900" w:h="16903" w:orient="portrait"/>
          <w:cols w:equalWidth="0" w:num="1">
            <w:col w:w="10239"/>
          </w:cols>
          <w:pgMar w:left="220" w:top="378" w:right="1440" w:bottom="0" w:gutter="0" w:footer="0" w:header="0"/>
          <w:type w:val="continuous"/>
        </w:sectPr>
      </w:pPr>
    </w:p>
    <w:bookmarkStart w:id="1" w:name="page2"/>
    <w:bookmarkEnd w:id="1"/>
    <w:p>
      <w:pPr>
        <w:ind w:right="3899"/>
        <w:spacing w:after="0" w:line="251" w:lineRule="auto"/>
        <w:rPr>
          <w:sz w:val="20"/>
          <w:szCs w:val="20"/>
          <w:color w:val="auto"/>
        </w:rPr>
      </w:pPr>
      <w:r>
        <w:rPr>
          <w:rFonts w:ascii="Courier New" w:cs="Courier New" w:eastAsia="Courier New" w:hAnsi="Courier New"/>
          <w:sz w:val="13"/>
          <w:szCs w:val="13"/>
          <w:color w:val="auto"/>
        </w:rPr>
        <w:t>manufacturing processes. Our bearing customers use our components in fully assembled ball and roller bearings, which serve a wide variety of industrial applications in the transportation, electrical, agricultural, construction, machinery, mining and aerospace markets. As used in this Annual Report on Form 10-K, the terms "NN", "the Company", "we", "our", or "us" mean NN, Inc. and its subsidiaries.</w:t>
      </w:r>
    </w:p>
    <w:p>
      <w:pPr>
        <w:spacing w:after="0" w:line="155"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For managerial and financial analysis purposes, management views the Company's operations in three segments: the domestic ball and roller operations of Erwin, Tennessee and Mountain City, Tennessee ("Domestic Ball and Roller Segment"), the Euroball facilities of Kilkenny, Ireland, Eltmann, Germany and Pinerolo, Italy ("Euroball Segment") and the operations of Industrial Molding Corporation ("IMC"), The Delta Rubber Company ("Delta") and NN Arte ("Plastics Segment"). Financial information about the Domestic Ball and Roller Segment, the Euroball Segment and the Plastics Segment are set forth in our Consolidated Financial Statements beginning on page 27.</w:t>
      </w: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Recent Developments</w:t>
      </w:r>
    </w:p>
    <w:p>
      <w:pPr>
        <w:spacing w:after="0" w:line="16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On December 20, 2002, we acquired the 23 percent interest in NN Euroball, ApS ("Euroball") held by INA/FAG. Euroball was formed in 2000 by the Company, FAG Kugelfischer George Schaefer AG, which was subsequently acquired by INA - Schaeffler KG (collectively, "INA/FAG"), and AB SKF ("SKF"). INA/FAG is a global bearing manufacturer and one of our largest customers. We paid approximately 13.4 million Euros ($13.8 million) for INA/FAG's interest in Euroball. Following the closing of the transaction, we own 77 percent of the outstanding shares of Euroball and SKF owns the remaining 23 percent. SKF consented to our purchase of INA/FAG's interest pursuant to the terms of the Euroball Shareholder Agreement. SKF has the right, beginning January 1, 2003 to require us to purchase its interest in Euroball, based on a formula price detailed in the Euroball Shareholder Agreement. SKF has informed us that it intends to exercise its right and we expect to purchase its interest during the second quarter of 2003.</w:t>
      </w:r>
    </w:p>
    <w:p>
      <w:pPr>
        <w:spacing w:after="0" w:line="31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On December 9, 2002, we announced that we had signed a letter of intent to acquire certain component manufacturing operations of SKF in Veenendaal, The Netherlands. SKF, a Swedish corporation, is a global bearing manufacturer and one of our major customers. The transaction, which is expected to close in the second quarter of 2003, is subject to a number of conditions, including the execution of a definitive asset acquisition agreement, completion of due diligence, approval of NN's and SKF's boards of directors and any necessary approval of relevant government agencies.</w:t>
      </w:r>
    </w:p>
    <w:p>
      <w:pPr>
        <w:spacing w:after="0" w:line="156" w:lineRule="exact"/>
        <w:rPr>
          <w:sz w:val="20"/>
          <w:szCs w:val="20"/>
          <w:color w:val="auto"/>
        </w:rPr>
      </w:pPr>
    </w:p>
    <w:p>
      <w:pPr>
        <w:ind w:right="3659" w:firstLine="722"/>
        <w:spacing w:after="0" w:line="252" w:lineRule="auto"/>
        <w:rPr>
          <w:sz w:val="20"/>
          <w:szCs w:val="20"/>
          <w:color w:val="auto"/>
        </w:rPr>
      </w:pPr>
      <w:r>
        <w:rPr>
          <w:rFonts w:ascii="Courier New" w:cs="Courier New" w:eastAsia="Courier New" w:hAnsi="Courier New"/>
          <w:sz w:val="13"/>
          <w:szCs w:val="13"/>
          <w:color w:val="auto"/>
        </w:rPr>
        <w:t>On January 24, 2003, we exercised our call right to purchase the remaining 49 percent interest in NN Mexico, LLC. The transaction, which is expected to close in the second quarter of 2003, is subject to a number of conditions, including the approval of NN's board of directors. The transaction is not expected to materially impact our financial condition or results of operations. Based on the purchase price formula contained in the principal agreement between the parties, the purchase price for such interest is anticipated to be zero.</w:t>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Corporate Information</w:t>
      </w:r>
    </w:p>
    <w:p>
      <w:pPr>
        <w:spacing w:after="0" w:line="161" w:lineRule="exact"/>
        <w:rPr>
          <w:sz w:val="20"/>
          <w:szCs w:val="20"/>
          <w:color w:val="auto"/>
        </w:rPr>
      </w:pPr>
    </w:p>
    <w:p>
      <w:pPr>
        <w:jc w:val="both"/>
        <w:ind w:right="3819" w:firstLine="722"/>
        <w:spacing w:after="0" w:line="251" w:lineRule="auto"/>
        <w:rPr>
          <w:sz w:val="20"/>
          <w:szCs w:val="20"/>
          <w:color w:val="auto"/>
        </w:rPr>
      </w:pPr>
      <w:r>
        <w:rPr>
          <w:rFonts w:ascii="Courier New" w:cs="Courier New" w:eastAsia="Courier New" w:hAnsi="Courier New"/>
          <w:sz w:val="13"/>
          <w:szCs w:val="13"/>
          <w:color w:val="auto"/>
        </w:rPr>
        <w:t>NN, originally organized in October, 1980, is incorporated in Delaware, with our principal executive offices located at 2000 Water's Edge Drive, Johnson City, Tennessee 37604 and our telephone number is (423) 743-9151. Our</w:t>
      </w:r>
    </w:p>
    <w:p>
      <w:pPr>
        <w:spacing w:after="0" w:line="1" w:lineRule="exact"/>
        <w:rPr>
          <w:sz w:val="20"/>
          <w:szCs w:val="20"/>
          <w:color w:val="auto"/>
        </w:rPr>
      </w:pPr>
    </w:p>
    <w:p>
      <w:pPr>
        <w:ind w:right="3819"/>
        <w:spacing w:after="0" w:line="254" w:lineRule="auto"/>
        <w:rPr>
          <w:sz w:val="20"/>
          <w:szCs w:val="20"/>
          <w:color w:val="auto"/>
        </w:rPr>
      </w:pPr>
      <w:r>
        <w:rPr>
          <w:rFonts w:ascii="Courier New" w:cs="Courier New" w:eastAsia="Courier New" w:hAnsi="Courier New"/>
          <w:sz w:val="13"/>
          <w:szCs w:val="13"/>
          <w:color w:val="auto"/>
        </w:rPr>
        <w:t>web site address is www.nnbr.com. Information contained on our web site is not part of this Annual Report. Our annual report on Form 10-K, quarterly reports on From 10-Q, current reports on Form 8-K and amendments thereto are available on our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75565</wp:posOffset>
            </wp:positionV>
            <wp:extent cx="730440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3899"/>
        <w:spacing w:after="0" w:line="251" w:lineRule="auto"/>
        <w:rPr>
          <w:sz w:val="20"/>
          <w:szCs w:val="20"/>
          <w:color w:val="auto"/>
        </w:rPr>
      </w:pPr>
      <w:r>
        <w:rPr>
          <w:rFonts w:ascii="Courier New" w:cs="Courier New" w:eastAsia="Courier New" w:hAnsi="Courier New"/>
          <w:sz w:val="13"/>
          <w:szCs w:val="13"/>
          <w:color w:val="auto"/>
        </w:rPr>
        <w:t>web site under "SEC Reports." Prior to February 5, 2003, these reports were available through a hyperlink to a third-party service which provided limited free access to such reports. We believed that such hyperlink provided unlimited free access to our filings with the Commission, however, this hyperlink did not provide unlimited free access to the reports. Therefore, the amendments to our Form 10-Q and Form 10-K filed on November 22, 2002 and our Forms 8-K filed December 9, 2002 and December 20, 2002 were not available free of charge to all viewers through our web site. After February 5, 2003, our hyperlink provides unlimited free access to our filings with the Commission on our web site under "SEC Reports".</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Products</w:t>
      </w:r>
    </w:p>
    <w:p>
      <w:pPr>
        <w:spacing w:after="0" w:line="16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i w:val="1"/>
          <w:iCs w:val="1"/>
          <w:color w:val="auto"/>
        </w:rPr>
        <w:t xml:space="preserve">Precision Steel Balls. </w:t>
      </w:r>
      <w:r>
        <w:rPr>
          <w:rFonts w:ascii="Courier New" w:cs="Courier New" w:eastAsia="Courier New" w:hAnsi="Courier New"/>
          <w:sz w:val="13"/>
          <w:szCs w:val="13"/>
          <w:color w:val="auto"/>
        </w:rPr>
        <w:t>At our Erwin, Tennessee and Mountain City,</w:t>
      </w:r>
      <w:r>
        <w:rPr>
          <w:rFonts w:ascii="Courier New" w:cs="Courier New" w:eastAsia="Courier New" w:hAnsi="Courier New"/>
          <w:sz w:val="13"/>
          <w:szCs w:val="13"/>
          <w:i w:val="1"/>
          <w:iCs w:val="1"/>
          <w:color w:val="auto"/>
        </w:rPr>
        <w:t xml:space="preserve"> </w:t>
      </w:r>
      <w:r>
        <w:rPr>
          <w:rFonts w:ascii="Courier New" w:cs="Courier New" w:eastAsia="Courier New" w:hAnsi="Courier New"/>
          <w:sz w:val="13"/>
          <w:szCs w:val="13"/>
          <w:color w:val="auto"/>
        </w:rPr>
        <w:t>Tennessee facilities and our Euroball facilities, we manufacture and sell high quality, precision steel balls in sizes ranging in diameter from 1/8 of an inch to 12 1/2 inches. We produce and sell balls in grades ranging from grade 3 to grade 1000, as established by the American Bearing Manufacturers Association. The grade number for a ball or a roller indicates the degree of spherical or cylindrical precision of the ball or roller; for example, grade 3 balls are manufactured to within three-millionths of an inch of roundness and grade 50 rollers are manufactured to within fifty-millionths of an inch of roundness. Our steel balls are used primarily by manufacturers of anti-friction bearings where precise spherical, tolerance and surface finish accuracies are required. At our Domestic Ball and Roller Segment, sales of steel balls accounted for approximately 88%, 89% and 92% of the segment's net sales in 2002, 2001 and 2000, respectively.</w:t>
      </w:r>
    </w:p>
    <w:p>
      <w:pPr>
        <w:spacing w:after="0" w:line="311" w:lineRule="exact"/>
        <w:rPr>
          <w:sz w:val="20"/>
          <w:szCs w:val="20"/>
          <w:color w:val="auto"/>
        </w:rPr>
      </w:pPr>
    </w:p>
    <w:p>
      <w:pPr>
        <w:ind w:right="3819" w:firstLine="722"/>
        <w:spacing w:after="0" w:line="252" w:lineRule="auto"/>
        <w:rPr>
          <w:sz w:val="20"/>
          <w:szCs w:val="20"/>
          <w:color w:val="auto"/>
        </w:rPr>
      </w:pPr>
      <w:r>
        <w:rPr>
          <w:rFonts w:ascii="Courier New" w:cs="Courier New" w:eastAsia="Courier New" w:hAnsi="Courier New"/>
          <w:sz w:val="13"/>
          <w:szCs w:val="13"/>
          <w:i w:val="1"/>
          <w:iCs w:val="1"/>
          <w:color w:val="auto"/>
        </w:rPr>
        <w:t xml:space="preserve">Steel Rollers. </w:t>
      </w:r>
      <w:r>
        <w:rPr>
          <w:rFonts w:ascii="Courier New" w:cs="Courier New" w:eastAsia="Courier New" w:hAnsi="Courier New"/>
          <w:sz w:val="13"/>
          <w:szCs w:val="13"/>
          <w:color w:val="auto"/>
        </w:rPr>
        <w:t>We manufacture cylindrical rollers at our Erwin,</w:t>
      </w:r>
      <w:r>
        <w:rPr>
          <w:rFonts w:ascii="Courier New" w:cs="Courier New" w:eastAsia="Courier New" w:hAnsi="Courier New"/>
          <w:sz w:val="13"/>
          <w:szCs w:val="13"/>
          <w:i w:val="1"/>
          <w:iCs w:val="1"/>
          <w:color w:val="auto"/>
        </w:rPr>
        <w:t xml:space="preserve"> </w:t>
      </w:r>
      <w:r>
        <w:rPr>
          <w:rFonts w:ascii="Courier New" w:cs="Courier New" w:eastAsia="Courier New" w:hAnsi="Courier New"/>
          <w:sz w:val="13"/>
          <w:szCs w:val="13"/>
          <w:color w:val="auto"/>
        </w:rPr>
        <w:t>Tennessee facility. These cylindrical rollers are produced in a wide variety of sizes, ranging from grade 50 to grade 1000. Rollers are used in place of balls in anti-friction bearings that are subjected to heavy load conditions. Our roller products are used primarily for applications similar to those of our ball product lines, plus certain non-bearing applications such as hydraulic pumps and motors.</w:t>
      </w:r>
    </w:p>
    <w:p>
      <w:pPr>
        <w:spacing w:after="0" w:line="306" w:lineRule="exact"/>
        <w:rPr>
          <w:sz w:val="20"/>
          <w:szCs w:val="20"/>
          <w:color w:val="auto"/>
        </w:rPr>
      </w:pPr>
    </w:p>
    <w:p>
      <w:pPr>
        <w:ind w:left="720"/>
        <w:spacing w:after="0"/>
        <w:rPr>
          <w:sz w:val="20"/>
          <w:szCs w:val="20"/>
          <w:color w:val="auto"/>
        </w:rPr>
      </w:pPr>
      <w:r>
        <w:rPr>
          <w:rFonts w:ascii="Courier New" w:cs="Courier New" w:eastAsia="Courier New" w:hAnsi="Courier New"/>
          <w:sz w:val="13"/>
          <w:szCs w:val="13"/>
          <w:i w:val="1"/>
          <w:iCs w:val="1"/>
          <w:color w:val="auto"/>
        </w:rPr>
        <w:t xml:space="preserve">Bearing Seals and Retainers. </w:t>
      </w:r>
      <w:r>
        <w:rPr>
          <w:rFonts w:ascii="Courier New" w:cs="Courier New" w:eastAsia="Courier New" w:hAnsi="Courier New"/>
          <w:sz w:val="13"/>
          <w:szCs w:val="13"/>
          <w:color w:val="auto"/>
        </w:rPr>
        <w:t>We manufacture and sell a wide range of</w:t>
      </w:r>
    </w:p>
    <w:p>
      <w:pPr>
        <w:sectPr>
          <w:pgSz w:w="11900" w:h="16838" w:orient="portrait"/>
          <w:cols w:equalWidth="0" w:num="1">
            <w:col w:w="10239"/>
          </w:cols>
          <w:pgMar w:left="220" w:top="141" w:right="1440" w:bottom="0" w:gutter="0" w:footer="0" w:header="0"/>
        </w:sectPr>
      </w:pPr>
    </w:p>
    <w:bookmarkStart w:id="2" w:name="page3"/>
    <w:bookmarkEnd w:id="2"/>
    <w:p>
      <w:pPr>
        <w:ind w:right="3899"/>
        <w:spacing w:after="0" w:line="251" w:lineRule="auto"/>
        <w:rPr>
          <w:sz w:val="20"/>
          <w:szCs w:val="20"/>
          <w:color w:val="auto"/>
        </w:rPr>
      </w:pPr>
      <w:r>
        <w:rPr>
          <w:rFonts w:ascii="Courier New" w:cs="Courier New" w:eastAsia="Courier New" w:hAnsi="Courier New"/>
          <w:sz w:val="13"/>
          <w:szCs w:val="13"/>
          <w:color w:val="auto"/>
        </w:rPr>
        <w:t>precision bearing seals produced through a variety of compression and injection molding processes and adhesion technologies to create rubber-to-metal bonded bearing seals. The seals are used in applications for automotive, industrial, agricultural, mining and aerospace markets. We also manufacture and sell high precision plastic retainers for ball and roller bearings used in a wide variety of industrial applications. Retainers are used to separate and space balls or rollers within a fully assembled bearing.</w:t>
      </w:r>
    </w:p>
    <w:p>
      <w:pPr>
        <w:spacing w:after="0" w:line="156" w:lineRule="exact"/>
        <w:rPr>
          <w:sz w:val="20"/>
          <w:szCs w:val="20"/>
          <w:color w:val="auto"/>
        </w:rPr>
      </w:pPr>
    </w:p>
    <w:p>
      <w:pPr>
        <w:ind w:right="3819" w:firstLine="722"/>
        <w:spacing w:after="0" w:line="252" w:lineRule="auto"/>
        <w:rPr>
          <w:sz w:val="20"/>
          <w:szCs w:val="20"/>
          <w:color w:val="auto"/>
        </w:rPr>
      </w:pPr>
      <w:r>
        <w:rPr>
          <w:rFonts w:ascii="Courier New" w:cs="Courier New" w:eastAsia="Courier New" w:hAnsi="Courier New"/>
          <w:sz w:val="13"/>
          <w:szCs w:val="13"/>
          <w:i w:val="1"/>
          <w:iCs w:val="1"/>
          <w:color w:val="auto"/>
        </w:rPr>
        <w:t xml:space="preserve">Precision Plastic Components. </w:t>
      </w:r>
      <w:r>
        <w:rPr>
          <w:rFonts w:ascii="Courier New" w:cs="Courier New" w:eastAsia="Courier New" w:hAnsi="Courier New"/>
          <w:sz w:val="13"/>
          <w:szCs w:val="13"/>
          <w:color w:val="auto"/>
        </w:rPr>
        <w:t>We also manufacture and sell a wide range</w:t>
      </w:r>
      <w:r>
        <w:rPr>
          <w:rFonts w:ascii="Courier New" w:cs="Courier New" w:eastAsia="Courier New" w:hAnsi="Courier New"/>
          <w:sz w:val="13"/>
          <w:szCs w:val="13"/>
          <w:i w:val="1"/>
          <w:iCs w:val="1"/>
          <w:color w:val="auto"/>
        </w:rPr>
        <w:t xml:space="preserve"> </w:t>
      </w:r>
      <w:r>
        <w:rPr>
          <w:rFonts w:ascii="Courier New" w:cs="Courier New" w:eastAsia="Courier New" w:hAnsi="Courier New"/>
          <w:sz w:val="13"/>
          <w:szCs w:val="13"/>
          <w:color w:val="auto"/>
        </w:rPr>
        <w:t>of specialized plastic products including automotive under-the-hood components, electronic instrument cases and precision electronic connectors and lenses, as well as a variety of other specialized parts.</w:t>
      </w:r>
    </w:p>
    <w:p>
      <w:pPr>
        <w:spacing w:after="0" w:line="153" w:lineRule="exact"/>
        <w:rPr>
          <w:sz w:val="20"/>
          <w:szCs w:val="20"/>
          <w:color w:val="auto"/>
        </w:rPr>
      </w:pPr>
    </w:p>
    <w:p>
      <w:pPr>
        <w:ind w:right="3819" w:firstLine="722"/>
        <w:spacing w:after="0" w:line="254" w:lineRule="auto"/>
        <w:rPr>
          <w:sz w:val="20"/>
          <w:szCs w:val="20"/>
          <w:color w:val="auto"/>
        </w:rPr>
      </w:pPr>
      <w:r>
        <w:rPr>
          <w:rFonts w:ascii="Courier New" w:cs="Courier New" w:eastAsia="Courier New" w:hAnsi="Courier New"/>
          <w:sz w:val="13"/>
          <w:szCs w:val="13"/>
          <w:i w:val="1"/>
          <w:iCs w:val="1"/>
          <w:color w:val="auto"/>
        </w:rPr>
        <w:t xml:space="preserve">Research and Development. </w:t>
      </w:r>
      <w:r>
        <w:rPr>
          <w:rFonts w:ascii="Courier New" w:cs="Courier New" w:eastAsia="Courier New" w:hAnsi="Courier New"/>
          <w:sz w:val="13"/>
          <w:szCs w:val="13"/>
          <w:color w:val="auto"/>
        </w:rPr>
        <w:t>The amounts spent on research and development</w:t>
      </w:r>
      <w:r>
        <w:rPr>
          <w:rFonts w:ascii="Courier New" w:cs="Courier New" w:eastAsia="Courier New" w:hAnsi="Courier New"/>
          <w:sz w:val="13"/>
          <w:szCs w:val="13"/>
          <w:i w:val="1"/>
          <w:iCs w:val="1"/>
          <w:color w:val="auto"/>
        </w:rPr>
        <w:t xml:space="preserve"> </w:t>
      </w:r>
      <w:r>
        <w:rPr>
          <w:rFonts w:ascii="Courier New" w:cs="Courier New" w:eastAsia="Courier New" w:hAnsi="Courier New"/>
          <w:sz w:val="13"/>
          <w:szCs w:val="13"/>
          <w:color w:val="auto"/>
        </w:rPr>
        <w:t>activities by us during each of the last three fiscal years are not material.</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Customers</w:t>
      </w:r>
    </w:p>
    <w:p>
      <w:pPr>
        <w:spacing w:after="0" w:line="16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Our bearing component products are supplied primarily to bearing manufacturers for use in a broad range of industrial applications, including transportation, electrical, agricultural, construction, machinery, mining and aerospace. We supply over 500 customers; however, our top 10 customers account for approximately 73% of our revenue. These top 10 customers include SKF, INA/FAG, Timken, Torrington, GKN, SNR, Iljin, NTN,, Delphi, and NSK. In 2002, 44% of our products were sold to customers in North America, 47% to customers in Europe, and the remaining 9% to customers located throughout the rest of the world, primarily Asia. Sales to various U.S. and foreign divisions of SKF accounted for approximately 33% of net sales in 2002 and sales to INA/FAG accounted for approximately 19% of net sales in 2002, demonstrating our long-term, strategic relationships with these key customers. Historically, we have increased our supply to SKF and INA/FAG on an annual basis and we have almost tripled our sales to these two companies since 1999. These gains are directly attributed to the success of Euroball and our efforts to develop a closer partnering relationship with our global bearing customers. None of the Company's other customers accounted for more than 5% of its net sales in 2002.</w:t>
      </w:r>
    </w:p>
    <w:p>
      <w:pPr>
        <w:spacing w:after="0" w:line="158" w:lineRule="exact"/>
        <w:rPr>
          <w:sz w:val="20"/>
          <w:szCs w:val="20"/>
          <w:color w:val="auto"/>
        </w:rPr>
      </w:pPr>
    </w:p>
    <w:p>
      <w:pPr>
        <w:ind w:right="3899" w:firstLine="722"/>
        <w:spacing w:after="0" w:line="251" w:lineRule="auto"/>
        <w:rPr>
          <w:sz w:val="20"/>
          <w:szCs w:val="20"/>
          <w:color w:val="auto"/>
        </w:rPr>
      </w:pPr>
      <w:r>
        <w:rPr>
          <w:rFonts w:ascii="Courier New" w:cs="Courier New" w:eastAsia="Courier New" w:hAnsi="Courier New"/>
          <w:sz w:val="13"/>
          <w:szCs w:val="13"/>
          <w:color w:val="auto"/>
        </w:rPr>
        <w:t>Certain customers have contracted to purchase all or a majority of their bearing component requirements from us, although only a few are contractually obligated to purchase any specific amounts. While firm orders are generally received on a monthly basis, we are normally aware of future order levels well in advance of the placement of a firm order. For our domestic ball and roller operations, we maintain a computerized, bar coded inventory management system with most of our</w:t>
      </w:r>
    </w:p>
    <w:p>
      <w:pPr>
        <w:spacing w:after="0" w:line="310"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right="3819"/>
        <w:spacing w:after="0" w:line="253" w:lineRule="auto"/>
        <w:rPr>
          <w:sz w:val="20"/>
          <w:szCs w:val="20"/>
          <w:color w:val="auto"/>
        </w:rPr>
      </w:pPr>
      <w:r>
        <w:rPr>
          <w:rFonts w:ascii="Courier New" w:cs="Courier New" w:eastAsia="Courier New" w:hAnsi="Courier New"/>
          <w:sz w:val="13"/>
          <w:szCs w:val="13"/>
          <w:color w:val="auto"/>
        </w:rPr>
        <w:t>major customers that enables us to determine on a day-to-day basis the amount of these components remaining in a customer's inventory. When such inventories fall below certain levels, we automatically ship additional product.</w:t>
      </w:r>
    </w:p>
    <w:p>
      <w:pPr>
        <w:spacing w:after="0" w:line="15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Euroball has entered into six-year supply agreements with SKF and INA/FAG providing for the purchase of Euroball products in amounts and at prices that are subject to adjustment on an annual basis. The agreements contain provisions obligating Euroball to maintain specified quality standards and comply with various ordering and delivery procedures, as well as other customary provisions. SKF may terminate its agreement if, among other things, Euroball acquires or becomes acquired by a competitor of SKF. INA/FAG may terminate its agreement if, among other things, Euroball assigns its rights under the agreement, whether voluntarily or by operation of law. These agreements expire during 2006.</w:t>
      </w:r>
    </w:p>
    <w:p>
      <w:pPr>
        <w:spacing w:after="0" w:line="310"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During 2002, the Domestic Ball and Roller Segment sold its products to more than 500 customers located in more than 25 different countries. Approximately 47% of ball and roller net sales in 2002 were to customers outside the United States. Sales to the Domestic Ball &amp; Roller Segment's top ten customers accounted for approximately 73% of the segment's net sales in 2002. Sales to SKF and INA/FAG accounted for approximately 32% and 14% of the segment's net sales in 2002, respectively.</w:t>
      </w:r>
    </w:p>
    <w:p>
      <w:pPr>
        <w:spacing w:after="0" w:line="156" w:lineRule="exact"/>
        <w:rPr>
          <w:sz w:val="20"/>
          <w:szCs w:val="20"/>
          <w:color w:val="auto"/>
        </w:rPr>
      </w:pPr>
    </w:p>
    <w:p>
      <w:pPr>
        <w:ind w:right="3899" w:firstLine="722"/>
        <w:spacing w:after="0" w:line="251" w:lineRule="auto"/>
        <w:rPr>
          <w:sz w:val="20"/>
          <w:szCs w:val="20"/>
          <w:color w:val="auto"/>
        </w:rPr>
      </w:pPr>
      <w:r>
        <w:rPr>
          <w:rFonts w:ascii="Courier New" w:cs="Courier New" w:eastAsia="Courier New" w:hAnsi="Courier New"/>
          <w:sz w:val="13"/>
          <w:szCs w:val="13"/>
          <w:color w:val="auto"/>
        </w:rPr>
        <w:t>During 2002, the Euroball Segment sold its products to more than 30 customers located in more than 25 different countries. Approximately 92% of its net sales in 2002 were to customers within Europe. Sales to the segment's top ten customers accounted for approximately 95% of the segment's net sales in 2002. Sales to SKF and INA/FAG accounted for approximately 51% and 25% of the segment's net sales in 2002, respectively. Sales to SKF and INA/FAG are made pursuant to the terms of supply agreements which expire in 2006.</w:t>
      </w:r>
    </w:p>
    <w:p>
      <w:pPr>
        <w:spacing w:after="0" w:line="156" w:lineRule="exact"/>
        <w:rPr>
          <w:sz w:val="20"/>
          <w:szCs w:val="20"/>
          <w:color w:val="auto"/>
        </w:rPr>
      </w:pPr>
    </w:p>
    <w:p>
      <w:pPr>
        <w:ind w:right="3899" w:firstLine="722"/>
        <w:spacing w:after="0" w:line="252" w:lineRule="auto"/>
        <w:rPr>
          <w:sz w:val="20"/>
          <w:szCs w:val="20"/>
          <w:color w:val="auto"/>
        </w:rPr>
      </w:pPr>
      <w:r>
        <w:rPr>
          <w:rFonts w:ascii="Courier New" w:cs="Courier New" w:eastAsia="Courier New" w:hAnsi="Courier New"/>
          <w:sz w:val="13"/>
          <w:szCs w:val="13"/>
          <w:color w:val="auto"/>
        </w:rPr>
        <w:t>During 2002, the Plastics Segment sold its products to more than 100 customers located in more than 16 different countries. Approximately 18% of the Plastics Segment's net sales were to customers outside the United States. Sales to the segment's top ten customers accounted for approximately 62% of the Plastics Segment's net sales in 2002.</w:t>
      </w:r>
    </w:p>
    <w:p>
      <w:pPr>
        <w:spacing w:after="0" w:line="152" w:lineRule="exact"/>
        <w:rPr>
          <w:sz w:val="20"/>
          <w:szCs w:val="20"/>
          <w:color w:val="auto"/>
        </w:rPr>
      </w:pPr>
    </w:p>
    <w:p>
      <w:pPr>
        <w:ind w:right="3819" w:firstLine="722"/>
        <w:spacing w:after="0" w:line="252" w:lineRule="auto"/>
        <w:rPr>
          <w:sz w:val="20"/>
          <w:szCs w:val="20"/>
          <w:color w:val="auto"/>
        </w:rPr>
      </w:pPr>
      <w:r>
        <w:rPr>
          <w:rFonts w:ascii="Courier New" w:cs="Courier New" w:eastAsia="Courier New" w:hAnsi="Courier New"/>
          <w:sz w:val="13"/>
          <w:szCs w:val="13"/>
          <w:color w:val="auto"/>
        </w:rPr>
        <w:t>See Note 11 of the Notes to Financial Statements and "Management's Discussion and Analysis of Financial Condition and Results of Operations -- Results of Operations" for additional segment financial information. In both the foreign and domestic markets, the Company principally sells its products directly to manufacturers and not to distributors.</w:t>
      </w:r>
    </w:p>
    <w:p>
      <w:pPr>
        <w:spacing w:after="0" w:line="152"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We ordinarily ship our products directly to customers within 60 days, and in some cases, during the same calendar month, of the date on which a sales order is placed. Accordingly, we generally have an insignificant amount of open (backlog) orders from customers at month end. Certain of our customers have entered into contracts with us pursuant to which they have agreed to purchase all of their requirements of specified balls and rollers and plastic molded products from us, although only a few are contractually obligated to purchase any specific amounts. While firm orders generally are received only monthly, we are normally aware of reasonably anticipated future orders well in advance of the placement of a firm order. Certain agreements are in effect with some of our largest customers, which provide for targeted, annual price adjustments that may be offset by material cost fluctuations.</w:t>
      </w:r>
    </w:p>
    <w:p>
      <w:pPr>
        <w:sectPr>
          <w:pgSz w:w="11900" w:h="16838" w:orient="portrait"/>
          <w:cols w:equalWidth="0" w:num="1">
            <w:col w:w="10239"/>
          </w:cols>
          <w:pgMar w:left="220" w:top="141" w:right="1440" w:bottom="0" w:gutter="0" w:footer="0" w:header="0"/>
        </w:sectPr>
      </w:pPr>
    </w:p>
    <w:bookmarkStart w:id="3" w:name="page4"/>
    <w:bookmarkEnd w:id="3"/>
    <w:p>
      <w:pPr>
        <w:ind w:right="4059" w:firstLine="722"/>
        <w:spacing w:after="0" w:line="254" w:lineRule="auto"/>
        <w:rPr>
          <w:sz w:val="20"/>
          <w:szCs w:val="20"/>
          <w:color w:val="auto"/>
        </w:rPr>
      </w:pPr>
      <w:r>
        <w:rPr>
          <w:rFonts w:ascii="Courier New" w:cs="Courier New" w:eastAsia="Courier New" w:hAnsi="Courier New"/>
          <w:sz w:val="13"/>
          <w:szCs w:val="13"/>
          <w:color w:val="auto"/>
        </w:rPr>
        <w:t>The following table presents a breakdown of our net sales for fiscal years 2000 through 2002:</w:t>
      </w:r>
    </w:p>
    <w:p>
      <w:pPr>
        <w:spacing w:after="0" w:line="200" w:lineRule="exact"/>
        <w:rPr>
          <w:sz w:val="20"/>
          <w:szCs w:val="20"/>
          <w:color w:val="auto"/>
        </w:rPr>
      </w:pPr>
    </w:p>
    <w:p>
      <w:pPr>
        <w:spacing w:after="0" w:line="259"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480" w:type="dxa"/>
        <w:tblCellMar>
          <w:top w:w="0" w:type="dxa"/>
          <w:left w:w="0" w:type="dxa"/>
          <w:bottom w:w="0" w:type="dxa"/>
          <w:right w:w="0" w:type="dxa"/>
        </w:tblCellMar>
      </w:tblPr>
      <w:tr>
        <w:trPr>
          <w:trHeight w:val="149"/>
        </w:trPr>
        <w:tc>
          <w:tcPr>
            <w:tcW w:w="2080" w:type="dxa"/>
            <w:vAlign w:val="bottom"/>
          </w:tcPr>
          <w:p>
            <w:pPr>
              <w:spacing w:after="0"/>
              <w:rPr>
                <w:sz w:val="20"/>
                <w:szCs w:val="20"/>
                <w:color w:val="auto"/>
              </w:rPr>
            </w:pPr>
            <w:r>
              <w:rPr>
                <w:rFonts w:ascii="Courier New" w:cs="Courier New" w:eastAsia="Courier New" w:hAnsi="Courier New"/>
                <w:sz w:val="13"/>
                <w:szCs w:val="13"/>
                <w:b w:val="1"/>
                <w:bCs w:val="1"/>
                <w:color w:val="auto"/>
              </w:rPr>
              <w:t>(In Thousands)</w:t>
            </w:r>
          </w:p>
        </w:tc>
        <w:tc>
          <w:tcPr>
            <w:tcW w:w="1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54"/>
        </w:trPr>
        <w:tc>
          <w:tcPr>
            <w:tcW w:w="2080" w:type="dxa"/>
            <w:vAlign w:val="bottom"/>
          </w:tcPr>
          <w:p>
            <w:pPr>
              <w:spacing w:after="0"/>
              <w:rPr>
                <w:sz w:val="13"/>
                <w:szCs w:val="13"/>
                <w:color w:val="auto"/>
              </w:rPr>
            </w:pPr>
          </w:p>
        </w:tc>
        <w:tc>
          <w:tcPr>
            <w:tcW w:w="1300" w:type="dxa"/>
            <w:vAlign w:val="bottom"/>
          </w:tcPr>
          <w:p>
            <w:pPr>
              <w:jc w:val="right"/>
              <w:ind w:right="493"/>
              <w:spacing w:after="0"/>
              <w:rPr>
                <w:sz w:val="20"/>
                <w:szCs w:val="20"/>
                <w:color w:val="auto"/>
              </w:rPr>
            </w:pPr>
            <w:r>
              <w:rPr>
                <w:rFonts w:ascii="Courier New" w:cs="Courier New" w:eastAsia="Courier New" w:hAnsi="Courier New"/>
                <w:sz w:val="13"/>
                <w:szCs w:val="13"/>
                <w:b w:val="1"/>
                <w:bCs w:val="1"/>
                <w:color w:val="auto"/>
              </w:rPr>
              <w:t>2002</w:t>
            </w:r>
          </w:p>
        </w:tc>
        <w:tc>
          <w:tcPr>
            <w:tcW w:w="1280" w:type="dxa"/>
            <w:vAlign w:val="bottom"/>
          </w:tcPr>
          <w:p>
            <w:pPr>
              <w:jc w:val="right"/>
              <w:ind w:right="493"/>
              <w:spacing w:after="0"/>
              <w:rPr>
                <w:sz w:val="20"/>
                <w:szCs w:val="20"/>
                <w:color w:val="auto"/>
              </w:rPr>
            </w:pPr>
            <w:r>
              <w:rPr>
                <w:rFonts w:ascii="Courier New" w:cs="Courier New" w:eastAsia="Courier New" w:hAnsi="Courier New"/>
                <w:sz w:val="13"/>
                <w:szCs w:val="13"/>
                <w:b w:val="1"/>
                <w:bCs w:val="1"/>
                <w:color w:val="auto"/>
              </w:rPr>
              <w:t>2001</w:t>
            </w:r>
          </w:p>
        </w:tc>
        <w:tc>
          <w:tcPr>
            <w:tcW w:w="1120" w:type="dxa"/>
            <w:vAlign w:val="bottom"/>
          </w:tcPr>
          <w:p>
            <w:pPr>
              <w:jc w:val="right"/>
              <w:ind w:right="333"/>
              <w:spacing w:after="0"/>
              <w:rPr>
                <w:sz w:val="20"/>
                <w:szCs w:val="20"/>
                <w:color w:val="auto"/>
              </w:rPr>
            </w:pPr>
            <w:r>
              <w:rPr>
                <w:rFonts w:ascii="Courier New" w:cs="Courier New" w:eastAsia="Courier New" w:hAnsi="Courier New"/>
                <w:sz w:val="13"/>
                <w:szCs w:val="13"/>
                <w:b w:val="1"/>
                <w:bCs w:val="1"/>
                <w:color w:val="auto"/>
              </w:rPr>
              <w:t>2000</w:t>
            </w:r>
          </w:p>
        </w:tc>
      </w:tr>
      <w:tr>
        <w:trPr>
          <w:trHeight w:val="154"/>
        </w:trPr>
        <w:tc>
          <w:tcPr>
            <w:tcW w:w="2080" w:type="dxa"/>
            <w:vAlign w:val="bottom"/>
          </w:tcPr>
          <w:p>
            <w:pPr>
              <w:spacing w:after="0"/>
              <w:rPr>
                <w:sz w:val="13"/>
                <w:szCs w:val="13"/>
                <w:color w:val="auto"/>
              </w:rPr>
            </w:pPr>
          </w:p>
        </w:tc>
        <w:tc>
          <w:tcPr>
            <w:tcW w:w="1300" w:type="dxa"/>
            <w:vAlign w:val="bottom"/>
          </w:tcPr>
          <w:p>
            <w:pPr>
              <w:jc w:val="right"/>
              <w:ind w:right="93"/>
              <w:spacing w:after="0"/>
              <w:rPr>
                <w:sz w:val="20"/>
                <w:szCs w:val="20"/>
                <w:color w:val="auto"/>
              </w:rPr>
            </w:pPr>
            <w:r>
              <w:rPr>
                <w:rFonts w:ascii="Courier New" w:cs="Courier New" w:eastAsia="Courier New" w:hAnsi="Courier New"/>
                <w:sz w:val="13"/>
                <w:szCs w:val="13"/>
                <w:b w:val="1"/>
                <w:bCs w:val="1"/>
                <w:color w:val="auto"/>
              </w:rPr>
              <w:t>------------</w:t>
            </w:r>
          </w:p>
        </w:tc>
        <w:tc>
          <w:tcPr>
            <w:tcW w:w="1280" w:type="dxa"/>
            <w:vAlign w:val="bottom"/>
          </w:tcPr>
          <w:p>
            <w:pPr>
              <w:jc w:val="right"/>
              <w:ind w:right="93"/>
              <w:spacing w:after="0"/>
              <w:rPr>
                <w:sz w:val="20"/>
                <w:szCs w:val="20"/>
                <w:color w:val="auto"/>
              </w:rPr>
            </w:pPr>
            <w:r>
              <w:rPr>
                <w:rFonts w:ascii="Courier New" w:cs="Courier New" w:eastAsia="Courier New" w:hAnsi="Courier New"/>
                <w:sz w:val="13"/>
                <w:szCs w:val="13"/>
                <w:b w:val="1"/>
                <w:bCs w:val="1"/>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w:t>
            </w:r>
          </w:p>
        </w:tc>
      </w:tr>
      <w:tr>
        <w:trPr>
          <w:trHeight w:val="154"/>
        </w:trPr>
        <w:tc>
          <w:tcPr>
            <w:tcW w:w="2080" w:type="dxa"/>
            <w:vAlign w:val="bottom"/>
          </w:tcPr>
          <w:p>
            <w:pPr>
              <w:spacing w:after="0"/>
              <w:rPr>
                <w:sz w:val="20"/>
                <w:szCs w:val="20"/>
                <w:color w:val="auto"/>
              </w:rPr>
            </w:pPr>
            <w:r>
              <w:rPr>
                <w:rFonts w:ascii="Courier New" w:cs="Courier New" w:eastAsia="Courier New" w:hAnsi="Courier New"/>
                <w:sz w:val="13"/>
                <w:szCs w:val="13"/>
                <w:color w:val="auto"/>
              </w:rPr>
              <w:t>Domestic Ball and Roller</w:t>
            </w:r>
          </w:p>
        </w:tc>
        <w:tc>
          <w:tcPr>
            <w:tcW w:w="1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4"/>
        </w:trPr>
        <w:tc>
          <w:tcPr>
            <w:tcW w:w="2080" w:type="dxa"/>
            <w:vAlign w:val="bottom"/>
          </w:tcPr>
          <w:p>
            <w:pPr>
              <w:ind w:left="400"/>
              <w:spacing w:after="0"/>
              <w:rPr>
                <w:sz w:val="20"/>
                <w:szCs w:val="20"/>
                <w:color w:val="auto"/>
              </w:rPr>
            </w:pPr>
            <w:r>
              <w:rPr>
                <w:rFonts w:ascii="Courier New" w:cs="Courier New" w:eastAsia="Courier New" w:hAnsi="Courier New"/>
                <w:sz w:val="13"/>
                <w:szCs w:val="13"/>
                <w:color w:val="auto"/>
              </w:rPr>
              <w:t>Segment</w:t>
            </w:r>
          </w:p>
        </w:tc>
        <w:tc>
          <w:tcPr>
            <w:tcW w:w="13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$ 52,634</w:t>
            </w:r>
          </w:p>
        </w:tc>
        <w:tc>
          <w:tcPr>
            <w:tcW w:w="12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$ 52,692</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$67,637</w:t>
            </w:r>
          </w:p>
        </w:tc>
      </w:tr>
      <w:tr>
        <w:trPr>
          <w:trHeight w:val="154"/>
        </w:trPr>
        <w:tc>
          <w:tcPr>
            <w:tcW w:w="2080" w:type="dxa"/>
            <w:vAlign w:val="bottom"/>
          </w:tcPr>
          <w:p>
            <w:pPr>
              <w:spacing w:after="0"/>
              <w:rPr>
                <w:sz w:val="13"/>
                <w:szCs w:val="13"/>
                <w:color w:val="auto"/>
              </w:rPr>
            </w:pPr>
          </w:p>
        </w:tc>
        <w:tc>
          <w:tcPr>
            <w:tcW w:w="13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27.3%</w:t>
            </w:r>
          </w:p>
        </w:tc>
        <w:tc>
          <w:tcPr>
            <w:tcW w:w="12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29.3%</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51.2%</w:t>
            </w:r>
          </w:p>
        </w:tc>
      </w:tr>
      <w:tr>
        <w:trPr>
          <w:trHeight w:val="308"/>
        </w:trPr>
        <w:tc>
          <w:tcPr>
            <w:tcW w:w="2080" w:type="dxa"/>
            <w:vAlign w:val="bottom"/>
          </w:tcPr>
          <w:p>
            <w:pPr>
              <w:spacing w:after="0"/>
              <w:rPr>
                <w:sz w:val="20"/>
                <w:szCs w:val="20"/>
                <w:color w:val="auto"/>
              </w:rPr>
            </w:pPr>
            <w:r>
              <w:rPr>
                <w:rFonts w:ascii="Courier New" w:cs="Courier New" w:eastAsia="Courier New" w:hAnsi="Courier New"/>
                <w:sz w:val="13"/>
                <w:szCs w:val="13"/>
                <w:color w:val="auto"/>
              </w:rPr>
              <w:t>Euroball Segment</w:t>
            </w:r>
          </w:p>
        </w:tc>
        <w:tc>
          <w:tcPr>
            <w:tcW w:w="13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90,653</w:t>
            </w:r>
          </w:p>
        </w:tc>
        <w:tc>
          <w:tcPr>
            <w:tcW w:w="12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86,719</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33,988</w:t>
            </w:r>
          </w:p>
        </w:tc>
      </w:tr>
      <w:tr>
        <w:trPr>
          <w:trHeight w:val="154"/>
        </w:trPr>
        <w:tc>
          <w:tcPr>
            <w:tcW w:w="2080" w:type="dxa"/>
            <w:vAlign w:val="bottom"/>
          </w:tcPr>
          <w:p>
            <w:pPr>
              <w:spacing w:after="0"/>
              <w:rPr>
                <w:sz w:val="13"/>
                <w:szCs w:val="13"/>
                <w:color w:val="auto"/>
              </w:rPr>
            </w:pPr>
          </w:p>
        </w:tc>
        <w:tc>
          <w:tcPr>
            <w:tcW w:w="13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47.0%</w:t>
            </w:r>
          </w:p>
        </w:tc>
        <w:tc>
          <w:tcPr>
            <w:tcW w:w="12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48.1%</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25.7%</w:t>
            </w:r>
          </w:p>
        </w:tc>
      </w:tr>
      <w:tr>
        <w:trPr>
          <w:trHeight w:val="308"/>
        </w:trPr>
        <w:tc>
          <w:tcPr>
            <w:tcW w:w="2080" w:type="dxa"/>
            <w:vAlign w:val="bottom"/>
          </w:tcPr>
          <w:p>
            <w:pPr>
              <w:spacing w:after="0"/>
              <w:rPr>
                <w:sz w:val="20"/>
                <w:szCs w:val="20"/>
                <w:color w:val="auto"/>
              </w:rPr>
            </w:pPr>
            <w:r>
              <w:rPr>
                <w:rFonts w:ascii="Courier New" w:cs="Courier New" w:eastAsia="Courier New" w:hAnsi="Courier New"/>
                <w:sz w:val="13"/>
                <w:szCs w:val="13"/>
                <w:color w:val="auto"/>
              </w:rPr>
              <w:t>Plastics Segment</w:t>
            </w:r>
          </w:p>
        </w:tc>
        <w:tc>
          <w:tcPr>
            <w:tcW w:w="13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49,568</w:t>
            </w:r>
          </w:p>
        </w:tc>
        <w:tc>
          <w:tcPr>
            <w:tcW w:w="12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40,740</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30,504</w:t>
            </w:r>
          </w:p>
        </w:tc>
      </w:tr>
      <w:tr>
        <w:trPr>
          <w:trHeight w:val="154"/>
        </w:trPr>
        <w:tc>
          <w:tcPr>
            <w:tcW w:w="2080" w:type="dxa"/>
            <w:vAlign w:val="bottom"/>
          </w:tcPr>
          <w:p>
            <w:pPr>
              <w:spacing w:after="0"/>
              <w:rPr>
                <w:sz w:val="13"/>
                <w:szCs w:val="13"/>
                <w:color w:val="auto"/>
              </w:rPr>
            </w:pPr>
          </w:p>
        </w:tc>
        <w:tc>
          <w:tcPr>
            <w:tcW w:w="13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25.7%</w:t>
            </w:r>
          </w:p>
        </w:tc>
        <w:tc>
          <w:tcPr>
            <w:tcW w:w="12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22.6%</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23.1%</w:t>
            </w:r>
          </w:p>
        </w:tc>
      </w:tr>
      <w:tr>
        <w:trPr>
          <w:trHeight w:val="154"/>
        </w:trPr>
        <w:tc>
          <w:tcPr>
            <w:tcW w:w="2080" w:type="dxa"/>
            <w:vAlign w:val="bottom"/>
          </w:tcPr>
          <w:p>
            <w:pPr>
              <w:spacing w:after="0"/>
              <w:rPr>
                <w:sz w:val="13"/>
                <w:szCs w:val="13"/>
                <w:color w:val="auto"/>
              </w:rPr>
            </w:pPr>
          </w:p>
        </w:tc>
        <w:tc>
          <w:tcPr>
            <w:tcW w:w="13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2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2080" w:type="dxa"/>
            <w:vAlign w:val="bottom"/>
          </w:tcPr>
          <w:p>
            <w:pPr>
              <w:spacing w:after="0"/>
              <w:rPr>
                <w:sz w:val="20"/>
                <w:szCs w:val="20"/>
                <w:color w:val="auto"/>
              </w:rPr>
            </w:pPr>
            <w:r>
              <w:rPr>
                <w:rFonts w:ascii="Courier New" w:cs="Courier New" w:eastAsia="Courier New" w:hAnsi="Courier New"/>
                <w:sz w:val="13"/>
                <w:szCs w:val="13"/>
                <w:color w:val="auto"/>
              </w:rPr>
              <w:t>Total</w:t>
            </w:r>
          </w:p>
        </w:tc>
        <w:tc>
          <w:tcPr>
            <w:tcW w:w="13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$ 192,856</w:t>
            </w:r>
          </w:p>
        </w:tc>
        <w:tc>
          <w:tcPr>
            <w:tcW w:w="12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$ 180,151</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$ 132,129</w:t>
            </w:r>
          </w:p>
        </w:tc>
      </w:tr>
      <w:tr>
        <w:trPr>
          <w:trHeight w:val="154"/>
        </w:trPr>
        <w:tc>
          <w:tcPr>
            <w:tcW w:w="2080" w:type="dxa"/>
            <w:vAlign w:val="bottom"/>
          </w:tcPr>
          <w:p>
            <w:pPr>
              <w:spacing w:after="0"/>
              <w:rPr>
                <w:sz w:val="13"/>
                <w:szCs w:val="13"/>
                <w:color w:val="auto"/>
              </w:rPr>
            </w:pPr>
          </w:p>
        </w:tc>
        <w:tc>
          <w:tcPr>
            <w:tcW w:w="13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2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2080" w:type="dxa"/>
            <w:vAlign w:val="bottom"/>
          </w:tcPr>
          <w:p>
            <w:pPr>
              <w:spacing w:after="0"/>
              <w:rPr>
                <w:sz w:val="13"/>
                <w:szCs w:val="13"/>
                <w:color w:val="auto"/>
              </w:rPr>
            </w:pPr>
          </w:p>
        </w:tc>
        <w:tc>
          <w:tcPr>
            <w:tcW w:w="13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100%</w:t>
            </w:r>
          </w:p>
        </w:tc>
        <w:tc>
          <w:tcPr>
            <w:tcW w:w="12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100%</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100%</w:t>
            </w:r>
          </w:p>
        </w:tc>
      </w:tr>
      <w:tr>
        <w:trPr>
          <w:trHeight w:val="154"/>
        </w:trPr>
        <w:tc>
          <w:tcPr>
            <w:tcW w:w="2080" w:type="dxa"/>
            <w:vAlign w:val="bottom"/>
          </w:tcPr>
          <w:p>
            <w:pPr>
              <w:spacing w:after="0"/>
              <w:rPr>
                <w:sz w:val="13"/>
                <w:szCs w:val="13"/>
                <w:color w:val="auto"/>
              </w:rPr>
            </w:pPr>
          </w:p>
        </w:tc>
        <w:tc>
          <w:tcPr>
            <w:tcW w:w="13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2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bl>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Sales and Marketing</w:t>
      </w:r>
    </w:p>
    <w:p>
      <w:pPr>
        <w:spacing w:after="0" w:line="161" w:lineRule="exact"/>
        <w:rPr>
          <w:sz w:val="20"/>
          <w:szCs w:val="20"/>
          <w:color w:val="auto"/>
        </w:rPr>
      </w:pPr>
    </w:p>
    <w:p>
      <w:pPr>
        <w:ind w:right="3819" w:firstLine="802"/>
        <w:spacing w:after="0" w:line="251" w:lineRule="auto"/>
        <w:rPr>
          <w:sz w:val="20"/>
          <w:szCs w:val="20"/>
          <w:color w:val="auto"/>
        </w:rPr>
      </w:pPr>
      <w:r>
        <w:rPr>
          <w:rFonts w:ascii="Courier New" w:cs="Courier New" w:eastAsia="Courier New" w:hAnsi="Courier New"/>
          <w:sz w:val="13"/>
          <w:szCs w:val="13"/>
          <w:color w:val="auto"/>
        </w:rPr>
        <w:t>A primary emphasis of our marketing strategy is to expand key customer relationships by offering them the value of a single supply chain partner for a wide variety of components. As a result, we have progressed toward integrating our sales organization on a global basis across all of our product lines. Our sales organization includes seven direct sales and 12 customer service representatives. Due to the technical nature of many of our products, our engineers and manufacturing management personnel also provide technical sales support functions, while internal sales employees handle customer orders and other general sales support activities.</w:t>
      </w:r>
    </w:p>
    <w:p>
      <w:pPr>
        <w:spacing w:after="0" w:line="156" w:lineRule="exact"/>
        <w:rPr>
          <w:sz w:val="20"/>
          <w:szCs w:val="20"/>
          <w:color w:val="auto"/>
        </w:rPr>
      </w:pPr>
    </w:p>
    <w:p>
      <w:pPr>
        <w:ind w:right="3899" w:firstLine="722"/>
        <w:spacing w:after="0" w:line="251" w:lineRule="auto"/>
        <w:rPr>
          <w:sz w:val="20"/>
          <w:szCs w:val="20"/>
          <w:color w:val="auto"/>
        </w:rPr>
      </w:pPr>
      <w:r>
        <w:rPr>
          <w:rFonts w:ascii="Courier New" w:cs="Courier New" w:eastAsia="Courier New" w:hAnsi="Courier New"/>
          <w:sz w:val="13"/>
          <w:szCs w:val="13"/>
          <w:color w:val="auto"/>
        </w:rPr>
        <w:t>Our bearing component marketing strategy focuses on increasing our outsourcing relationships with global bearing manufacturers that maintain captive bearing component manufacturing operations. Our marketing strategy for our other precision plastic products is to offer custom manufactured, high quality, precision parts to niche markets with high value-added characteristics at competitive price levels. This strategy focuses on relationships with key customers that require the production of technically difficult parts, enabling us to take advantage of our strengths in custom product development, tool design, and precision molding processes.</w:t>
      </w:r>
    </w:p>
    <w:p>
      <w:pPr>
        <w:spacing w:after="0" w:line="156" w:lineRule="exact"/>
        <w:rPr>
          <w:sz w:val="20"/>
          <w:szCs w:val="20"/>
          <w:color w:val="auto"/>
        </w:rPr>
      </w:pPr>
    </w:p>
    <w:p>
      <w:pPr>
        <w:ind w:right="4059" w:firstLine="722"/>
        <w:spacing w:after="0" w:line="253" w:lineRule="auto"/>
        <w:rPr>
          <w:sz w:val="20"/>
          <w:szCs w:val="20"/>
          <w:color w:val="auto"/>
        </w:rPr>
      </w:pPr>
      <w:r>
        <w:rPr>
          <w:rFonts w:ascii="Courier New" w:cs="Courier New" w:eastAsia="Courier New" w:hAnsi="Courier New"/>
          <w:sz w:val="13"/>
          <w:szCs w:val="13"/>
          <w:color w:val="auto"/>
        </w:rPr>
        <w:t>As shown in the chart below, the addition of the retainer and seal product lines have further enhanced many of our key customer relationships, making us a more complete and integrated supplier of bearing component parts.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40" w:type="dxa"/>
            <w:vAlign w:val="bottom"/>
            <w:gridSpan w:val="2"/>
          </w:tcPr>
          <w:p>
            <w:pPr>
              <w:ind w:left="240"/>
              <w:spacing w:after="0"/>
              <w:rPr>
                <w:sz w:val="20"/>
                <w:szCs w:val="20"/>
                <w:color w:val="auto"/>
              </w:rPr>
            </w:pPr>
            <w:r>
              <w:rPr>
                <w:rFonts w:ascii="Courier New" w:cs="Courier New" w:eastAsia="Courier New" w:hAnsi="Courier New"/>
                <w:sz w:val="13"/>
                <w:szCs w:val="13"/>
                <w:b w:val="1"/>
                <w:bCs w:val="1"/>
                <w:color w:val="auto"/>
              </w:rPr>
              <w:t>Products</w:t>
            </w:r>
          </w:p>
        </w:tc>
      </w:tr>
      <w:tr>
        <w:trPr>
          <w:trHeight w:val="154"/>
        </w:trPr>
        <w:tc>
          <w:tcPr>
            <w:tcW w:w="920" w:type="dxa"/>
            <w:vAlign w:val="bottom"/>
          </w:tcPr>
          <w:p>
            <w:pPr>
              <w:spacing w:after="0"/>
              <w:rPr>
                <w:sz w:val="20"/>
                <w:szCs w:val="20"/>
                <w:color w:val="auto"/>
              </w:rPr>
            </w:pPr>
            <w:r>
              <w:rPr>
                <w:rFonts w:ascii="Courier New" w:cs="Courier New" w:eastAsia="Courier New" w:hAnsi="Courier New"/>
                <w:sz w:val="13"/>
                <w:szCs w:val="13"/>
                <w:b w:val="1"/>
                <w:bCs w:val="1"/>
                <w:color w:val="auto"/>
              </w:rPr>
              <w:t>Name</w:t>
            </w:r>
          </w:p>
        </w:tc>
        <w:tc>
          <w:tcPr>
            <w:tcW w:w="880" w:type="dxa"/>
            <w:vAlign w:val="bottom"/>
          </w:tcPr>
          <w:p>
            <w:pPr>
              <w:ind w:left="120"/>
              <w:spacing w:after="0"/>
              <w:rPr>
                <w:sz w:val="20"/>
                <w:szCs w:val="20"/>
                <w:color w:val="auto"/>
              </w:rPr>
            </w:pPr>
            <w:r>
              <w:rPr>
                <w:rFonts w:ascii="Courier New" w:cs="Courier New" w:eastAsia="Courier New" w:hAnsi="Courier New"/>
                <w:sz w:val="13"/>
                <w:szCs w:val="13"/>
                <w:b w:val="1"/>
                <w:bCs w:val="1"/>
                <w:color w:val="auto"/>
              </w:rPr>
              <w:t>Country</w:t>
            </w:r>
          </w:p>
        </w:tc>
        <w:tc>
          <w:tcPr>
            <w:tcW w:w="2500" w:type="dxa"/>
            <w:vAlign w:val="bottom"/>
          </w:tcPr>
          <w:p>
            <w:pPr>
              <w:ind w:left="40"/>
              <w:spacing w:after="0"/>
              <w:rPr>
                <w:sz w:val="20"/>
                <w:szCs w:val="20"/>
                <w:color w:val="auto"/>
              </w:rPr>
            </w:pPr>
            <w:r>
              <w:rPr>
                <w:rFonts w:ascii="Courier New" w:cs="Courier New" w:eastAsia="Courier New" w:hAnsi="Courier New"/>
                <w:sz w:val="13"/>
                <w:szCs w:val="13"/>
                <w:b w:val="1"/>
                <w:bCs w:val="1"/>
                <w:color w:val="auto"/>
              </w:rPr>
              <w:t>Description</w:t>
            </w:r>
          </w:p>
        </w:tc>
        <w:tc>
          <w:tcPr>
            <w:tcW w:w="1480" w:type="dxa"/>
            <w:vAlign w:val="bottom"/>
          </w:tcPr>
          <w:p>
            <w:pPr>
              <w:jc w:val="center"/>
              <w:spacing w:after="0"/>
              <w:rPr>
                <w:sz w:val="20"/>
                <w:szCs w:val="20"/>
                <w:color w:val="auto"/>
              </w:rPr>
            </w:pPr>
            <w:r>
              <w:rPr>
                <w:rFonts w:ascii="Courier New" w:cs="Courier New" w:eastAsia="Courier New" w:hAnsi="Courier New"/>
                <w:sz w:val="13"/>
                <w:szCs w:val="13"/>
                <w:b w:val="1"/>
                <w:bCs w:val="1"/>
                <w:color w:val="auto"/>
              </w:rPr>
              <w:t>Balls &amp; Rollers</w:t>
            </w:r>
          </w:p>
        </w:tc>
        <w:tc>
          <w:tcPr>
            <w:tcW w:w="560" w:type="dxa"/>
            <w:vAlign w:val="bottom"/>
          </w:tcPr>
          <w:p>
            <w:pPr>
              <w:spacing w:after="0"/>
              <w:rPr>
                <w:sz w:val="20"/>
                <w:szCs w:val="20"/>
                <w:color w:val="auto"/>
              </w:rPr>
            </w:pPr>
            <w:r>
              <w:rPr>
                <w:rFonts w:ascii="Courier New" w:cs="Courier New" w:eastAsia="Courier New" w:hAnsi="Courier New"/>
                <w:sz w:val="13"/>
                <w:szCs w:val="13"/>
                <w:b w:val="1"/>
                <w:bCs w:val="1"/>
                <w:color w:val="auto"/>
              </w:rPr>
              <w:t>Seals</w:t>
            </w:r>
          </w:p>
        </w:tc>
        <w:tc>
          <w:tcPr>
            <w:tcW w:w="880" w:type="dxa"/>
            <w:vAlign w:val="bottom"/>
          </w:tcPr>
          <w:p>
            <w:pPr>
              <w:jc w:val="center"/>
              <w:ind w:right="93"/>
              <w:spacing w:after="0"/>
              <w:rPr>
                <w:sz w:val="20"/>
                <w:szCs w:val="20"/>
                <w:color w:val="auto"/>
              </w:rPr>
            </w:pPr>
            <w:r>
              <w:rPr>
                <w:rFonts w:ascii="Courier New" w:cs="Courier New" w:eastAsia="Courier New" w:hAnsi="Courier New"/>
                <w:sz w:val="13"/>
                <w:szCs w:val="13"/>
                <w:b w:val="1"/>
                <w:bCs w:val="1"/>
                <w:color w:val="auto"/>
              </w:rPr>
              <w:t>Retainers</w:t>
            </w:r>
          </w:p>
        </w:tc>
      </w:tr>
      <w:tr>
        <w:trPr>
          <w:trHeight w:val="154"/>
        </w:trPr>
        <w:tc>
          <w:tcPr>
            <w:tcW w:w="920" w:type="dxa"/>
            <w:vAlign w:val="bottom"/>
          </w:tcPr>
          <w:p>
            <w:pPr>
              <w:spacing w:after="0"/>
              <w:rPr>
                <w:sz w:val="20"/>
                <w:szCs w:val="20"/>
                <w:color w:val="auto"/>
              </w:rPr>
            </w:pPr>
            <w:r>
              <w:rPr>
                <w:rFonts w:ascii="Courier New" w:cs="Courier New" w:eastAsia="Courier New" w:hAnsi="Courier New"/>
                <w:sz w:val="13"/>
                <w:szCs w:val="13"/>
                <w:b w:val="1"/>
                <w:bCs w:val="1"/>
                <w:color w:val="auto"/>
              </w:rPr>
              <w:t>- ----</w:t>
            </w:r>
          </w:p>
        </w:tc>
        <w:tc>
          <w:tcPr>
            <w:tcW w:w="880" w:type="dxa"/>
            <w:vAlign w:val="bottom"/>
          </w:tcPr>
          <w:p>
            <w:pPr>
              <w:ind w:left="280"/>
              <w:spacing w:after="0"/>
              <w:rPr>
                <w:sz w:val="20"/>
                <w:szCs w:val="20"/>
                <w:color w:val="auto"/>
              </w:rPr>
            </w:pPr>
            <w:r>
              <w:rPr>
                <w:rFonts w:ascii="Courier New" w:cs="Courier New" w:eastAsia="Courier New" w:hAnsi="Courier New"/>
                <w:sz w:val="13"/>
                <w:szCs w:val="13"/>
                <w:b w:val="1"/>
                <w:bCs w:val="1"/>
                <w:color w:val="auto"/>
              </w:rPr>
              <w:t>-------</w:t>
            </w:r>
          </w:p>
        </w:tc>
        <w:tc>
          <w:tcPr>
            <w:tcW w:w="2500" w:type="dxa"/>
            <w:vAlign w:val="bottom"/>
          </w:tcPr>
          <w:p>
            <w:pPr>
              <w:ind w:left="200"/>
              <w:spacing w:after="0"/>
              <w:rPr>
                <w:sz w:val="20"/>
                <w:szCs w:val="20"/>
                <w:color w:val="auto"/>
              </w:rPr>
            </w:pPr>
            <w:r>
              <w:rPr>
                <w:rFonts w:ascii="Courier New" w:cs="Courier New" w:eastAsia="Courier New" w:hAnsi="Courier New"/>
                <w:sz w:val="13"/>
                <w:szCs w:val="13"/>
                <w:b w:val="1"/>
                <w:bCs w:val="1"/>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w:t>
            </w:r>
          </w:p>
        </w:tc>
        <w:tc>
          <w:tcPr>
            <w:tcW w:w="560" w:type="dxa"/>
            <w:vAlign w:val="bottom"/>
          </w:tcPr>
          <w:p>
            <w:pPr>
              <w:ind w:left="160"/>
              <w:spacing w:after="0"/>
              <w:rPr>
                <w:sz w:val="20"/>
                <w:szCs w:val="20"/>
                <w:color w:val="auto"/>
              </w:rPr>
            </w:pPr>
            <w:r>
              <w:rPr>
                <w:rFonts w:ascii="Courier New" w:cs="Courier New" w:eastAsia="Courier New" w:hAnsi="Courier New"/>
                <w:sz w:val="13"/>
                <w:szCs w:val="13"/>
                <w:b w:val="1"/>
                <w:bCs w:val="1"/>
                <w:color w:val="auto"/>
                <w:w w:val="97"/>
              </w:rPr>
              <w:t>-----</w:t>
            </w:r>
          </w:p>
        </w:tc>
        <w:tc>
          <w:tcPr>
            <w:tcW w:w="88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w:t>
            </w:r>
          </w:p>
        </w:tc>
      </w:tr>
      <w:tr>
        <w:trPr>
          <w:trHeight w:val="154"/>
        </w:trPr>
        <w:tc>
          <w:tcPr>
            <w:tcW w:w="920" w:type="dxa"/>
            <w:vAlign w:val="bottom"/>
          </w:tcPr>
          <w:p>
            <w:pPr>
              <w:spacing w:after="0"/>
              <w:rPr>
                <w:sz w:val="20"/>
                <w:szCs w:val="20"/>
                <w:color w:val="auto"/>
              </w:rPr>
            </w:pPr>
            <w:r>
              <w:rPr>
                <w:rFonts w:ascii="Courier New" w:cs="Courier New" w:eastAsia="Courier New" w:hAnsi="Courier New"/>
                <w:sz w:val="13"/>
                <w:szCs w:val="13"/>
                <w:color w:val="auto"/>
              </w:rPr>
              <w:t>SKF</w:t>
            </w:r>
          </w:p>
        </w:tc>
        <w:tc>
          <w:tcPr>
            <w:tcW w:w="880" w:type="dxa"/>
            <w:vAlign w:val="bottom"/>
          </w:tcPr>
          <w:p>
            <w:pPr>
              <w:ind w:left="120"/>
              <w:spacing w:after="0"/>
              <w:rPr>
                <w:sz w:val="20"/>
                <w:szCs w:val="20"/>
                <w:color w:val="auto"/>
              </w:rPr>
            </w:pPr>
            <w:r>
              <w:rPr>
                <w:rFonts w:ascii="Courier New" w:cs="Courier New" w:eastAsia="Courier New" w:hAnsi="Courier New"/>
                <w:sz w:val="13"/>
                <w:szCs w:val="13"/>
                <w:color w:val="auto"/>
              </w:rPr>
              <w:t>Sweden</w:t>
            </w:r>
          </w:p>
        </w:tc>
        <w:tc>
          <w:tcPr>
            <w:tcW w:w="2500" w:type="dxa"/>
            <w:vAlign w:val="bottom"/>
          </w:tcPr>
          <w:p>
            <w:pPr>
              <w:ind w:left="40"/>
              <w:spacing w:after="0"/>
              <w:rPr>
                <w:sz w:val="20"/>
                <w:szCs w:val="20"/>
                <w:color w:val="auto"/>
              </w:rPr>
            </w:pPr>
            <w:r>
              <w:rPr>
                <w:rFonts w:ascii="Courier New" w:cs="Courier New" w:eastAsia="Courier New" w:hAnsi="Courier New"/>
                <w:sz w:val="13"/>
                <w:szCs w:val="13"/>
                <w:color w:val="auto"/>
              </w:rPr>
              <w:t>Global bearing manufacturer</w:t>
            </w:r>
          </w:p>
        </w:tc>
        <w:tc>
          <w:tcPr>
            <w:tcW w:w="1480" w:type="dxa"/>
            <w:vAlign w:val="bottom"/>
          </w:tcPr>
          <w:p>
            <w:pPr>
              <w:jc w:val="center"/>
              <w:spacing w:after="0"/>
              <w:rPr>
                <w:sz w:val="20"/>
                <w:szCs w:val="20"/>
                <w:color w:val="auto"/>
              </w:rPr>
            </w:pPr>
            <w:r>
              <w:rPr>
                <w:rFonts w:ascii="Courier New" w:cs="Courier New" w:eastAsia="Courier New" w:hAnsi="Courier New"/>
                <w:sz w:val="13"/>
                <w:szCs w:val="13"/>
                <w:color w:val="auto"/>
              </w:rPr>
              <w:t>X</w:t>
            </w:r>
          </w:p>
        </w:tc>
        <w:tc>
          <w:tcPr>
            <w:tcW w:w="560" w:type="dxa"/>
            <w:vAlign w:val="bottom"/>
          </w:tcPr>
          <w:p>
            <w:pPr>
              <w:ind w:left="160"/>
              <w:spacing w:after="0"/>
              <w:rPr>
                <w:sz w:val="20"/>
                <w:szCs w:val="20"/>
                <w:color w:val="auto"/>
              </w:rPr>
            </w:pPr>
            <w:r>
              <w:rPr>
                <w:rFonts w:ascii="Courier New" w:cs="Courier New" w:eastAsia="Courier New" w:hAnsi="Courier New"/>
                <w:sz w:val="13"/>
                <w:szCs w:val="13"/>
                <w:color w:val="auto"/>
              </w:rPr>
              <w:t>X</w:t>
            </w:r>
          </w:p>
        </w:tc>
        <w:tc>
          <w:tcPr>
            <w:tcW w:w="880" w:type="dxa"/>
            <w:vAlign w:val="bottom"/>
          </w:tcPr>
          <w:p>
            <w:pPr>
              <w:jc w:val="center"/>
              <w:ind w:right="93"/>
              <w:spacing w:after="0"/>
              <w:rPr>
                <w:sz w:val="20"/>
                <w:szCs w:val="20"/>
                <w:color w:val="auto"/>
              </w:rPr>
            </w:pPr>
            <w:r>
              <w:rPr>
                <w:rFonts w:ascii="Courier New" w:cs="Courier New" w:eastAsia="Courier New" w:hAnsi="Courier New"/>
                <w:sz w:val="13"/>
                <w:szCs w:val="13"/>
                <w:color w:val="auto"/>
              </w:rPr>
              <w:t>X</w:t>
            </w:r>
          </w:p>
        </w:tc>
      </w:tr>
      <w:tr>
        <w:trPr>
          <w:trHeight w:val="154"/>
        </w:trPr>
        <w:tc>
          <w:tcPr>
            <w:tcW w:w="920" w:type="dxa"/>
            <w:vAlign w:val="bottom"/>
          </w:tcPr>
          <w:p>
            <w:pPr>
              <w:spacing w:after="0"/>
              <w:rPr>
                <w:sz w:val="20"/>
                <w:szCs w:val="20"/>
                <w:color w:val="auto"/>
              </w:rPr>
            </w:pPr>
            <w:r>
              <w:rPr>
                <w:rFonts w:ascii="Courier New" w:cs="Courier New" w:eastAsia="Courier New" w:hAnsi="Courier New"/>
                <w:sz w:val="13"/>
                <w:szCs w:val="13"/>
                <w:color w:val="auto"/>
              </w:rPr>
              <w:t>INA/FAG</w:t>
            </w:r>
          </w:p>
        </w:tc>
        <w:tc>
          <w:tcPr>
            <w:tcW w:w="880" w:type="dxa"/>
            <w:vAlign w:val="bottom"/>
          </w:tcPr>
          <w:p>
            <w:pPr>
              <w:ind w:left="120"/>
              <w:spacing w:after="0"/>
              <w:rPr>
                <w:sz w:val="20"/>
                <w:szCs w:val="20"/>
                <w:color w:val="auto"/>
              </w:rPr>
            </w:pPr>
            <w:r>
              <w:rPr>
                <w:rFonts w:ascii="Courier New" w:cs="Courier New" w:eastAsia="Courier New" w:hAnsi="Courier New"/>
                <w:sz w:val="13"/>
                <w:szCs w:val="13"/>
                <w:color w:val="auto"/>
              </w:rPr>
              <w:t>Germany</w:t>
            </w:r>
          </w:p>
        </w:tc>
        <w:tc>
          <w:tcPr>
            <w:tcW w:w="2500" w:type="dxa"/>
            <w:vAlign w:val="bottom"/>
          </w:tcPr>
          <w:p>
            <w:pPr>
              <w:ind w:left="40"/>
              <w:spacing w:after="0"/>
              <w:rPr>
                <w:sz w:val="20"/>
                <w:szCs w:val="20"/>
                <w:color w:val="auto"/>
              </w:rPr>
            </w:pPr>
            <w:r>
              <w:rPr>
                <w:rFonts w:ascii="Courier New" w:cs="Courier New" w:eastAsia="Courier New" w:hAnsi="Courier New"/>
                <w:sz w:val="13"/>
                <w:szCs w:val="13"/>
                <w:color w:val="auto"/>
              </w:rPr>
              <w:t>Global bearing manufacturer</w:t>
            </w:r>
          </w:p>
        </w:tc>
        <w:tc>
          <w:tcPr>
            <w:tcW w:w="1480" w:type="dxa"/>
            <w:vAlign w:val="bottom"/>
          </w:tcPr>
          <w:p>
            <w:pPr>
              <w:jc w:val="center"/>
              <w:spacing w:after="0"/>
              <w:rPr>
                <w:sz w:val="20"/>
                <w:szCs w:val="20"/>
                <w:color w:val="auto"/>
              </w:rPr>
            </w:pPr>
            <w:r>
              <w:rPr>
                <w:rFonts w:ascii="Courier New" w:cs="Courier New" w:eastAsia="Courier New" w:hAnsi="Courier New"/>
                <w:sz w:val="13"/>
                <w:szCs w:val="13"/>
                <w:color w:val="auto"/>
              </w:rPr>
              <w:t>X</w:t>
            </w:r>
          </w:p>
        </w:tc>
        <w:tc>
          <w:tcPr>
            <w:tcW w:w="560" w:type="dxa"/>
            <w:vAlign w:val="bottom"/>
          </w:tcPr>
          <w:p>
            <w:pPr>
              <w:ind w:left="160"/>
              <w:spacing w:after="0"/>
              <w:rPr>
                <w:sz w:val="20"/>
                <w:szCs w:val="20"/>
                <w:color w:val="auto"/>
              </w:rPr>
            </w:pPr>
            <w:r>
              <w:rPr>
                <w:rFonts w:ascii="Courier New" w:cs="Courier New" w:eastAsia="Courier New" w:hAnsi="Courier New"/>
                <w:sz w:val="13"/>
                <w:szCs w:val="13"/>
                <w:color w:val="auto"/>
              </w:rPr>
              <w:t>X</w:t>
            </w:r>
          </w:p>
        </w:tc>
        <w:tc>
          <w:tcPr>
            <w:tcW w:w="880" w:type="dxa"/>
            <w:vAlign w:val="bottom"/>
          </w:tcPr>
          <w:p>
            <w:pPr>
              <w:jc w:val="center"/>
              <w:ind w:right="93"/>
              <w:spacing w:after="0"/>
              <w:rPr>
                <w:sz w:val="20"/>
                <w:szCs w:val="20"/>
                <w:color w:val="auto"/>
              </w:rPr>
            </w:pPr>
            <w:r>
              <w:rPr>
                <w:rFonts w:ascii="Courier New" w:cs="Courier New" w:eastAsia="Courier New" w:hAnsi="Courier New"/>
                <w:sz w:val="13"/>
                <w:szCs w:val="13"/>
                <w:color w:val="auto"/>
              </w:rPr>
              <w:t>X</w:t>
            </w:r>
          </w:p>
        </w:tc>
      </w:tr>
      <w:tr>
        <w:trPr>
          <w:trHeight w:val="154"/>
        </w:trPr>
        <w:tc>
          <w:tcPr>
            <w:tcW w:w="920" w:type="dxa"/>
            <w:vAlign w:val="bottom"/>
          </w:tcPr>
          <w:p>
            <w:pPr>
              <w:spacing w:after="0"/>
              <w:rPr>
                <w:sz w:val="20"/>
                <w:szCs w:val="20"/>
                <w:color w:val="auto"/>
              </w:rPr>
            </w:pPr>
            <w:r>
              <w:rPr>
                <w:rFonts w:ascii="Courier New" w:cs="Courier New" w:eastAsia="Courier New" w:hAnsi="Courier New"/>
                <w:sz w:val="13"/>
                <w:szCs w:val="13"/>
                <w:color w:val="auto"/>
              </w:rPr>
              <w:t>Torrington</w:t>
            </w:r>
          </w:p>
        </w:tc>
        <w:tc>
          <w:tcPr>
            <w:tcW w:w="880" w:type="dxa"/>
            <w:vAlign w:val="bottom"/>
          </w:tcPr>
          <w:p>
            <w:pPr>
              <w:ind w:left="120"/>
              <w:spacing w:after="0"/>
              <w:rPr>
                <w:sz w:val="20"/>
                <w:szCs w:val="20"/>
                <w:color w:val="auto"/>
              </w:rPr>
            </w:pPr>
            <w:r>
              <w:rPr>
                <w:rFonts w:ascii="Courier New" w:cs="Courier New" w:eastAsia="Courier New" w:hAnsi="Courier New"/>
                <w:sz w:val="13"/>
                <w:szCs w:val="13"/>
                <w:color w:val="auto"/>
              </w:rPr>
              <w:t>USA</w:t>
            </w:r>
          </w:p>
        </w:tc>
        <w:tc>
          <w:tcPr>
            <w:tcW w:w="2500" w:type="dxa"/>
            <w:vAlign w:val="bottom"/>
          </w:tcPr>
          <w:p>
            <w:pPr>
              <w:ind w:left="40"/>
              <w:spacing w:after="0"/>
              <w:rPr>
                <w:sz w:val="20"/>
                <w:szCs w:val="20"/>
                <w:color w:val="auto"/>
              </w:rPr>
            </w:pPr>
            <w:r>
              <w:rPr>
                <w:rFonts w:ascii="Courier New" w:cs="Courier New" w:eastAsia="Courier New" w:hAnsi="Courier New"/>
                <w:sz w:val="13"/>
                <w:szCs w:val="13"/>
                <w:color w:val="auto"/>
              </w:rPr>
              <w:t>Global bearing manufacturer</w:t>
            </w:r>
          </w:p>
        </w:tc>
        <w:tc>
          <w:tcPr>
            <w:tcW w:w="1480" w:type="dxa"/>
            <w:vAlign w:val="bottom"/>
          </w:tcPr>
          <w:p>
            <w:pPr>
              <w:jc w:val="center"/>
              <w:spacing w:after="0"/>
              <w:rPr>
                <w:sz w:val="20"/>
                <w:szCs w:val="20"/>
                <w:color w:val="auto"/>
              </w:rPr>
            </w:pPr>
            <w:r>
              <w:rPr>
                <w:rFonts w:ascii="Courier New" w:cs="Courier New" w:eastAsia="Courier New" w:hAnsi="Courier New"/>
                <w:sz w:val="13"/>
                <w:szCs w:val="13"/>
                <w:color w:val="auto"/>
              </w:rPr>
              <w:t>X</w:t>
            </w:r>
          </w:p>
        </w:tc>
        <w:tc>
          <w:tcPr>
            <w:tcW w:w="560" w:type="dxa"/>
            <w:vAlign w:val="bottom"/>
          </w:tcPr>
          <w:p>
            <w:pPr>
              <w:ind w:left="160"/>
              <w:spacing w:after="0"/>
              <w:rPr>
                <w:sz w:val="20"/>
                <w:szCs w:val="20"/>
                <w:color w:val="auto"/>
              </w:rPr>
            </w:pPr>
            <w:r>
              <w:rPr>
                <w:rFonts w:ascii="Courier New" w:cs="Courier New" w:eastAsia="Courier New" w:hAnsi="Courier New"/>
                <w:sz w:val="13"/>
                <w:szCs w:val="13"/>
                <w:color w:val="auto"/>
              </w:rPr>
              <w:t>X</w:t>
            </w:r>
          </w:p>
        </w:tc>
        <w:tc>
          <w:tcPr>
            <w:tcW w:w="880" w:type="dxa"/>
            <w:vAlign w:val="bottom"/>
          </w:tcPr>
          <w:p>
            <w:pPr>
              <w:jc w:val="center"/>
              <w:ind w:right="93"/>
              <w:spacing w:after="0"/>
              <w:rPr>
                <w:sz w:val="20"/>
                <w:szCs w:val="20"/>
                <w:color w:val="auto"/>
              </w:rPr>
            </w:pPr>
            <w:r>
              <w:rPr>
                <w:rFonts w:ascii="Courier New" w:cs="Courier New" w:eastAsia="Courier New" w:hAnsi="Courier New"/>
                <w:sz w:val="13"/>
                <w:szCs w:val="13"/>
                <w:color w:val="auto"/>
              </w:rPr>
              <w:t>X</w:t>
            </w:r>
          </w:p>
        </w:tc>
      </w:tr>
      <w:tr>
        <w:trPr>
          <w:trHeight w:val="154"/>
        </w:trPr>
        <w:tc>
          <w:tcPr>
            <w:tcW w:w="920" w:type="dxa"/>
            <w:vAlign w:val="bottom"/>
          </w:tcPr>
          <w:p>
            <w:pPr>
              <w:spacing w:after="0"/>
              <w:rPr>
                <w:sz w:val="20"/>
                <w:szCs w:val="20"/>
                <w:color w:val="auto"/>
              </w:rPr>
            </w:pPr>
            <w:r>
              <w:rPr>
                <w:rFonts w:ascii="Courier New" w:cs="Courier New" w:eastAsia="Courier New" w:hAnsi="Courier New"/>
                <w:sz w:val="13"/>
                <w:szCs w:val="13"/>
                <w:color w:val="auto"/>
              </w:rPr>
              <w:t>NTN</w:t>
            </w:r>
          </w:p>
        </w:tc>
        <w:tc>
          <w:tcPr>
            <w:tcW w:w="880" w:type="dxa"/>
            <w:vAlign w:val="bottom"/>
          </w:tcPr>
          <w:p>
            <w:pPr>
              <w:ind w:left="120"/>
              <w:spacing w:after="0"/>
              <w:rPr>
                <w:sz w:val="20"/>
                <w:szCs w:val="20"/>
                <w:color w:val="auto"/>
              </w:rPr>
            </w:pPr>
            <w:r>
              <w:rPr>
                <w:rFonts w:ascii="Courier New" w:cs="Courier New" w:eastAsia="Courier New" w:hAnsi="Courier New"/>
                <w:sz w:val="13"/>
                <w:szCs w:val="13"/>
                <w:color w:val="auto"/>
              </w:rPr>
              <w:t>Japan</w:t>
            </w:r>
          </w:p>
        </w:tc>
        <w:tc>
          <w:tcPr>
            <w:tcW w:w="2500" w:type="dxa"/>
            <w:vAlign w:val="bottom"/>
          </w:tcPr>
          <w:p>
            <w:pPr>
              <w:ind w:left="40"/>
              <w:spacing w:after="0"/>
              <w:rPr>
                <w:sz w:val="20"/>
                <w:szCs w:val="20"/>
                <w:color w:val="auto"/>
              </w:rPr>
            </w:pPr>
            <w:r>
              <w:rPr>
                <w:rFonts w:ascii="Courier New" w:cs="Courier New" w:eastAsia="Courier New" w:hAnsi="Courier New"/>
                <w:sz w:val="13"/>
                <w:szCs w:val="13"/>
                <w:color w:val="auto"/>
              </w:rPr>
              <w:t>Global bearing manufacturer</w:t>
            </w:r>
          </w:p>
        </w:tc>
        <w:tc>
          <w:tcPr>
            <w:tcW w:w="1480" w:type="dxa"/>
            <w:vAlign w:val="bottom"/>
          </w:tcPr>
          <w:p>
            <w:pPr>
              <w:jc w:val="center"/>
              <w:spacing w:after="0"/>
              <w:rPr>
                <w:sz w:val="20"/>
                <w:szCs w:val="20"/>
                <w:color w:val="auto"/>
              </w:rPr>
            </w:pPr>
            <w:r>
              <w:rPr>
                <w:rFonts w:ascii="Courier New" w:cs="Courier New" w:eastAsia="Courier New" w:hAnsi="Courier New"/>
                <w:sz w:val="13"/>
                <w:szCs w:val="13"/>
                <w:color w:val="auto"/>
              </w:rPr>
              <w:t>X</w:t>
            </w:r>
          </w:p>
        </w:tc>
        <w:tc>
          <w:tcPr>
            <w:tcW w:w="560" w:type="dxa"/>
            <w:vAlign w:val="bottom"/>
          </w:tcPr>
          <w:p>
            <w:pPr>
              <w:ind w:left="160"/>
              <w:spacing w:after="0"/>
              <w:rPr>
                <w:sz w:val="20"/>
                <w:szCs w:val="20"/>
                <w:color w:val="auto"/>
              </w:rPr>
            </w:pPr>
            <w:r>
              <w:rPr>
                <w:rFonts w:ascii="Courier New" w:cs="Courier New" w:eastAsia="Courier New" w:hAnsi="Courier New"/>
                <w:sz w:val="13"/>
                <w:szCs w:val="13"/>
                <w:color w:val="auto"/>
              </w:rPr>
              <w:t>X</w:t>
            </w:r>
          </w:p>
        </w:tc>
        <w:tc>
          <w:tcPr>
            <w:tcW w:w="880" w:type="dxa"/>
            <w:vAlign w:val="bottom"/>
          </w:tcPr>
          <w:p>
            <w:pPr>
              <w:jc w:val="center"/>
              <w:ind w:right="93"/>
              <w:spacing w:after="0"/>
              <w:rPr>
                <w:sz w:val="20"/>
                <w:szCs w:val="20"/>
                <w:color w:val="auto"/>
              </w:rPr>
            </w:pPr>
            <w:r>
              <w:rPr>
                <w:rFonts w:ascii="Courier New" w:cs="Courier New" w:eastAsia="Courier New" w:hAnsi="Courier New"/>
                <w:sz w:val="13"/>
                <w:szCs w:val="13"/>
                <w:color w:val="auto"/>
              </w:rPr>
              <w:t>X</w:t>
            </w:r>
          </w:p>
        </w:tc>
      </w:tr>
      <w:tr>
        <w:trPr>
          <w:trHeight w:val="154"/>
        </w:trPr>
        <w:tc>
          <w:tcPr>
            <w:tcW w:w="920" w:type="dxa"/>
            <w:vAlign w:val="bottom"/>
          </w:tcPr>
          <w:p>
            <w:pPr>
              <w:spacing w:after="0"/>
              <w:rPr>
                <w:sz w:val="20"/>
                <w:szCs w:val="20"/>
                <w:color w:val="auto"/>
              </w:rPr>
            </w:pPr>
            <w:r>
              <w:rPr>
                <w:rFonts w:ascii="Courier New" w:cs="Courier New" w:eastAsia="Courier New" w:hAnsi="Courier New"/>
                <w:sz w:val="13"/>
                <w:szCs w:val="13"/>
                <w:color w:val="auto"/>
              </w:rPr>
              <w:t>SNR</w:t>
            </w:r>
          </w:p>
        </w:tc>
        <w:tc>
          <w:tcPr>
            <w:tcW w:w="880" w:type="dxa"/>
            <w:vAlign w:val="bottom"/>
          </w:tcPr>
          <w:p>
            <w:pPr>
              <w:ind w:left="120"/>
              <w:spacing w:after="0"/>
              <w:rPr>
                <w:sz w:val="20"/>
                <w:szCs w:val="20"/>
                <w:color w:val="auto"/>
              </w:rPr>
            </w:pPr>
            <w:r>
              <w:rPr>
                <w:rFonts w:ascii="Courier New" w:cs="Courier New" w:eastAsia="Courier New" w:hAnsi="Courier New"/>
                <w:sz w:val="13"/>
                <w:szCs w:val="13"/>
                <w:color w:val="auto"/>
              </w:rPr>
              <w:t>France</w:t>
            </w:r>
          </w:p>
        </w:tc>
        <w:tc>
          <w:tcPr>
            <w:tcW w:w="2500" w:type="dxa"/>
            <w:vAlign w:val="bottom"/>
          </w:tcPr>
          <w:p>
            <w:pPr>
              <w:ind w:left="40"/>
              <w:spacing w:after="0"/>
              <w:rPr>
                <w:sz w:val="20"/>
                <w:szCs w:val="20"/>
                <w:color w:val="auto"/>
              </w:rPr>
            </w:pPr>
            <w:r>
              <w:rPr>
                <w:rFonts w:ascii="Courier New" w:cs="Courier New" w:eastAsia="Courier New" w:hAnsi="Courier New"/>
                <w:sz w:val="13"/>
                <w:szCs w:val="13"/>
                <w:color w:val="auto"/>
              </w:rPr>
              <w:t>Global bearing manufacturer</w:t>
            </w:r>
          </w:p>
        </w:tc>
        <w:tc>
          <w:tcPr>
            <w:tcW w:w="1480" w:type="dxa"/>
            <w:vAlign w:val="bottom"/>
          </w:tcPr>
          <w:p>
            <w:pPr>
              <w:jc w:val="center"/>
              <w:spacing w:after="0"/>
              <w:rPr>
                <w:sz w:val="20"/>
                <w:szCs w:val="20"/>
                <w:color w:val="auto"/>
              </w:rPr>
            </w:pPr>
            <w:r>
              <w:rPr>
                <w:rFonts w:ascii="Courier New" w:cs="Courier New" w:eastAsia="Courier New" w:hAnsi="Courier New"/>
                <w:sz w:val="13"/>
                <w:szCs w:val="13"/>
                <w:color w:val="auto"/>
              </w:rPr>
              <w:t>X</w:t>
            </w: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4"/>
        </w:trPr>
        <w:tc>
          <w:tcPr>
            <w:tcW w:w="920" w:type="dxa"/>
            <w:vAlign w:val="bottom"/>
          </w:tcPr>
          <w:p>
            <w:pPr>
              <w:spacing w:after="0"/>
              <w:rPr>
                <w:sz w:val="20"/>
                <w:szCs w:val="20"/>
                <w:color w:val="auto"/>
              </w:rPr>
            </w:pPr>
            <w:r>
              <w:rPr>
                <w:rFonts w:ascii="Courier New" w:cs="Courier New" w:eastAsia="Courier New" w:hAnsi="Courier New"/>
                <w:sz w:val="13"/>
                <w:szCs w:val="13"/>
                <w:color w:val="auto"/>
              </w:rPr>
              <w:t>Timken</w:t>
            </w:r>
          </w:p>
        </w:tc>
        <w:tc>
          <w:tcPr>
            <w:tcW w:w="880" w:type="dxa"/>
            <w:vAlign w:val="bottom"/>
          </w:tcPr>
          <w:p>
            <w:pPr>
              <w:ind w:left="120"/>
              <w:spacing w:after="0"/>
              <w:rPr>
                <w:sz w:val="20"/>
                <w:szCs w:val="20"/>
                <w:color w:val="auto"/>
              </w:rPr>
            </w:pPr>
            <w:r>
              <w:rPr>
                <w:rFonts w:ascii="Courier New" w:cs="Courier New" w:eastAsia="Courier New" w:hAnsi="Courier New"/>
                <w:sz w:val="13"/>
                <w:szCs w:val="13"/>
                <w:color w:val="auto"/>
              </w:rPr>
              <w:t>USA</w:t>
            </w:r>
          </w:p>
        </w:tc>
        <w:tc>
          <w:tcPr>
            <w:tcW w:w="2500" w:type="dxa"/>
            <w:vAlign w:val="bottom"/>
          </w:tcPr>
          <w:p>
            <w:pPr>
              <w:ind w:left="40"/>
              <w:spacing w:after="0"/>
              <w:rPr>
                <w:sz w:val="20"/>
                <w:szCs w:val="20"/>
                <w:color w:val="auto"/>
              </w:rPr>
            </w:pPr>
            <w:r>
              <w:rPr>
                <w:rFonts w:ascii="Courier New" w:cs="Courier New" w:eastAsia="Courier New" w:hAnsi="Courier New"/>
                <w:sz w:val="13"/>
                <w:szCs w:val="13"/>
                <w:color w:val="auto"/>
              </w:rPr>
              <w:t>Global bearing manufacturer</w:t>
            </w:r>
          </w:p>
        </w:tc>
        <w:tc>
          <w:tcPr>
            <w:tcW w:w="148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Courier New" w:cs="Courier New" w:eastAsia="Courier New" w:hAnsi="Courier New"/>
                <w:sz w:val="13"/>
                <w:szCs w:val="13"/>
                <w:color w:val="auto"/>
              </w:rPr>
              <w:t>X</w:t>
            </w:r>
          </w:p>
        </w:tc>
        <w:tc>
          <w:tcPr>
            <w:tcW w:w="880" w:type="dxa"/>
            <w:vAlign w:val="bottom"/>
          </w:tcPr>
          <w:p>
            <w:pPr>
              <w:jc w:val="center"/>
              <w:ind w:right="93"/>
              <w:spacing w:after="0"/>
              <w:rPr>
                <w:sz w:val="20"/>
                <w:szCs w:val="20"/>
                <w:color w:val="auto"/>
              </w:rPr>
            </w:pPr>
            <w:r>
              <w:rPr>
                <w:rFonts w:ascii="Courier New" w:cs="Courier New" w:eastAsia="Courier New" w:hAnsi="Courier New"/>
                <w:sz w:val="13"/>
                <w:szCs w:val="13"/>
                <w:color w:val="auto"/>
              </w:rPr>
              <w:t>X</w:t>
            </w:r>
          </w:p>
        </w:tc>
      </w:tr>
      <w:tr>
        <w:trPr>
          <w:trHeight w:val="154"/>
        </w:trPr>
        <w:tc>
          <w:tcPr>
            <w:tcW w:w="920" w:type="dxa"/>
            <w:vAlign w:val="bottom"/>
          </w:tcPr>
          <w:p>
            <w:pPr>
              <w:spacing w:after="0"/>
              <w:rPr>
                <w:sz w:val="20"/>
                <w:szCs w:val="20"/>
                <w:color w:val="auto"/>
              </w:rPr>
            </w:pPr>
            <w:r>
              <w:rPr>
                <w:rFonts w:ascii="Courier New" w:cs="Courier New" w:eastAsia="Courier New" w:hAnsi="Courier New"/>
                <w:sz w:val="13"/>
                <w:szCs w:val="13"/>
                <w:color w:val="auto"/>
              </w:rPr>
              <w:t>Delphi</w:t>
            </w:r>
          </w:p>
        </w:tc>
        <w:tc>
          <w:tcPr>
            <w:tcW w:w="880" w:type="dxa"/>
            <w:vAlign w:val="bottom"/>
          </w:tcPr>
          <w:p>
            <w:pPr>
              <w:ind w:left="120"/>
              <w:spacing w:after="0"/>
              <w:rPr>
                <w:sz w:val="20"/>
                <w:szCs w:val="20"/>
                <w:color w:val="auto"/>
              </w:rPr>
            </w:pPr>
            <w:r>
              <w:rPr>
                <w:rFonts w:ascii="Courier New" w:cs="Courier New" w:eastAsia="Courier New" w:hAnsi="Courier New"/>
                <w:sz w:val="13"/>
                <w:szCs w:val="13"/>
                <w:color w:val="auto"/>
              </w:rPr>
              <w:t>USA</w:t>
            </w:r>
          </w:p>
        </w:tc>
        <w:tc>
          <w:tcPr>
            <w:tcW w:w="2500" w:type="dxa"/>
            <w:vAlign w:val="bottom"/>
          </w:tcPr>
          <w:p>
            <w:pPr>
              <w:ind w:left="40"/>
              <w:spacing w:after="0"/>
              <w:rPr>
                <w:sz w:val="20"/>
                <w:szCs w:val="20"/>
                <w:color w:val="auto"/>
              </w:rPr>
            </w:pPr>
            <w:r>
              <w:rPr>
                <w:rFonts w:ascii="Courier New" w:cs="Courier New" w:eastAsia="Courier New" w:hAnsi="Courier New"/>
                <w:sz w:val="13"/>
                <w:szCs w:val="13"/>
                <w:color w:val="auto"/>
              </w:rPr>
              <w:t>Automotive component supplier</w:t>
            </w:r>
          </w:p>
        </w:tc>
        <w:tc>
          <w:tcPr>
            <w:tcW w:w="1480" w:type="dxa"/>
            <w:vAlign w:val="bottom"/>
          </w:tcPr>
          <w:p>
            <w:pPr>
              <w:jc w:val="center"/>
              <w:spacing w:after="0"/>
              <w:rPr>
                <w:sz w:val="20"/>
                <w:szCs w:val="20"/>
                <w:color w:val="auto"/>
              </w:rPr>
            </w:pPr>
            <w:r>
              <w:rPr>
                <w:rFonts w:ascii="Courier New" w:cs="Courier New" w:eastAsia="Courier New" w:hAnsi="Courier New"/>
                <w:sz w:val="13"/>
                <w:szCs w:val="13"/>
                <w:color w:val="auto"/>
              </w:rPr>
              <w:t>X</w:t>
            </w:r>
          </w:p>
        </w:tc>
        <w:tc>
          <w:tcPr>
            <w:tcW w:w="560" w:type="dxa"/>
            <w:vAlign w:val="bottom"/>
          </w:tcPr>
          <w:p>
            <w:pPr>
              <w:ind w:left="160"/>
              <w:spacing w:after="0"/>
              <w:rPr>
                <w:sz w:val="20"/>
                <w:szCs w:val="20"/>
                <w:color w:val="auto"/>
              </w:rPr>
            </w:pPr>
            <w:r>
              <w:rPr>
                <w:rFonts w:ascii="Courier New" w:cs="Courier New" w:eastAsia="Courier New" w:hAnsi="Courier New"/>
                <w:sz w:val="13"/>
                <w:szCs w:val="13"/>
                <w:color w:val="auto"/>
              </w:rPr>
              <w:t>X</w:t>
            </w:r>
          </w:p>
        </w:tc>
        <w:tc>
          <w:tcPr>
            <w:tcW w:w="880" w:type="dxa"/>
            <w:vAlign w:val="bottom"/>
          </w:tcPr>
          <w:p>
            <w:pPr>
              <w:jc w:val="center"/>
              <w:ind w:right="93"/>
              <w:spacing w:after="0"/>
              <w:rPr>
                <w:sz w:val="20"/>
                <w:szCs w:val="20"/>
                <w:color w:val="auto"/>
              </w:rPr>
            </w:pPr>
            <w:r>
              <w:rPr>
                <w:rFonts w:ascii="Courier New" w:cs="Courier New" w:eastAsia="Courier New" w:hAnsi="Courier New"/>
                <w:sz w:val="13"/>
                <w:szCs w:val="13"/>
                <w:color w:val="auto"/>
              </w:rPr>
              <w:t>X</w:t>
            </w:r>
          </w:p>
        </w:tc>
      </w:tr>
      <w:tr>
        <w:trPr>
          <w:trHeight w:val="154"/>
        </w:trPr>
        <w:tc>
          <w:tcPr>
            <w:tcW w:w="920" w:type="dxa"/>
            <w:vAlign w:val="bottom"/>
          </w:tcPr>
          <w:p>
            <w:pPr>
              <w:spacing w:after="0"/>
              <w:rPr>
                <w:sz w:val="20"/>
                <w:szCs w:val="20"/>
                <w:color w:val="auto"/>
              </w:rPr>
            </w:pPr>
            <w:r>
              <w:rPr>
                <w:rFonts w:ascii="Courier New" w:cs="Courier New" w:eastAsia="Courier New" w:hAnsi="Courier New"/>
                <w:sz w:val="13"/>
                <w:szCs w:val="13"/>
                <w:color w:val="auto"/>
              </w:rPr>
              <w:t>Iljin</w:t>
            </w:r>
          </w:p>
        </w:tc>
        <w:tc>
          <w:tcPr>
            <w:tcW w:w="880" w:type="dxa"/>
            <w:vAlign w:val="bottom"/>
          </w:tcPr>
          <w:p>
            <w:pPr>
              <w:ind w:left="120"/>
              <w:spacing w:after="0"/>
              <w:rPr>
                <w:sz w:val="20"/>
                <w:szCs w:val="20"/>
                <w:color w:val="auto"/>
              </w:rPr>
            </w:pPr>
            <w:r>
              <w:rPr>
                <w:rFonts w:ascii="Courier New" w:cs="Courier New" w:eastAsia="Courier New" w:hAnsi="Courier New"/>
                <w:sz w:val="13"/>
                <w:szCs w:val="13"/>
                <w:color w:val="auto"/>
              </w:rPr>
              <w:t>Korea</w:t>
            </w:r>
          </w:p>
        </w:tc>
        <w:tc>
          <w:tcPr>
            <w:tcW w:w="2500" w:type="dxa"/>
            <w:vAlign w:val="bottom"/>
          </w:tcPr>
          <w:p>
            <w:pPr>
              <w:ind w:left="40"/>
              <w:spacing w:after="0"/>
              <w:rPr>
                <w:sz w:val="20"/>
                <w:szCs w:val="20"/>
                <w:color w:val="auto"/>
              </w:rPr>
            </w:pPr>
            <w:r>
              <w:rPr>
                <w:rFonts w:ascii="Courier New" w:cs="Courier New" w:eastAsia="Courier New" w:hAnsi="Courier New"/>
                <w:sz w:val="13"/>
                <w:szCs w:val="13"/>
                <w:color w:val="auto"/>
              </w:rPr>
              <w:t>Global bearing manufacturer</w:t>
            </w:r>
          </w:p>
        </w:tc>
        <w:tc>
          <w:tcPr>
            <w:tcW w:w="1480" w:type="dxa"/>
            <w:vAlign w:val="bottom"/>
          </w:tcPr>
          <w:p>
            <w:pPr>
              <w:jc w:val="center"/>
              <w:spacing w:after="0"/>
              <w:rPr>
                <w:sz w:val="20"/>
                <w:szCs w:val="20"/>
                <w:color w:val="auto"/>
              </w:rPr>
            </w:pPr>
            <w:r>
              <w:rPr>
                <w:rFonts w:ascii="Courier New" w:cs="Courier New" w:eastAsia="Courier New" w:hAnsi="Courier New"/>
                <w:sz w:val="13"/>
                <w:szCs w:val="13"/>
                <w:color w:val="auto"/>
              </w:rPr>
              <w:t>X</w:t>
            </w: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4"/>
        </w:trPr>
        <w:tc>
          <w:tcPr>
            <w:tcW w:w="920" w:type="dxa"/>
            <w:vAlign w:val="bottom"/>
          </w:tcPr>
          <w:p>
            <w:pPr>
              <w:spacing w:after="0"/>
              <w:rPr>
                <w:sz w:val="20"/>
                <w:szCs w:val="20"/>
                <w:color w:val="auto"/>
              </w:rPr>
            </w:pPr>
            <w:r>
              <w:rPr>
                <w:rFonts w:ascii="Courier New" w:cs="Courier New" w:eastAsia="Courier New" w:hAnsi="Courier New"/>
                <w:sz w:val="13"/>
                <w:szCs w:val="13"/>
                <w:color w:val="auto"/>
              </w:rPr>
              <w:t>NSK</w:t>
            </w:r>
          </w:p>
        </w:tc>
        <w:tc>
          <w:tcPr>
            <w:tcW w:w="880" w:type="dxa"/>
            <w:vAlign w:val="bottom"/>
          </w:tcPr>
          <w:p>
            <w:pPr>
              <w:ind w:left="120"/>
              <w:spacing w:after="0"/>
              <w:rPr>
                <w:sz w:val="20"/>
                <w:szCs w:val="20"/>
                <w:color w:val="auto"/>
              </w:rPr>
            </w:pPr>
            <w:r>
              <w:rPr>
                <w:rFonts w:ascii="Courier New" w:cs="Courier New" w:eastAsia="Courier New" w:hAnsi="Courier New"/>
                <w:sz w:val="13"/>
                <w:szCs w:val="13"/>
                <w:color w:val="auto"/>
              </w:rPr>
              <w:t>Japan</w:t>
            </w:r>
          </w:p>
        </w:tc>
        <w:tc>
          <w:tcPr>
            <w:tcW w:w="2500" w:type="dxa"/>
            <w:vAlign w:val="bottom"/>
          </w:tcPr>
          <w:p>
            <w:pPr>
              <w:ind w:left="40"/>
              <w:spacing w:after="0"/>
              <w:rPr>
                <w:sz w:val="20"/>
                <w:szCs w:val="20"/>
                <w:color w:val="auto"/>
              </w:rPr>
            </w:pPr>
            <w:r>
              <w:rPr>
                <w:rFonts w:ascii="Courier New" w:cs="Courier New" w:eastAsia="Courier New" w:hAnsi="Courier New"/>
                <w:sz w:val="13"/>
                <w:szCs w:val="13"/>
                <w:color w:val="auto"/>
              </w:rPr>
              <w:t>Global bearing manufacturer</w:t>
            </w:r>
          </w:p>
        </w:tc>
        <w:tc>
          <w:tcPr>
            <w:tcW w:w="1480" w:type="dxa"/>
            <w:vAlign w:val="bottom"/>
          </w:tcPr>
          <w:p>
            <w:pPr>
              <w:jc w:val="center"/>
              <w:spacing w:after="0"/>
              <w:rPr>
                <w:sz w:val="20"/>
                <w:szCs w:val="20"/>
                <w:color w:val="auto"/>
              </w:rPr>
            </w:pPr>
            <w:r>
              <w:rPr>
                <w:rFonts w:ascii="Courier New" w:cs="Courier New" w:eastAsia="Courier New" w:hAnsi="Courier New"/>
                <w:sz w:val="13"/>
                <w:szCs w:val="13"/>
                <w:color w:val="auto"/>
              </w:rPr>
              <w:t>X</w:t>
            </w:r>
          </w:p>
        </w:tc>
        <w:tc>
          <w:tcPr>
            <w:tcW w:w="560" w:type="dxa"/>
            <w:vAlign w:val="bottom"/>
          </w:tcPr>
          <w:p>
            <w:pPr>
              <w:spacing w:after="0"/>
              <w:rPr>
                <w:sz w:val="13"/>
                <w:szCs w:val="13"/>
                <w:color w:val="auto"/>
              </w:rPr>
            </w:pPr>
          </w:p>
        </w:tc>
        <w:tc>
          <w:tcPr>
            <w:tcW w:w="880" w:type="dxa"/>
            <w:vAlign w:val="bottom"/>
          </w:tcPr>
          <w:p>
            <w:pPr>
              <w:jc w:val="center"/>
              <w:ind w:right="93"/>
              <w:spacing w:after="0"/>
              <w:rPr>
                <w:sz w:val="20"/>
                <w:szCs w:val="20"/>
                <w:color w:val="auto"/>
              </w:rPr>
            </w:pPr>
            <w:r>
              <w:rPr>
                <w:rFonts w:ascii="Courier New" w:cs="Courier New" w:eastAsia="Courier New" w:hAnsi="Courier New"/>
                <w:sz w:val="13"/>
                <w:szCs w:val="13"/>
                <w:color w:val="auto"/>
              </w:rPr>
              <w:t>X</w:t>
            </w:r>
          </w:p>
        </w:tc>
      </w:tr>
      <w:tr>
        <w:trPr>
          <w:trHeight w:val="154"/>
        </w:trPr>
        <w:tc>
          <w:tcPr>
            <w:tcW w:w="920" w:type="dxa"/>
            <w:vAlign w:val="bottom"/>
          </w:tcPr>
          <w:p>
            <w:pPr>
              <w:spacing w:after="0"/>
              <w:rPr>
                <w:sz w:val="20"/>
                <w:szCs w:val="20"/>
                <w:color w:val="auto"/>
              </w:rPr>
            </w:pPr>
            <w:r>
              <w:rPr>
                <w:rFonts w:ascii="Courier New" w:cs="Courier New" w:eastAsia="Courier New" w:hAnsi="Courier New"/>
                <w:sz w:val="13"/>
                <w:szCs w:val="13"/>
                <w:color w:val="auto"/>
              </w:rPr>
              <w:t>Koyo</w:t>
            </w:r>
          </w:p>
        </w:tc>
        <w:tc>
          <w:tcPr>
            <w:tcW w:w="880" w:type="dxa"/>
            <w:vAlign w:val="bottom"/>
          </w:tcPr>
          <w:p>
            <w:pPr>
              <w:ind w:left="120"/>
              <w:spacing w:after="0"/>
              <w:rPr>
                <w:sz w:val="20"/>
                <w:szCs w:val="20"/>
                <w:color w:val="auto"/>
              </w:rPr>
            </w:pPr>
            <w:r>
              <w:rPr>
                <w:rFonts w:ascii="Courier New" w:cs="Courier New" w:eastAsia="Courier New" w:hAnsi="Courier New"/>
                <w:sz w:val="13"/>
                <w:szCs w:val="13"/>
                <w:color w:val="auto"/>
              </w:rPr>
              <w:t>Japan</w:t>
            </w:r>
          </w:p>
        </w:tc>
        <w:tc>
          <w:tcPr>
            <w:tcW w:w="2500" w:type="dxa"/>
            <w:vAlign w:val="bottom"/>
          </w:tcPr>
          <w:p>
            <w:pPr>
              <w:ind w:left="40"/>
              <w:spacing w:after="0"/>
              <w:rPr>
                <w:sz w:val="20"/>
                <w:szCs w:val="20"/>
                <w:color w:val="auto"/>
              </w:rPr>
            </w:pPr>
            <w:r>
              <w:rPr>
                <w:rFonts w:ascii="Courier New" w:cs="Courier New" w:eastAsia="Courier New" w:hAnsi="Courier New"/>
                <w:sz w:val="13"/>
                <w:szCs w:val="13"/>
                <w:color w:val="auto"/>
              </w:rPr>
              <w:t>Global bearing manufacturer</w:t>
            </w:r>
          </w:p>
        </w:tc>
        <w:tc>
          <w:tcPr>
            <w:tcW w:w="1480" w:type="dxa"/>
            <w:vAlign w:val="bottom"/>
          </w:tcPr>
          <w:p>
            <w:pPr>
              <w:jc w:val="center"/>
              <w:spacing w:after="0"/>
              <w:rPr>
                <w:sz w:val="20"/>
                <w:szCs w:val="20"/>
                <w:color w:val="auto"/>
              </w:rPr>
            </w:pPr>
            <w:r>
              <w:rPr>
                <w:rFonts w:ascii="Courier New" w:cs="Courier New" w:eastAsia="Courier New" w:hAnsi="Courier New"/>
                <w:sz w:val="13"/>
                <w:szCs w:val="13"/>
                <w:color w:val="auto"/>
              </w:rPr>
              <w:t>X</w:t>
            </w:r>
          </w:p>
        </w:tc>
        <w:tc>
          <w:tcPr>
            <w:tcW w:w="560" w:type="dxa"/>
            <w:vAlign w:val="bottom"/>
          </w:tcPr>
          <w:p>
            <w:pPr>
              <w:ind w:left="160"/>
              <w:spacing w:after="0"/>
              <w:rPr>
                <w:sz w:val="20"/>
                <w:szCs w:val="20"/>
                <w:color w:val="auto"/>
              </w:rPr>
            </w:pPr>
            <w:r>
              <w:rPr>
                <w:rFonts w:ascii="Courier New" w:cs="Courier New" w:eastAsia="Courier New" w:hAnsi="Courier New"/>
                <w:sz w:val="13"/>
                <w:szCs w:val="13"/>
                <w:color w:val="auto"/>
              </w:rPr>
              <w:t>X</w:t>
            </w:r>
          </w:p>
        </w:tc>
        <w:tc>
          <w:tcPr>
            <w:tcW w:w="880" w:type="dxa"/>
            <w:vAlign w:val="bottom"/>
          </w:tcPr>
          <w:p>
            <w:pPr>
              <w:jc w:val="center"/>
              <w:ind w:right="93"/>
              <w:spacing w:after="0"/>
              <w:rPr>
                <w:sz w:val="20"/>
                <w:szCs w:val="20"/>
                <w:color w:val="auto"/>
              </w:rPr>
            </w:pPr>
            <w:r>
              <w:rPr>
                <w:rFonts w:ascii="Courier New" w:cs="Courier New" w:eastAsia="Courier New" w:hAnsi="Courier New"/>
                <w:sz w:val="13"/>
                <w:szCs w:val="13"/>
                <w:color w:val="auto"/>
              </w:rPr>
              <w:t>X</w:t>
            </w:r>
          </w:p>
        </w:tc>
      </w:tr>
    </w:tbl>
    <w:p>
      <w:pPr>
        <w:spacing w:after="0" w:line="313"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Our arrangements with our domestic customers typically provide that payments are due within 30 days following the date of shipment of goods. With respect to foreign customers, payments generally are due within 90 to 120 days following the date of shipment in order to allow for additional freight time and customs clearance. For customers that participate in our Domestic Ball and Roller Segments inventory management program, sales are recorded when the customer uses the product. See "Business -- Customers" and "Management's Discussion and Analysis of Financial Condition and Results of Operations -- Liquidity and Capital Resources."</w:t>
      </w:r>
    </w:p>
    <w:p>
      <w:pPr>
        <w:spacing w:after="0" w:line="310"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Manufacturing Process</w:t>
      </w:r>
    </w:p>
    <w:p>
      <w:pPr>
        <w:spacing w:after="0" w:line="16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We have become a leading independent bearing component manufacturer through exceptional service and high quality manufacturing processes and are recognized throughout the industry as a low-cost producer. Because our ball and roller manufacturing processes incorporate the use of standardized tooling, load sizes, and process technology, we are able to produce large volumes of products while maintaining high quality standards.</w:t>
      </w:r>
    </w:p>
    <w:p>
      <w:pPr>
        <w:spacing w:after="0" w:line="155"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The key to our low-cost, high quality production of seals and retainers is the incorporation of customized engineering into our manufacturing processes, metal to rubber bonding competency and experience with a broad range of engineered resins. We employ 20 skilled engineers who design and customize the tooling necessary to meet the needs of each customer's product. This design process includes the testing and quality assessment of each product.</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Employees</w:t>
      </w:r>
    </w:p>
    <w:p>
      <w:pPr>
        <w:spacing w:after="0" w:line="161" w:lineRule="exact"/>
        <w:rPr>
          <w:sz w:val="20"/>
          <w:szCs w:val="20"/>
          <w:color w:val="auto"/>
        </w:rPr>
      </w:pPr>
    </w:p>
    <w:p>
      <w:pPr>
        <w:ind w:left="720"/>
        <w:spacing w:after="0"/>
        <w:rPr>
          <w:sz w:val="20"/>
          <w:szCs w:val="20"/>
          <w:color w:val="auto"/>
        </w:rPr>
      </w:pPr>
      <w:r>
        <w:rPr>
          <w:rFonts w:ascii="Courier New" w:cs="Courier New" w:eastAsia="Courier New" w:hAnsi="Courier New"/>
          <w:sz w:val="13"/>
          <w:szCs w:val="13"/>
          <w:color w:val="auto"/>
        </w:rPr>
        <w:t>As of December 31, 2002, we employed a total of 1,350 full-time</w:t>
      </w:r>
    </w:p>
    <w:p>
      <w:pPr>
        <w:sectPr>
          <w:pgSz w:w="11900" w:h="16838" w:orient="portrait"/>
          <w:cols w:equalWidth="0" w:num="1">
            <w:col w:w="10239"/>
          </w:cols>
          <w:pgMar w:left="220" w:top="141" w:right="1440" w:bottom="0" w:gutter="0" w:footer="0" w:header="0"/>
        </w:sectPr>
      </w:pPr>
    </w:p>
    <w:bookmarkStart w:id="4" w:name="page5"/>
    <w:bookmarkEnd w:id="4"/>
    <w:p>
      <w:pPr>
        <w:ind w:right="3819"/>
        <w:spacing w:after="0" w:line="251" w:lineRule="auto"/>
        <w:rPr>
          <w:sz w:val="20"/>
          <w:szCs w:val="20"/>
          <w:color w:val="auto"/>
        </w:rPr>
      </w:pPr>
      <w:r>
        <w:rPr>
          <w:rFonts w:ascii="Courier New" w:cs="Courier New" w:eastAsia="Courier New" w:hAnsi="Courier New"/>
          <w:sz w:val="13"/>
          <w:szCs w:val="13"/>
          <w:color w:val="auto"/>
        </w:rPr>
        <w:t>employees. Our Domestic Ball and Roller Segment employed 226 workers, the Euroball Segment employed 654 workers, our Plastics Segment employed 465 workers, and there were five employees at the Company's corporate headquarters. Of our total employment, 19% are management/staff employees and 81% are production employees. We believe we are able to attract and retain high quality employees because of our quality reputation, technical expertise, history of financial and operating stability, attractive employee benefit programs, and our progressive, employee-friendly working environment. Only the employees in the Eltmann, Germany and Pinerolo, Italy plants are unionized and we have never experienced any involuntary work stoppages. We consider our relations with our employees to be excellant.</w:t>
      </w: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Competition</w:t>
      </w:r>
    </w:p>
    <w:p>
      <w:pPr>
        <w:spacing w:after="0" w:line="161" w:lineRule="exact"/>
        <w:rPr>
          <w:sz w:val="20"/>
          <w:szCs w:val="20"/>
          <w:color w:val="auto"/>
        </w:rPr>
      </w:pPr>
    </w:p>
    <w:p>
      <w:pPr>
        <w:ind w:right="3819" w:firstLine="802"/>
        <w:spacing w:after="0" w:line="252" w:lineRule="auto"/>
        <w:rPr>
          <w:sz w:val="20"/>
          <w:szCs w:val="20"/>
          <w:color w:val="auto"/>
        </w:rPr>
      </w:pPr>
      <w:r>
        <w:rPr>
          <w:rFonts w:ascii="Courier New" w:cs="Courier New" w:eastAsia="Courier New" w:hAnsi="Courier New"/>
          <w:sz w:val="13"/>
          <w:szCs w:val="13"/>
          <w:color w:val="auto"/>
        </w:rPr>
        <w:t>The precision ball and roller industry is intensely competitive, and many of our competitors have greater financial resources than we do. Our primary domestic competitor is Hoover Precision Products, Inc., a division of Tsubakimoto Precision Products Co. Ltd. Our primary foreign competitors are Amatsuji Steel Ball Manufacturing Company, Ltd. and Tsubakimoto Precision Products Co. Ltd.</w:t>
      </w:r>
    </w:p>
    <w:p>
      <w:pPr>
        <w:spacing w:after="0" w:line="306" w:lineRule="exact"/>
        <w:rPr>
          <w:sz w:val="20"/>
          <w:szCs w:val="20"/>
          <w:color w:val="auto"/>
        </w:rPr>
      </w:pPr>
    </w:p>
    <w:p>
      <w:pPr>
        <w:ind w:right="3819" w:firstLine="722"/>
        <w:spacing w:after="0" w:line="252" w:lineRule="auto"/>
        <w:rPr>
          <w:sz w:val="20"/>
          <w:szCs w:val="20"/>
          <w:color w:val="auto"/>
        </w:rPr>
      </w:pPr>
      <w:r>
        <w:rPr>
          <w:rFonts w:ascii="Courier New" w:cs="Courier New" w:eastAsia="Courier New" w:hAnsi="Courier New"/>
          <w:sz w:val="13"/>
          <w:szCs w:val="13"/>
          <w:color w:val="auto"/>
        </w:rPr>
        <w:t>We believe that competition within the precision ball and roller market is based principally on quality, price and the ability to consistently meet customer delivery requirements. Management believes that our competitive strengths are our precision manufacturing capabilities, our reputation for consistent quality and reliability, and the productivity of our workforce.</w:t>
      </w:r>
    </w:p>
    <w:p>
      <w:pPr>
        <w:spacing w:after="0" w:line="152"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The markets for the Plastic Segment's products are also intensely competitive. Since the plastic injection molding industry is currently very fragmented, IMC and NN Arte must compete with numerous companies in each of their marketing segments. Many of these companies have substantially greater financial resources than we do and many currently offer competing products nationally and internationally. IMC's primary competitor in the bearing retainer segment is Nakanishi Manufacturing Corporation. Domestically, Nypro, Inc. and Key Plastics are the main competitors in the automotive segment. NN Arte primarily competes with various plastic injection molders in Mexico.</w:t>
      </w:r>
    </w:p>
    <w:p>
      <w:pPr>
        <w:spacing w:after="0" w:line="156"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We believe that competition within the plastic injection molding industry is based principally on quality, price, design capabilities and speed of responsiveness and delivery. Management believes that IMC's competitive strengths are product development, tool design, fabrication, and tight tolerance molding processes. With these strengths, IMC has built its reputation in the marketplace as a quality producer of technically difficult products.</w:t>
      </w:r>
    </w:p>
    <w:p>
      <w:pPr>
        <w:spacing w:after="0" w:line="155" w:lineRule="exact"/>
        <w:rPr>
          <w:sz w:val="20"/>
          <w:szCs w:val="20"/>
          <w:color w:val="auto"/>
        </w:rPr>
      </w:pPr>
    </w:p>
    <w:p>
      <w:pPr>
        <w:ind w:right="3899" w:firstLine="722"/>
        <w:spacing w:after="0" w:line="251" w:lineRule="auto"/>
        <w:rPr>
          <w:sz w:val="20"/>
          <w:szCs w:val="20"/>
          <w:color w:val="auto"/>
        </w:rPr>
      </w:pPr>
      <w:r>
        <w:rPr>
          <w:rFonts w:ascii="Courier New" w:cs="Courier New" w:eastAsia="Courier New" w:hAnsi="Courier New"/>
          <w:sz w:val="13"/>
          <w:szCs w:val="13"/>
          <w:color w:val="auto"/>
        </w:rPr>
        <w:t>While intensely competitive, the markets for Delta's products are less fragmented than IMC and NN Arte's. The bearing seal market is comprised of approximately six major competitors that range from small privately held companies to Fortune 500 global enterprises. Bearing seal manufacturers compete on the design, service, quality and price. Delta's primary competitors in the United States bearing seal market are Freudenburg-NOK, Chicago Rawhide Industries, Trostel, LTD, and Uchiyama.</w:t>
      </w:r>
    </w:p>
    <w:p>
      <w:pPr>
        <w:spacing w:after="0" w:line="156"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Raw Materials</w:t>
      </w:r>
    </w:p>
    <w:p>
      <w:pPr>
        <w:spacing w:after="0" w:line="161" w:lineRule="exact"/>
        <w:rPr>
          <w:sz w:val="20"/>
          <w:szCs w:val="20"/>
          <w:color w:val="auto"/>
        </w:rPr>
      </w:pPr>
    </w:p>
    <w:p>
      <w:pPr>
        <w:ind w:right="3979" w:firstLine="722"/>
        <w:spacing w:after="0" w:line="252" w:lineRule="auto"/>
        <w:rPr>
          <w:sz w:val="20"/>
          <w:szCs w:val="20"/>
          <w:color w:val="auto"/>
        </w:rPr>
      </w:pPr>
      <w:r>
        <w:rPr>
          <w:rFonts w:ascii="Courier New" w:cs="Courier New" w:eastAsia="Courier New" w:hAnsi="Courier New"/>
          <w:sz w:val="13"/>
          <w:szCs w:val="13"/>
          <w:color w:val="auto"/>
        </w:rPr>
        <w:t>The primary raw material used in our Domestic Ball and Roller Segment and Euroball Segment is 52100 Steel. During 2002, approximately 98% and 99% of the steel used by these two segments, respectively, was 52100 Steel in rod and wire form. Our other steel requirements include type 440C stainless steel and type S2 rock bit steel.</w:t>
      </w:r>
    </w:p>
    <w:p>
      <w:pPr>
        <w:spacing w:after="0" w:line="152"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The Domestic Ball and Roller Segment purchases substantially all of its 52100 Steel requirements from foreign mills in Europe and Japan because of the lack of domestic producers of such steel in the form we require. The principal suppliers of 52100 Steel to the Domestic Ball and Roller Segment are Daido Steel (America) Inc., Lucchini USA Inc. (affiliate of Ascometal France) and Ohio Star Forge Co. The Euroball Segment purchases all of its 52100 Steel requirements from European mills. The principal supplier of 52100 Steel to the Euroball Segment is Ascometal France. (See Note 14 of the Notes to Consolidated Financial Statements) Our other steel requirements are purchased principally from foreign steel manufacturers. There are a limited number of suppliers of the 52100 Steel that we use in our Domestic Ball and Roller and Euroball Segments. We believe that if any of our current suppliers were unable to supply 52100 Steel to us, we would be able to obtain our 52100 Steel requirements from alternate sources. We cannot provide assurances that we would not face higher costs or production interruptions as a result of obtaining 52100 Steel from alternate sources.</w:t>
      </w:r>
    </w:p>
    <w:p>
      <w:pPr>
        <w:spacing w:after="0" w:line="157" w:lineRule="exact"/>
        <w:rPr>
          <w:sz w:val="20"/>
          <w:szCs w:val="20"/>
          <w:color w:val="auto"/>
        </w:rPr>
      </w:pPr>
    </w:p>
    <w:p>
      <w:pPr>
        <w:ind w:right="3819" w:firstLine="802"/>
        <w:spacing w:after="0" w:line="251" w:lineRule="auto"/>
        <w:rPr>
          <w:sz w:val="20"/>
          <w:szCs w:val="20"/>
          <w:color w:val="auto"/>
        </w:rPr>
      </w:pPr>
      <w:r>
        <w:rPr>
          <w:rFonts w:ascii="Courier New" w:cs="Courier New" w:eastAsia="Courier New" w:hAnsi="Courier New"/>
          <w:sz w:val="13"/>
          <w:szCs w:val="13"/>
          <w:color w:val="auto"/>
        </w:rPr>
        <w:t>We allocate steel purchases among suppliers on the basis of price and, more significantly, composition and quality. The pricing arrangements with our suppliers are typically subject to adjustment once every six months for the Domestic Ball and Roller Segment. In general, we do not enter into written supply agreements with suppliers or commit to maintain minimum monthly purchases of steel except for the supply arrangements between Ascometal and Euroball (see Note 14 of the Notes to Consolidated Financial Statements). For the Domestic Ball and Roller and Euroball Segments, the average price of 52100 Steel decreased approximately 2.5% in 2002 and increased 1.9% in 2001.</w:t>
      </w:r>
    </w:p>
    <w:p>
      <w:pPr>
        <w:spacing w:after="0" w:line="156" w:lineRule="exact"/>
        <w:rPr>
          <w:sz w:val="20"/>
          <w:szCs w:val="20"/>
          <w:color w:val="auto"/>
        </w:rPr>
      </w:pPr>
    </w:p>
    <w:p>
      <w:pPr>
        <w:ind w:right="3819" w:firstLine="802"/>
        <w:spacing w:after="0" w:line="251" w:lineRule="auto"/>
        <w:rPr>
          <w:sz w:val="20"/>
          <w:szCs w:val="20"/>
          <w:color w:val="auto"/>
        </w:rPr>
      </w:pPr>
      <w:r>
        <w:rPr>
          <w:rFonts w:ascii="Courier New" w:cs="Courier New" w:eastAsia="Courier New" w:hAnsi="Courier New"/>
          <w:sz w:val="13"/>
          <w:szCs w:val="13"/>
          <w:color w:val="auto"/>
        </w:rPr>
        <w:t>Because 52100 Steel is principally produced by foreign manufacturers, the Company's operating results would be negatively affected in the event that the U.S. or European governments imposes any significant quotas, tariffs or other duties or restrictions on the import of such steel or if the U.S. dollar decreases in value relative to foreign currencies. On March 6, 2002, the U.S. government adopted legislation that imposed certain tariffs on the import of certain foreign produced steel into the United States. Because the vast majority of the 52100 Steel we use has been exempted from recent U.S. tariffs on imported steel, we have not been materially affected by import regulations.</w:t>
      </w:r>
    </w:p>
    <w:p>
      <w:pPr>
        <w:spacing w:after="0" w:line="156" w:lineRule="exact"/>
        <w:rPr>
          <w:sz w:val="20"/>
          <w:szCs w:val="20"/>
          <w:color w:val="auto"/>
        </w:rPr>
      </w:pPr>
    </w:p>
    <w:p>
      <w:pPr>
        <w:ind w:right="4059" w:firstLine="802"/>
        <w:spacing w:after="0" w:line="252" w:lineRule="auto"/>
        <w:rPr>
          <w:sz w:val="20"/>
          <w:szCs w:val="20"/>
          <w:color w:val="auto"/>
        </w:rPr>
      </w:pPr>
      <w:r>
        <w:rPr>
          <w:rFonts w:ascii="Courier New" w:cs="Courier New" w:eastAsia="Courier New" w:hAnsi="Courier New"/>
          <w:sz w:val="13"/>
          <w:szCs w:val="13"/>
          <w:color w:val="auto"/>
        </w:rPr>
        <w:t>In 2001, established a supply alliance with The Torrington Company, which was acquired by the Timken Company in February 2003, to leverage our combined supply requirements. The purchasing entity is empowered to negotiate and execute supply agreements for both companies. Because we both use similar raw materials from many common sources, we believe the potential synergies in</w:t>
      </w:r>
    </w:p>
    <w:p>
      <w:pPr>
        <w:sectPr>
          <w:pgSz w:w="11900" w:h="16838" w:orient="portrait"/>
          <w:cols w:equalWidth="0" w:num="1">
            <w:col w:w="10239"/>
          </w:cols>
          <w:pgMar w:left="220" w:top="141"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3"/>
          <w:szCs w:val="13"/>
          <w:color w:val="auto"/>
        </w:rPr>
        <w:t>raw material procurement will be of significant value.</w:t>
      </w:r>
    </w:p>
    <w:p>
      <w:pPr>
        <w:spacing w:after="0" w:line="161" w:lineRule="exact"/>
        <w:rPr>
          <w:sz w:val="20"/>
          <w:szCs w:val="20"/>
          <w:color w:val="auto"/>
        </w:rPr>
      </w:pPr>
    </w:p>
    <w:p>
      <w:pPr>
        <w:ind w:right="3899" w:firstLine="722"/>
        <w:spacing w:after="0" w:line="252" w:lineRule="auto"/>
        <w:rPr>
          <w:sz w:val="20"/>
          <w:szCs w:val="20"/>
          <w:color w:val="auto"/>
        </w:rPr>
      </w:pPr>
      <w:r>
        <w:rPr>
          <w:rFonts w:ascii="Courier New" w:cs="Courier New" w:eastAsia="Courier New" w:hAnsi="Courier New"/>
          <w:sz w:val="13"/>
          <w:szCs w:val="13"/>
          <w:color w:val="auto"/>
        </w:rPr>
        <w:t>The primary raw materials used by IMC and NN Arte are engineered resins. Injection grade nylon is utilized in bearing retainers, gears, automotive and other industrial products. We purchase substantially all of our resin requirements from domestic manufacturers and suppliers. The majority of these suppliers are international companies with resin manufacturing facilities located throughout the world. We experienced price decreases for engineered resins of approximately 2.5% in 2002 and price increases of approximately 4.3% in 2001.</w:t>
      </w:r>
    </w:p>
    <w:p>
      <w:pPr>
        <w:spacing w:after="0" w:line="306" w:lineRule="exact"/>
        <w:rPr>
          <w:sz w:val="20"/>
          <w:szCs w:val="20"/>
          <w:color w:val="auto"/>
        </w:rPr>
      </w:pPr>
    </w:p>
    <w:p>
      <w:pPr>
        <w:ind w:right="3979" w:firstLine="722"/>
        <w:spacing w:after="0" w:line="252" w:lineRule="auto"/>
        <w:rPr>
          <w:sz w:val="20"/>
          <w:szCs w:val="20"/>
          <w:color w:val="auto"/>
        </w:rPr>
      </w:pPr>
      <w:r>
        <w:rPr>
          <w:rFonts w:ascii="Courier New" w:cs="Courier New" w:eastAsia="Courier New" w:hAnsi="Courier New"/>
          <w:sz w:val="13"/>
          <w:szCs w:val="13"/>
          <w:color w:val="auto"/>
        </w:rPr>
        <w:t>Delta uses certified vendors to provide a customer mix of proprietary rubber compounds. Delta also procures metal stampings from several domestic suppliers. We experienced price increases for Delta's raw materials of approximately 2.5% in 2002 and 2.5% in 2001.</w:t>
      </w:r>
    </w:p>
    <w:p>
      <w:pPr>
        <w:spacing w:after="0" w:line="153" w:lineRule="exact"/>
        <w:rPr>
          <w:sz w:val="20"/>
          <w:szCs w:val="20"/>
          <w:color w:val="auto"/>
        </w:rPr>
      </w:pPr>
    </w:p>
    <w:p>
      <w:pPr>
        <w:ind w:right="3819" w:firstLine="722"/>
        <w:spacing w:after="0" w:line="252" w:lineRule="auto"/>
        <w:rPr>
          <w:sz w:val="20"/>
          <w:szCs w:val="20"/>
          <w:color w:val="auto"/>
        </w:rPr>
      </w:pPr>
      <w:r>
        <w:rPr>
          <w:rFonts w:ascii="Courier New" w:cs="Courier New" w:eastAsia="Courier New" w:hAnsi="Courier New"/>
          <w:sz w:val="13"/>
          <w:szCs w:val="13"/>
          <w:color w:val="auto"/>
        </w:rPr>
        <w:t>We base purchase decisions on price, quality and service. Generally, we do not enter into written supply contracts with our suppliers or commit to maintain minimum monthly purchases of resins. The pricing arrangements with our suppliers typically can be adjusted at anytime.</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Patents, Trademarks and Licenses</w:t>
      </w:r>
    </w:p>
    <w:p>
      <w:pPr>
        <w:spacing w:after="0" w:line="16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We do not own any U.S. or foreign patents, trademarks or licenses that are material to our business. We do rely on certain data and processes, including trade secrets and know-how, and the success of our business depends, to some extent, on such information remaining confidential. Each executive officer is subject to a non-competition and confidentiality agreement that seeks to protect this information.</w:t>
      </w:r>
    </w:p>
    <w:p>
      <w:pPr>
        <w:spacing w:after="0" w:line="310"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Seasonal Nature of Business</w:t>
      </w:r>
    </w:p>
    <w:p>
      <w:pPr>
        <w:spacing w:after="0" w:line="161" w:lineRule="exact"/>
        <w:rPr>
          <w:sz w:val="20"/>
          <w:szCs w:val="20"/>
          <w:color w:val="auto"/>
        </w:rPr>
      </w:pPr>
    </w:p>
    <w:p>
      <w:pPr>
        <w:ind w:right="3899" w:firstLine="722"/>
        <w:spacing w:after="0" w:line="254" w:lineRule="auto"/>
        <w:rPr>
          <w:sz w:val="20"/>
          <w:szCs w:val="20"/>
          <w:color w:val="auto"/>
        </w:rPr>
      </w:pPr>
      <w:r>
        <w:rPr>
          <w:rFonts w:ascii="Courier New" w:cs="Courier New" w:eastAsia="Courier New" w:hAnsi="Courier New"/>
          <w:sz w:val="13"/>
          <w:szCs w:val="13"/>
          <w:color w:val="auto"/>
        </w:rPr>
        <w:t>Historically, due to a substantial portion of sales to European customers, seasonality has been a factor for our business in that some European customers typically cease their production activities during the month of August.</w:t>
      </w: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Environmental Compliance</w:t>
      </w:r>
    </w:p>
    <w:p>
      <w:pPr>
        <w:spacing w:after="0" w:line="16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Our operations and products are subject to extensive federal, state and local regulatory requirements both domestically and abroad relating to pollution control and protection of the environment. We maintain a compliance program to assist in preventing and, if necessary, correcting environmental problems. Based on information compiled to date, management believes that our current operations are in substantial compliance with applicable environmental laws and regulations, the violation of which would have a material adverse effect on our business and financial condition. There can be no assurance, however, that currently unknown matters, new laws and regulations, or stricter interpretations of existing laws and regulations will not materially affect our business or operations in the future. More specifically, although we believe that we dispose of wastes in material compliance with applicable environmental laws and regulations, there can be no assurance that we will not incur significant liabilities in the future in connection with the clean-up of waste disposal sites.</w:t>
      </w:r>
    </w:p>
    <w:p>
      <w:pPr>
        <w:spacing w:after="0" w:line="31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In the past, we have incurred certain expenses in complying with applicable environmental laws associated with the removal of four underground storage tanks containing kerosene and waste oil, the remediation of soil and groundwater contamination resulting from a leak in one of the tanks, and the closing of a sludge disposal area at one of our ball and roller facilities. The remediation project is now complete, but we have certain ongoing monitoring responsibilities. The amounts we have expended in connection with this remediation project have not been material, and based upon information currently available to us, we do not believe that the future costs associated with the project will have a material adverse effect on our results of operations or financial condition.</w:t>
      </w: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Executive Officers of the Registrant</w:t>
      </w:r>
    </w:p>
    <w:p>
      <w:pPr>
        <w:spacing w:after="0" w:line="161" w:lineRule="exact"/>
        <w:rPr>
          <w:sz w:val="20"/>
          <w:szCs w:val="20"/>
          <w:color w:val="auto"/>
        </w:rPr>
      </w:pPr>
    </w:p>
    <w:p>
      <w:pPr>
        <w:ind w:left="720"/>
        <w:spacing w:after="0"/>
        <w:rPr>
          <w:sz w:val="20"/>
          <w:szCs w:val="20"/>
          <w:color w:val="auto"/>
        </w:rPr>
      </w:pPr>
      <w:r>
        <w:rPr>
          <w:rFonts w:ascii="Courier New" w:cs="Courier New" w:eastAsia="Courier New" w:hAnsi="Courier New"/>
          <w:sz w:val="13"/>
          <w:szCs w:val="13"/>
          <w:color w:val="auto"/>
        </w:rPr>
        <w:t>Our executive officers are:</w:t>
      </w:r>
    </w:p>
    <w:p>
      <w:pPr>
        <w:spacing w:after="0" w:line="161" w:lineRule="exact"/>
        <w:rPr>
          <w:sz w:val="20"/>
          <w:szCs w:val="20"/>
          <w:color w:val="auto"/>
        </w:rPr>
      </w:pPr>
    </w:p>
    <w:tbl>
      <w:tblPr>
        <w:tblLayout w:type="fixed"/>
        <w:tblInd w:w="720" w:type="dxa"/>
        <w:tblCellMar>
          <w:top w:w="0" w:type="dxa"/>
          <w:left w:w="0" w:type="dxa"/>
          <w:bottom w:w="0" w:type="dxa"/>
          <w:right w:w="0" w:type="dxa"/>
        </w:tblCellMar>
      </w:tblPr>
      <w:tr>
        <w:trPr>
          <w:trHeight w:val="149"/>
        </w:trPr>
        <w:tc>
          <w:tcPr>
            <w:tcW w:w="1840" w:type="dxa"/>
            <w:vAlign w:val="bottom"/>
          </w:tcPr>
          <w:p>
            <w:pPr>
              <w:spacing w:after="0"/>
              <w:rPr>
                <w:sz w:val="20"/>
                <w:szCs w:val="20"/>
                <w:color w:val="auto"/>
              </w:rPr>
            </w:pPr>
            <w:r>
              <w:rPr>
                <w:rFonts w:ascii="Courier New" w:cs="Courier New" w:eastAsia="Courier New" w:hAnsi="Courier New"/>
                <w:sz w:val="13"/>
                <w:szCs w:val="13"/>
                <w:b w:val="1"/>
                <w:bCs w:val="1"/>
                <w:color w:val="auto"/>
              </w:rPr>
              <w:t>Name</w:t>
            </w:r>
          </w:p>
        </w:tc>
        <w:tc>
          <w:tcPr>
            <w:tcW w:w="600" w:type="dxa"/>
            <w:vAlign w:val="bottom"/>
          </w:tcPr>
          <w:p>
            <w:pPr>
              <w:ind w:left="160"/>
              <w:spacing w:after="0"/>
              <w:rPr>
                <w:sz w:val="20"/>
                <w:szCs w:val="20"/>
                <w:color w:val="auto"/>
              </w:rPr>
            </w:pPr>
            <w:r>
              <w:rPr>
                <w:rFonts w:ascii="Courier New" w:cs="Courier New" w:eastAsia="Courier New" w:hAnsi="Courier New"/>
                <w:sz w:val="13"/>
                <w:szCs w:val="13"/>
                <w:b w:val="1"/>
                <w:bCs w:val="1"/>
                <w:color w:val="auto"/>
              </w:rPr>
              <w:t>Age</w:t>
            </w:r>
          </w:p>
        </w:tc>
        <w:tc>
          <w:tcPr>
            <w:tcW w:w="1380" w:type="dxa"/>
            <w:vAlign w:val="bottom"/>
          </w:tcPr>
          <w:p>
            <w:pPr>
              <w:ind w:left="220"/>
              <w:spacing w:after="0"/>
              <w:rPr>
                <w:sz w:val="20"/>
                <w:szCs w:val="20"/>
                <w:color w:val="auto"/>
              </w:rPr>
            </w:pPr>
            <w:r>
              <w:rPr>
                <w:rFonts w:ascii="Courier New" w:cs="Courier New" w:eastAsia="Courier New" w:hAnsi="Courier New"/>
                <w:sz w:val="13"/>
                <w:szCs w:val="13"/>
                <w:b w:val="1"/>
                <w:bCs w:val="1"/>
                <w:color w:val="auto"/>
              </w:rPr>
              <w:t>Position</w:t>
            </w:r>
          </w:p>
        </w:tc>
        <w:tc>
          <w:tcPr>
            <w:tcW w:w="1880" w:type="dxa"/>
            <w:vAlign w:val="bottom"/>
          </w:tcPr>
          <w:p>
            <w:pPr>
              <w:spacing w:after="0"/>
              <w:rPr>
                <w:sz w:val="12"/>
                <w:szCs w:val="12"/>
                <w:color w:val="auto"/>
              </w:rPr>
            </w:pPr>
          </w:p>
        </w:tc>
      </w:tr>
      <w:tr>
        <w:trPr>
          <w:trHeight w:val="154"/>
        </w:trPr>
        <w:tc>
          <w:tcPr>
            <w:tcW w:w="1840" w:type="dxa"/>
            <w:vAlign w:val="bottom"/>
          </w:tcPr>
          <w:p>
            <w:pPr>
              <w:spacing w:after="0"/>
              <w:rPr>
                <w:sz w:val="20"/>
                <w:szCs w:val="20"/>
                <w:color w:val="auto"/>
              </w:rPr>
            </w:pPr>
            <w:r>
              <w:rPr>
                <w:rFonts w:ascii="Courier New" w:cs="Courier New" w:eastAsia="Courier New" w:hAnsi="Courier New"/>
                <w:sz w:val="13"/>
                <w:szCs w:val="13"/>
                <w:b w:val="1"/>
                <w:bCs w:val="1"/>
                <w:color w:val="auto"/>
              </w:rPr>
              <w:t>----</w:t>
            </w:r>
          </w:p>
        </w:tc>
        <w:tc>
          <w:tcPr>
            <w:tcW w:w="600" w:type="dxa"/>
            <w:vAlign w:val="bottom"/>
          </w:tcPr>
          <w:p>
            <w:pPr>
              <w:ind w:left="160"/>
              <w:spacing w:after="0"/>
              <w:rPr>
                <w:sz w:val="20"/>
                <w:szCs w:val="20"/>
                <w:color w:val="auto"/>
              </w:rPr>
            </w:pPr>
            <w:r>
              <w:rPr>
                <w:rFonts w:ascii="Courier New" w:cs="Courier New" w:eastAsia="Courier New" w:hAnsi="Courier New"/>
                <w:sz w:val="13"/>
                <w:szCs w:val="13"/>
                <w:b w:val="1"/>
                <w:bCs w:val="1"/>
                <w:color w:val="auto"/>
              </w:rPr>
              <w:t>---</w:t>
            </w:r>
          </w:p>
        </w:tc>
        <w:tc>
          <w:tcPr>
            <w:tcW w:w="1380" w:type="dxa"/>
            <w:vAlign w:val="bottom"/>
          </w:tcPr>
          <w:p>
            <w:pPr>
              <w:ind w:left="220"/>
              <w:spacing w:after="0"/>
              <w:rPr>
                <w:sz w:val="20"/>
                <w:szCs w:val="20"/>
                <w:color w:val="auto"/>
              </w:rPr>
            </w:pPr>
            <w:r>
              <w:rPr>
                <w:rFonts w:ascii="Courier New" w:cs="Courier New" w:eastAsia="Courier New" w:hAnsi="Courier New"/>
                <w:sz w:val="13"/>
                <w:szCs w:val="13"/>
                <w:b w:val="1"/>
                <w:bCs w:val="1"/>
                <w:color w:val="auto"/>
              </w:rPr>
              <w:t>--------</w:t>
            </w:r>
          </w:p>
        </w:tc>
        <w:tc>
          <w:tcPr>
            <w:tcW w:w="1880" w:type="dxa"/>
            <w:vAlign w:val="bottom"/>
          </w:tcPr>
          <w:p>
            <w:pPr>
              <w:spacing w:after="0"/>
              <w:rPr>
                <w:sz w:val="13"/>
                <w:szCs w:val="13"/>
                <w:color w:val="auto"/>
              </w:rPr>
            </w:pPr>
          </w:p>
        </w:tc>
      </w:tr>
      <w:tr>
        <w:trPr>
          <w:trHeight w:val="308"/>
        </w:trPr>
        <w:tc>
          <w:tcPr>
            <w:tcW w:w="1840" w:type="dxa"/>
            <w:vAlign w:val="bottom"/>
          </w:tcPr>
          <w:p>
            <w:pPr>
              <w:spacing w:after="0"/>
              <w:rPr>
                <w:sz w:val="20"/>
                <w:szCs w:val="20"/>
                <w:color w:val="auto"/>
              </w:rPr>
            </w:pPr>
            <w:r>
              <w:rPr>
                <w:rFonts w:ascii="Courier New" w:cs="Courier New" w:eastAsia="Courier New" w:hAnsi="Courier New"/>
                <w:sz w:val="13"/>
                <w:szCs w:val="13"/>
                <w:color w:val="auto"/>
              </w:rPr>
              <w:t>Roderick R. Baty</w:t>
            </w:r>
          </w:p>
        </w:tc>
        <w:tc>
          <w:tcPr>
            <w:tcW w:w="600" w:type="dxa"/>
            <w:vAlign w:val="bottom"/>
          </w:tcPr>
          <w:p>
            <w:pPr>
              <w:ind w:left="160"/>
              <w:spacing w:after="0"/>
              <w:rPr>
                <w:sz w:val="20"/>
                <w:szCs w:val="20"/>
                <w:color w:val="auto"/>
              </w:rPr>
            </w:pPr>
            <w:r>
              <w:rPr>
                <w:rFonts w:ascii="Courier New" w:cs="Courier New" w:eastAsia="Courier New" w:hAnsi="Courier New"/>
                <w:sz w:val="13"/>
                <w:szCs w:val="13"/>
                <w:color w:val="auto"/>
              </w:rPr>
              <w:t>49</w:t>
            </w:r>
          </w:p>
        </w:tc>
        <w:tc>
          <w:tcPr>
            <w:tcW w:w="3260" w:type="dxa"/>
            <w:vAlign w:val="bottom"/>
            <w:gridSpan w:val="2"/>
          </w:tcPr>
          <w:p>
            <w:pPr>
              <w:ind w:left="220"/>
              <w:spacing w:after="0"/>
              <w:rPr>
                <w:sz w:val="20"/>
                <w:szCs w:val="20"/>
                <w:color w:val="auto"/>
              </w:rPr>
            </w:pPr>
            <w:r>
              <w:rPr>
                <w:rFonts w:ascii="Courier New" w:cs="Courier New" w:eastAsia="Courier New" w:hAnsi="Courier New"/>
                <w:sz w:val="13"/>
                <w:szCs w:val="13"/>
                <w:color w:val="auto"/>
              </w:rPr>
              <w:t>Chairman of the Board, Chief Executive</w:t>
            </w:r>
          </w:p>
        </w:tc>
      </w:tr>
      <w:tr>
        <w:trPr>
          <w:trHeight w:val="154"/>
        </w:trPr>
        <w:tc>
          <w:tcPr>
            <w:tcW w:w="1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60" w:type="dxa"/>
            <w:vAlign w:val="bottom"/>
            <w:gridSpan w:val="2"/>
          </w:tcPr>
          <w:p>
            <w:pPr>
              <w:ind w:left="220"/>
              <w:spacing w:after="0"/>
              <w:rPr>
                <w:sz w:val="20"/>
                <w:szCs w:val="20"/>
                <w:color w:val="auto"/>
              </w:rPr>
            </w:pPr>
            <w:r>
              <w:rPr>
                <w:rFonts w:ascii="Courier New" w:cs="Courier New" w:eastAsia="Courier New" w:hAnsi="Courier New"/>
                <w:sz w:val="13"/>
                <w:szCs w:val="13"/>
                <w:color w:val="auto"/>
              </w:rPr>
              <w:t>Officer, President and Director</w:t>
            </w:r>
          </w:p>
        </w:tc>
      </w:tr>
      <w:tr>
        <w:trPr>
          <w:trHeight w:val="308"/>
        </w:trPr>
        <w:tc>
          <w:tcPr>
            <w:tcW w:w="1840" w:type="dxa"/>
            <w:vAlign w:val="bottom"/>
          </w:tcPr>
          <w:p>
            <w:pPr>
              <w:spacing w:after="0"/>
              <w:rPr>
                <w:sz w:val="20"/>
                <w:szCs w:val="20"/>
                <w:color w:val="auto"/>
              </w:rPr>
            </w:pPr>
            <w:r>
              <w:rPr>
                <w:rFonts w:ascii="Courier New" w:cs="Courier New" w:eastAsia="Courier New" w:hAnsi="Courier New"/>
                <w:sz w:val="13"/>
                <w:szCs w:val="13"/>
                <w:color w:val="auto"/>
              </w:rPr>
              <w:t>Frank T. Gentry, III</w:t>
            </w:r>
          </w:p>
        </w:tc>
        <w:tc>
          <w:tcPr>
            <w:tcW w:w="600" w:type="dxa"/>
            <w:vAlign w:val="bottom"/>
          </w:tcPr>
          <w:p>
            <w:pPr>
              <w:ind w:left="160"/>
              <w:spacing w:after="0"/>
              <w:rPr>
                <w:sz w:val="20"/>
                <w:szCs w:val="20"/>
                <w:color w:val="auto"/>
              </w:rPr>
            </w:pPr>
            <w:r>
              <w:rPr>
                <w:rFonts w:ascii="Courier New" w:cs="Courier New" w:eastAsia="Courier New" w:hAnsi="Courier New"/>
                <w:sz w:val="13"/>
                <w:szCs w:val="13"/>
                <w:color w:val="auto"/>
              </w:rPr>
              <w:t>47</w:t>
            </w:r>
          </w:p>
        </w:tc>
        <w:tc>
          <w:tcPr>
            <w:tcW w:w="1380" w:type="dxa"/>
            <w:vAlign w:val="bottom"/>
          </w:tcPr>
          <w:p>
            <w:pPr>
              <w:ind w:left="220"/>
              <w:spacing w:after="0"/>
              <w:rPr>
                <w:sz w:val="20"/>
                <w:szCs w:val="20"/>
                <w:color w:val="auto"/>
              </w:rPr>
            </w:pPr>
            <w:r>
              <w:rPr>
                <w:rFonts w:ascii="Courier New" w:cs="Courier New" w:eastAsia="Courier New" w:hAnsi="Courier New"/>
                <w:sz w:val="13"/>
                <w:szCs w:val="13"/>
                <w:color w:val="auto"/>
              </w:rPr>
              <w:t>Vice President</w:t>
            </w:r>
          </w:p>
        </w:tc>
        <w:tc>
          <w:tcPr>
            <w:tcW w:w="1880" w:type="dxa"/>
            <w:vAlign w:val="bottom"/>
          </w:tcPr>
          <w:p>
            <w:pPr>
              <w:ind w:left="40"/>
              <w:spacing w:after="0"/>
              <w:rPr>
                <w:sz w:val="20"/>
                <w:szCs w:val="20"/>
                <w:color w:val="auto"/>
              </w:rPr>
            </w:pPr>
            <w:r>
              <w:rPr>
                <w:rFonts w:ascii="Courier New" w:cs="Courier New" w:eastAsia="Courier New" w:hAnsi="Courier New"/>
                <w:sz w:val="13"/>
                <w:szCs w:val="13"/>
                <w:color w:val="auto"/>
              </w:rPr>
              <w:t>- Manufacturing</w:t>
            </w:r>
          </w:p>
        </w:tc>
      </w:tr>
      <w:tr>
        <w:trPr>
          <w:trHeight w:val="308"/>
        </w:trPr>
        <w:tc>
          <w:tcPr>
            <w:tcW w:w="1840" w:type="dxa"/>
            <w:vAlign w:val="bottom"/>
          </w:tcPr>
          <w:p>
            <w:pPr>
              <w:spacing w:after="0"/>
              <w:rPr>
                <w:sz w:val="20"/>
                <w:szCs w:val="20"/>
                <w:color w:val="auto"/>
              </w:rPr>
            </w:pPr>
            <w:r>
              <w:rPr>
                <w:rFonts w:ascii="Courier New" w:cs="Courier New" w:eastAsia="Courier New" w:hAnsi="Courier New"/>
                <w:sz w:val="13"/>
                <w:szCs w:val="13"/>
                <w:color w:val="auto"/>
              </w:rPr>
              <w:t>Robert R. Sams</w:t>
            </w:r>
          </w:p>
        </w:tc>
        <w:tc>
          <w:tcPr>
            <w:tcW w:w="600" w:type="dxa"/>
            <w:vAlign w:val="bottom"/>
          </w:tcPr>
          <w:p>
            <w:pPr>
              <w:ind w:left="160"/>
              <w:spacing w:after="0"/>
              <w:rPr>
                <w:sz w:val="20"/>
                <w:szCs w:val="20"/>
                <w:color w:val="auto"/>
              </w:rPr>
            </w:pPr>
            <w:r>
              <w:rPr>
                <w:rFonts w:ascii="Courier New" w:cs="Courier New" w:eastAsia="Courier New" w:hAnsi="Courier New"/>
                <w:sz w:val="13"/>
                <w:szCs w:val="13"/>
                <w:color w:val="auto"/>
              </w:rPr>
              <w:t>45</w:t>
            </w:r>
          </w:p>
        </w:tc>
        <w:tc>
          <w:tcPr>
            <w:tcW w:w="1380" w:type="dxa"/>
            <w:vAlign w:val="bottom"/>
          </w:tcPr>
          <w:p>
            <w:pPr>
              <w:ind w:left="220"/>
              <w:spacing w:after="0"/>
              <w:rPr>
                <w:sz w:val="20"/>
                <w:szCs w:val="20"/>
                <w:color w:val="auto"/>
              </w:rPr>
            </w:pPr>
            <w:r>
              <w:rPr>
                <w:rFonts w:ascii="Courier New" w:cs="Courier New" w:eastAsia="Courier New" w:hAnsi="Courier New"/>
                <w:sz w:val="13"/>
                <w:szCs w:val="13"/>
                <w:color w:val="auto"/>
              </w:rPr>
              <w:t>Vice President</w:t>
            </w:r>
          </w:p>
        </w:tc>
        <w:tc>
          <w:tcPr>
            <w:tcW w:w="1880" w:type="dxa"/>
            <w:vAlign w:val="bottom"/>
          </w:tcPr>
          <w:p>
            <w:pPr>
              <w:ind w:left="40"/>
              <w:spacing w:after="0"/>
              <w:rPr>
                <w:sz w:val="20"/>
                <w:szCs w:val="20"/>
                <w:color w:val="auto"/>
              </w:rPr>
            </w:pPr>
            <w:r>
              <w:rPr>
                <w:rFonts w:ascii="Courier New" w:cs="Courier New" w:eastAsia="Courier New" w:hAnsi="Courier New"/>
                <w:sz w:val="13"/>
                <w:szCs w:val="13"/>
                <w:color w:val="auto"/>
              </w:rPr>
              <w:t>- Market Services</w:t>
            </w:r>
          </w:p>
        </w:tc>
      </w:tr>
      <w:tr>
        <w:trPr>
          <w:trHeight w:val="308"/>
        </w:trPr>
        <w:tc>
          <w:tcPr>
            <w:tcW w:w="1840" w:type="dxa"/>
            <w:vAlign w:val="bottom"/>
          </w:tcPr>
          <w:p>
            <w:pPr>
              <w:spacing w:after="0"/>
              <w:rPr>
                <w:sz w:val="20"/>
                <w:szCs w:val="20"/>
                <w:color w:val="auto"/>
              </w:rPr>
            </w:pPr>
            <w:r>
              <w:rPr>
                <w:rFonts w:ascii="Courier New" w:cs="Courier New" w:eastAsia="Courier New" w:hAnsi="Courier New"/>
                <w:sz w:val="13"/>
                <w:szCs w:val="13"/>
                <w:color w:val="auto"/>
              </w:rPr>
              <w:t>David L. Dyckman</w:t>
            </w:r>
          </w:p>
        </w:tc>
        <w:tc>
          <w:tcPr>
            <w:tcW w:w="600" w:type="dxa"/>
            <w:vAlign w:val="bottom"/>
          </w:tcPr>
          <w:p>
            <w:pPr>
              <w:ind w:left="160"/>
              <w:spacing w:after="0"/>
              <w:rPr>
                <w:sz w:val="20"/>
                <w:szCs w:val="20"/>
                <w:color w:val="auto"/>
              </w:rPr>
            </w:pPr>
            <w:r>
              <w:rPr>
                <w:rFonts w:ascii="Courier New" w:cs="Courier New" w:eastAsia="Courier New" w:hAnsi="Courier New"/>
                <w:sz w:val="13"/>
                <w:szCs w:val="13"/>
                <w:color w:val="auto"/>
              </w:rPr>
              <w:t>38</w:t>
            </w:r>
          </w:p>
        </w:tc>
        <w:tc>
          <w:tcPr>
            <w:tcW w:w="1380" w:type="dxa"/>
            <w:vAlign w:val="bottom"/>
          </w:tcPr>
          <w:p>
            <w:pPr>
              <w:ind w:left="220"/>
              <w:spacing w:after="0"/>
              <w:rPr>
                <w:sz w:val="20"/>
                <w:szCs w:val="20"/>
                <w:color w:val="auto"/>
              </w:rPr>
            </w:pPr>
            <w:r>
              <w:rPr>
                <w:rFonts w:ascii="Courier New" w:cs="Courier New" w:eastAsia="Courier New" w:hAnsi="Courier New"/>
                <w:sz w:val="13"/>
                <w:szCs w:val="13"/>
                <w:color w:val="auto"/>
              </w:rPr>
              <w:t>Vice President</w:t>
            </w:r>
          </w:p>
        </w:tc>
        <w:tc>
          <w:tcPr>
            <w:tcW w:w="1880" w:type="dxa"/>
            <w:vAlign w:val="bottom"/>
          </w:tcPr>
          <w:p>
            <w:pPr>
              <w:ind w:left="40"/>
              <w:spacing w:after="0"/>
              <w:rPr>
                <w:sz w:val="20"/>
                <w:szCs w:val="20"/>
                <w:color w:val="auto"/>
              </w:rPr>
            </w:pPr>
            <w:r>
              <w:rPr>
                <w:rFonts w:ascii="Courier New" w:cs="Courier New" w:eastAsia="Courier New" w:hAnsi="Courier New"/>
                <w:sz w:val="13"/>
                <w:szCs w:val="13"/>
                <w:color w:val="auto"/>
              </w:rPr>
              <w:t>- Corporate Development</w:t>
            </w:r>
          </w:p>
        </w:tc>
      </w:tr>
      <w:tr>
        <w:trPr>
          <w:trHeight w:val="154"/>
        </w:trPr>
        <w:tc>
          <w:tcPr>
            <w:tcW w:w="1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60" w:type="dxa"/>
            <w:vAlign w:val="bottom"/>
            <w:gridSpan w:val="2"/>
          </w:tcPr>
          <w:p>
            <w:pPr>
              <w:ind w:left="220"/>
              <w:spacing w:after="0"/>
              <w:rPr>
                <w:sz w:val="20"/>
                <w:szCs w:val="20"/>
                <w:color w:val="auto"/>
              </w:rPr>
            </w:pPr>
            <w:r>
              <w:rPr>
                <w:rFonts w:ascii="Courier New" w:cs="Courier New" w:eastAsia="Courier New" w:hAnsi="Courier New"/>
                <w:sz w:val="13"/>
                <w:szCs w:val="13"/>
                <w:color w:val="auto"/>
              </w:rPr>
              <w:t>and Chief Financial Officer</w:t>
            </w:r>
          </w:p>
        </w:tc>
      </w:tr>
      <w:tr>
        <w:trPr>
          <w:trHeight w:val="308"/>
        </w:trPr>
        <w:tc>
          <w:tcPr>
            <w:tcW w:w="1840" w:type="dxa"/>
            <w:vAlign w:val="bottom"/>
          </w:tcPr>
          <w:p>
            <w:pPr>
              <w:spacing w:after="0"/>
              <w:rPr>
                <w:sz w:val="20"/>
                <w:szCs w:val="20"/>
                <w:color w:val="auto"/>
              </w:rPr>
            </w:pPr>
            <w:r>
              <w:rPr>
                <w:rFonts w:ascii="Courier New" w:cs="Courier New" w:eastAsia="Courier New" w:hAnsi="Courier New"/>
                <w:sz w:val="13"/>
                <w:szCs w:val="13"/>
                <w:color w:val="auto"/>
              </w:rPr>
              <w:t>William C. Kelly, Jr.</w:t>
            </w:r>
          </w:p>
        </w:tc>
        <w:tc>
          <w:tcPr>
            <w:tcW w:w="600" w:type="dxa"/>
            <w:vAlign w:val="bottom"/>
          </w:tcPr>
          <w:p>
            <w:pPr>
              <w:ind w:left="160"/>
              <w:spacing w:after="0"/>
              <w:rPr>
                <w:sz w:val="20"/>
                <w:szCs w:val="20"/>
                <w:color w:val="auto"/>
              </w:rPr>
            </w:pPr>
            <w:r>
              <w:rPr>
                <w:rFonts w:ascii="Courier New" w:cs="Courier New" w:eastAsia="Courier New" w:hAnsi="Courier New"/>
                <w:sz w:val="13"/>
                <w:szCs w:val="13"/>
                <w:color w:val="auto"/>
              </w:rPr>
              <w:t>44</w:t>
            </w:r>
          </w:p>
        </w:tc>
        <w:tc>
          <w:tcPr>
            <w:tcW w:w="3260" w:type="dxa"/>
            <w:vAlign w:val="bottom"/>
            <w:gridSpan w:val="2"/>
          </w:tcPr>
          <w:p>
            <w:pPr>
              <w:ind w:left="220"/>
              <w:spacing w:after="0"/>
              <w:rPr>
                <w:sz w:val="20"/>
                <w:szCs w:val="20"/>
                <w:color w:val="auto"/>
              </w:rPr>
            </w:pPr>
            <w:r>
              <w:rPr>
                <w:rFonts w:ascii="Courier New" w:cs="Courier New" w:eastAsia="Courier New" w:hAnsi="Courier New"/>
                <w:sz w:val="13"/>
                <w:szCs w:val="13"/>
                <w:color w:val="auto"/>
              </w:rPr>
              <w:t>Treasurer, Secretary and Chief</w:t>
            </w:r>
          </w:p>
        </w:tc>
      </w:tr>
      <w:tr>
        <w:trPr>
          <w:trHeight w:val="154"/>
        </w:trPr>
        <w:tc>
          <w:tcPr>
            <w:tcW w:w="1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80" w:type="dxa"/>
            <w:vAlign w:val="bottom"/>
          </w:tcPr>
          <w:p>
            <w:pPr>
              <w:ind w:left="220"/>
              <w:spacing w:after="0"/>
              <w:rPr>
                <w:sz w:val="20"/>
                <w:szCs w:val="20"/>
                <w:color w:val="auto"/>
              </w:rPr>
            </w:pPr>
            <w:r>
              <w:rPr>
                <w:rFonts w:ascii="Courier New" w:cs="Courier New" w:eastAsia="Courier New" w:hAnsi="Courier New"/>
                <w:sz w:val="13"/>
                <w:szCs w:val="13"/>
                <w:color w:val="auto"/>
              </w:rPr>
              <w:t>Administrative</w:t>
            </w:r>
          </w:p>
        </w:tc>
        <w:tc>
          <w:tcPr>
            <w:tcW w:w="1880" w:type="dxa"/>
            <w:vAlign w:val="bottom"/>
          </w:tcPr>
          <w:p>
            <w:pPr>
              <w:ind w:left="40"/>
              <w:spacing w:after="0"/>
              <w:rPr>
                <w:sz w:val="20"/>
                <w:szCs w:val="20"/>
                <w:color w:val="auto"/>
              </w:rPr>
            </w:pPr>
            <w:r>
              <w:rPr>
                <w:rFonts w:ascii="Courier New" w:cs="Courier New" w:eastAsia="Courier New" w:hAnsi="Courier New"/>
                <w:sz w:val="13"/>
                <w:szCs w:val="13"/>
                <w:color w:val="auto"/>
              </w:rPr>
              <w:t>Officer</w:t>
            </w:r>
          </w:p>
        </w:tc>
      </w:tr>
    </w:tbl>
    <w:p>
      <w:pPr>
        <w:spacing w:after="0" w:line="159" w:lineRule="exact"/>
        <w:rPr>
          <w:sz w:val="20"/>
          <w:szCs w:val="20"/>
          <w:color w:val="auto"/>
        </w:rPr>
      </w:pPr>
    </w:p>
    <w:p>
      <w:pPr>
        <w:ind w:right="4059"/>
        <w:spacing w:after="0" w:line="254" w:lineRule="auto"/>
        <w:rPr>
          <w:sz w:val="20"/>
          <w:szCs w:val="20"/>
          <w:color w:val="auto"/>
        </w:rPr>
      </w:pPr>
      <w:r>
        <w:rPr>
          <w:rFonts w:ascii="Courier New" w:cs="Courier New" w:eastAsia="Courier New" w:hAnsi="Courier New"/>
          <w:sz w:val="13"/>
          <w:szCs w:val="13"/>
          <w:color w:val="auto"/>
        </w:rPr>
        <w:t>Set forth below is certain additional information with respect to each of our executive officers.</w:t>
      </w:r>
    </w:p>
    <w:p>
      <w:pPr>
        <w:spacing w:after="0" w:line="151" w:lineRule="exact"/>
        <w:rPr>
          <w:sz w:val="20"/>
          <w:szCs w:val="20"/>
          <w:color w:val="auto"/>
        </w:rPr>
      </w:pPr>
    </w:p>
    <w:p>
      <w:pPr>
        <w:ind w:right="3899" w:firstLine="802"/>
        <w:spacing w:after="0" w:line="252" w:lineRule="auto"/>
        <w:rPr>
          <w:sz w:val="20"/>
          <w:szCs w:val="20"/>
          <w:color w:val="auto"/>
        </w:rPr>
      </w:pPr>
      <w:r>
        <w:rPr>
          <w:rFonts w:ascii="Courier New" w:cs="Courier New" w:eastAsia="Courier New" w:hAnsi="Courier New"/>
          <w:sz w:val="13"/>
          <w:szCs w:val="13"/>
          <w:color w:val="auto"/>
        </w:rPr>
        <w:t>Roderick R. Baty was elected Chairman of the Board in September 2001 and continues to serve as Chief Executive Officer and President. He has served as President and Chief Executive Officer since July 1997. He joined NN in July 1995 as Vice President and Chief Financial Officer and was elected to the Board of Directors in 1995. Prior to joining NN, Mr. Baty served as President and Chief Operating Officer of Hoover Group from 1990 until January 1995, and as Vice President and General Manager of Hoover Precision Products from 1985 to 1990.</w:t>
      </w:r>
    </w:p>
    <w:p>
      <w:pPr>
        <w:spacing w:after="0" w:line="306" w:lineRule="exact"/>
        <w:rPr>
          <w:sz w:val="20"/>
          <w:szCs w:val="20"/>
          <w:color w:val="auto"/>
        </w:rPr>
      </w:pPr>
    </w:p>
    <w:p>
      <w:pPr>
        <w:ind w:left="720"/>
        <w:spacing w:after="0"/>
        <w:rPr>
          <w:sz w:val="20"/>
          <w:szCs w:val="20"/>
          <w:color w:val="auto"/>
        </w:rPr>
      </w:pPr>
      <w:r>
        <w:rPr>
          <w:rFonts w:ascii="Courier New" w:cs="Courier New" w:eastAsia="Courier New" w:hAnsi="Courier New"/>
          <w:sz w:val="13"/>
          <w:szCs w:val="13"/>
          <w:color w:val="auto"/>
        </w:rPr>
        <w:t>Frank T. Gentry, III, was originally appointed Vice President -</w:t>
      </w:r>
    </w:p>
    <w:p>
      <w:pPr>
        <w:sectPr>
          <w:pgSz w:w="11900" w:h="16838" w:orient="portrait"/>
          <w:cols w:equalWidth="0" w:num="1">
            <w:col w:w="10239"/>
          </w:cols>
          <w:pgMar w:left="220" w:top="141" w:right="1440" w:bottom="0" w:gutter="0" w:footer="0" w:header="0"/>
        </w:sectPr>
      </w:pPr>
    </w:p>
    <w:bookmarkStart w:id="6" w:name="page7"/>
    <w:bookmarkEnd w:id="6"/>
    <w:p>
      <w:pPr>
        <w:ind w:right="3819"/>
        <w:spacing w:after="0" w:line="252" w:lineRule="auto"/>
        <w:rPr>
          <w:sz w:val="20"/>
          <w:szCs w:val="20"/>
          <w:color w:val="auto"/>
        </w:rPr>
      </w:pPr>
      <w:r>
        <w:rPr>
          <w:rFonts w:ascii="Courier New" w:cs="Courier New" w:eastAsia="Courier New" w:hAnsi="Courier New"/>
          <w:sz w:val="13"/>
          <w:szCs w:val="13"/>
          <w:color w:val="auto"/>
        </w:rPr>
        <w:t>Manufacturing in August 1995. Mr. Gentry is responsible for the global operations of the Ball and Roller and Euroball Segments. Mr. Gentry's responsibilities include purchasing, inventory control and transportation. Mr. Gentry joined NN in 1981 and held various production control positions within NN from 1981 to August 1995.</w:t>
      </w:r>
    </w:p>
    <w:p>
      <w:pPr>
        <w:spacing w:after="0" w:line="200" w:lineRule="exact"/>
        <w:rPr>
          <w:sz w:val="20"/>
          <w:szCs w:val="20"/>
          <w:color w:val="auto"/>
        </w:rPr>
      </w:pPr>
    </w:p>
    <w:p>
      <w:pPr>
        <w:spacing w:after="0" w:line="261"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Robert R. Sams joined NN in 1996 as Plant Manager of the Mountain City, Tennessee facility. In 1997, Mr. Sams served as Managing Director of the Kilkenny facility and in 1999 was elected to the position of Vice President - Market Services. Prior to joining NN, Mr. Sams held various positions with Hoover Precision Products from 1980 to 1994 and most recently as Vice President of Production for Blum, Inc. from 1994 to 1996.</w:t>
      </w:r>
    </w:p>
    <w:p>
      <w:pPr>
        <w:spacing w:after="0" w:line="155" w:lineRule="exact"/>
        <w:rPr>
          <w:sz w:val="20"/>
          <w:szCs w:val="20"/>
          <w:color w:val="auto"/>
        </w:rPr>
      </w:pPr>
    </w:p>
    <w:p>
      <w:pPr>
        <w:ind w:right="3899" w:firstLine="722"/>
        <w:spacing w:after="0" w:line="251" w:lineRule="auto"/>
        <w:rPr>
          <w:sz w:val="20"/>
          <w:szCs w:val="20"/>
          <w:color w:val="auto"/>
        </w:rPr>
      </w:pPr>
      <w:r>
        <w:rPr>
          <w:rFonts w:ascii="Courier New" w:cs="Courier New" w:eastAsia="Courier New" w:hAnsi="Courier New"/>
          <w:sz w:val="13"/>
          <w:szCs w:val="13"/>
          <w:color w:val="auto"/>
        </w:rPr>
        <w:t>David L. Dyckman was appointed Vice President of Corporate Development and Chief Financial Officer in April 1998. Prior to joining NN, Mr. Dyckman served from January 1997 until April 1998 as Vice President--Marketing and International Sales for the Veeder-Root Division of the Danaher Corporation. From 1987 until 1997, Mr. Dyckman held various positions with Emerson Electric Company including General Manager and Vice President of the Gearing Division of Emerson's Power Transmission subsidiary.</w:t>
      </w:r>
    </w:p>
    <w:p>
      <w:pPr>
        <w:spacing w:after="0" w:line="156"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William C. Kelly, Jr. joined NN in 1993 as Assistant Treasurer and Manager of Investor Relations. In March, 2003, Mr. Kelly was elected to serve as NN's Chief Administrative Officer. In July 1994, Mr. Kelly was elected to serve as NN's Chief Accounting Officer, and served in that capacity through March 2003. In February 1995, was elected Treasurer and Assistant Secretary. In March 1999 he was elected Secretary of NN and still serves in that capacity as well as that of Treasurer. Prior to joining NN, Mr. Kelly served from 1988 to 1993 as a Staff Accountant and as a Senior Auditor with the accounting firm of PricewaterhouseCoopers LLP.</w:t>
      </w:r>
    </w:p>
    <w:p>
      <w:pPr>
        <w:spacing w:after="0" w:line="310"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3"/>
          <w:szCs w:val="13"/>
          <w:b w:val="1"/>
          <w:bCs w:val="1"/>
          <w:color w:val="auto"/>
        </w:rPr>
        <w:t>Item 2.</w:t>
        <w:tab/>
        <w:t>Properties</w:t>
      </w:r>
    </w:p>
    <w:p>
      <w:pPr>
        <w:spacing w:after="0" w:line="161" w:lineRule="exact"/>
        <w:rPr>
          <w:sz w:val="20"/>
          <w:szCs w:val="20"/>
          <w:color w:val="auto"/>
        </w:rPr>
      </w:pPr>
    </w:p>
    <w:p>
      <w:pPr>
        <w:ind w:right="3979" w:firstLine="722"/>
        <w:spacing w:after="0" w:line="251" w:lineRule="auto"/>
        <w:rPr>
          <w:sz w:val="20"/>
          <w:szCs w:val="20"/>
          <w:color w:val="auto"/>
        </w:rPr>
      </w:pPr>
      <w:r>
        <w:rPr>
          <w:rFonts w:ascii="Courier New" w:cs="Courier New" w:eastAsia="Courier New" w:hAnsi="Courier New"/>
          <w:sz w:val="13"/>
          <w:szCs w:val="13"/>
          <w:color w:val="auto"/>
        </w:rPr>
        <w:t>The Company has two operating domestic ball manufacturing facilities located in Erwin, Tennessee and Mountain City, Tennessee. Rollers are produced only at the Erwin, Tennessee facility. Production began in early 1996 at the Mountain City facility. During December 2001, we ceased production and closed our facility in Walterboro, South Carolina. The Walterboro, South Carolina facility is classified as held for sale at December 31, 2002 and 2001.</w:t>
      </w:r>
    </w:p>
    <w:p>
      <w:pPr>
        <w:spacing w:after="0" w:line="155" w:lineRule="exact"/>
        <w:rPr>
          <w:sz w:val="20"/>
          <w:szCs w:val="20"/>
          <w:color w:val="auto"/>
        </w:rPr>
      </w:pPr>
    </w:p>
    <w:p>
      <w:pPr>
        <w:ind w:right="3819" w:firstLine="722"/>
        <w:spacing w:after="0" w:line="252" w:lineRule="auto"/>
        <w:rPr>
          <w:sz w:val="20"/>
          <w:szCs w:val="20"/>
          <w:color w:val="auto"/>
        </w:rPr>
      </w:pPr>
      <w:r>
        <w:rPr>
          <w:rFonts w:ascii="Courier New" w:cs="Courier New" w:eastAsia="Courier New" w:hAnsi="Courier New"/>
          <w:sz w:val="13"/>
          <w:szCs w:val="13"/>
          <w:color w:val="auto"/>
        </w:rPr>
        <w:t>The Erwin and Mountain City plants currently have approximately 125,000 and 86,400 square feet of manufacturing space, respectively. The Erwin plant is located on a 12 acre tract of land owned by the Company and the Mountain City plant is located on an eight acre tract of land owned by the Company.</w:t>
      </w:r>
    </w:p>
    <w:p>
      <w:pPr>
        <w:spacing w:after="0" w:line="153" w:lineRule="exact"/>
        <w:rPr>
          <w:sz w:val="20"/>
          <w:szCs w:val="20"/>
          <w:color w:val="auto"/>
        </w:rPr>
      </w:pPr>
    </w:p>
    <w:p>
      <w:pPr>
        <w:ind w:right="3899" w:firstLine="722"/>
        <w:spacing w:after="0" w:line="251" w:lineRule="auto"/>
        <w:rPr>
          <w:sz w:val="20"/>
          <w:szCs w:val="20"/>
          <w:color w:val="auto"/>
        </w:rPr>
      </w:pPr>
      <w:r>
        <w:rPr>
          <w:rFonts w:ascii="Courier New" w:cs="Courier New" w:eastAsia="Courier New" w:hAnsi="Courier New"/>
          <w:sz w:val="13"/>
          <w:szCs w:val="13"/>
          <w:color w:val="auto"/>
        </w:rPr>
        <w:t>Through Euroball we manufacture high precision steel balls in three manufacturing facilities located in Kilkenny, Ireland, Eltmann, Germany and Pinerolo, Italy. The facilities currently have approximately 125,000, 175,000 and 330,000 square feet of manufacturing space, respectively. The Kilkenny facility is located on a two acre tract owned by Euroball, the Eltmann facility is leased from FAG and the Pinerolo facility is located on a nine acre tract owned by Euroball.</w:t>
      </w:r>
    </w:p>
    <w:p>
      <w:pPr>
        <w:spacing w:after="0" w:line="156"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IMC manufactures a wide range of plastic molded products through two facilities located in Lubbock, Texas. The Slaton facility, located on a six and one half acre tract of land owned by the Company, contains approximately 193,000 square feet of manufacturing, warehouse and office space. The Cedar facility is situated on a two and one half acre tract of land which is also owned by the Company and contains approximately 35,000 square feet of manufacturing and warehouse space.</w:t>
      </w:r>
    </w:p>
    <w:p>
      <w:pPr>
        <w:spacing w:after="0" w:line="156" w:lineRule="exact"/>
        <w:rPr>
          <w:sz w:val="20"/>
          <w:szCs w:val="20"/>
          <w:color w:val="auto"/>
        </w:rPr>
      </w:pPr>
    </w:p>
    <w:p>
      <w:pPr>
        <w:ind w:left="720"/>
        <w:spacing w:after="0"/>
        <w:rPr>
          <w:sz w:val="20"/>
          <w:szCs w:val="20"/>
          <w:color w:val="auto"/>
        </w:rPr>
      </w:pPr>
      <w:r>
        <w:rPr>
          <w:rFonts w:ascii="Courier New" w:cs="Courier New" w:eastAsia="Courier New" w:hAnsi="Courier New"/>
          <w:sz w:val="13"/>
          <w:szCs w:val="13"/>
          <w:color w:val="auto"/>
        </w:rPr>
        <w:t>NN Arte leases a single 18,000 square foot facility in Guadalajara,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Mexico.</w:t>
      </w:r>
    </w:p>
    <w:p>
      <w:pPr>
        <w:spacing w:after="0" w:line="161" w:lineRule="exact"/>
        <w:rPr>
          <w:sz w:val="20"/>
          <w:szCs w:val="20"/>
          <w:color w:val="auto"/>
        </w:rPr>
      </w:pPr>
    </w:p>
    <w:p>
      <w:pPr>
        <w:ind w:right="3899" w:firstLine="722"/>
        <w:spacing w:after="0" w:line="253" w:lineRule="auto"/>
        <w:rPr>
          <w:sz w:val="20"/>
          <w:szCs w:val="20"/>
          <w:color w:val="auto"/>
        </w:rPr>
      </w:pPr>
      <w:r>
        <w:rPr>
          <w:rFonts w:ascii="Courier New" w:cs="Courier New" w:eastAsia="Courier New" w:hAnsi="Courier New"/>
          <w:sz w:val="13"/>
          <w:szCs w:val="13"/>
          <w:color w:val="auto"/>
        </w:rPr>
        <w:t>Delta's operations are located in two facilities on a 12-acre site in Danielson, Connecticut, owned by the Company. The two facilities encompass over 50,000 square feet of rubber seal manufacturing and administrative functions.</w:t>
      </w:r>
    </w:p>
    <w:p>
      <w:pPr>
        <w:spacing w:after="0" w:line="151" w:lineRule="exact"/>
        <w:rPr>
          <w:sz w:val="20"/>
          <w:szCs w:val="20"/>
          <w:color w:val="auto"/>
        </w:rPr>
      </w:pPr>
    </w:p>
    <w:p>
      <w:pPr>
        <w:ind w:right="3819" w:firstLine="722"/>
        <w:spacing w:after="0" w:line="253" w:lineRule="auto"/>
        <w:rPr>
          <w:sz w:val="20"/>
          <w:szCs w:val="20"/>
          <w:color w:val="auto"/>
        </w:rPr>
      </w:pPr>
      <w:r>
        <w:rPr>
          <w:rFonts w:ascii="Courier New" w:cs="Courier New" w:eastAsia="Courier New" w:hAnsi="Courier New"/>
          <w:sz w:val="13"/>
          <w:szCs w:val="13"/>
          <w:color w:val="auto"/>
        </w:rPr>
        <w:t>During 2002, the Company added new machinery and equipment at all of its facilities. See "Management's Discussion and Analysis of Financial Condition and Results of Operations -- Liquidity and Capital Resources."</w:t>
      </w:r>
    </w:p>
    <w:p>
      <w:pPr>
        <w:spacing w:after="0" w:line="151"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3"/>
          <w:szCs w:val="13"/>
          <w:b w:val="1"/>
          <w:bCs w:val="1"/>
          <w:color w:val="auto"/>
        </w:rPr>
        <w:t>Item 3.</w:t>
        <w:tab/>
        <w:t>Legal Proceedings</w:t>
      </w:r>
    </w:p>
    <w:p>
      <w:pPr>
        <w:spacing w:after="0" w:line="161" w:lineRule="exact"/>
        <w:rPr>
          <w:sz w:val="20"/>
          <w:szCs w:val="20"/>
          <w:color w:val="auto"/>
        </w:rPr>
      </w:pPr>
    </w:p>
    <w:p>
      <w:pPr>
        <w:ind w:right="4059" w:firstLine="722"/>
        <w:spacing w:after="0" w:line="251" w:lineRule="auto"/>
        <w:rPr>
          <w:sz w:val="20"/>
          <w:szCs w:val="20"/>
          <w:color w:val="auto"/>
        </w:rPr>
      </w:pPr>
      <w:r>
        <w:rPr>
          <w:rFonts w:ascii="Courier New" w:cs="Courier New" w:eastAsia="Courier New" w:hAnsi="Courier New"/>
          <w:sz w:val="13"/>
          <w:szCs w:val="13"/>
          <w:color w:val="auto"/>
        </w:rPr>
        <w:t>From time to time the Company is subject to legal actions related to its operations, most of which are of an ordinary and routine nature and are incidental to the operations of the Company. Management believes that such proceedings should not, individually or in the aggregate, have a material adverse effect on the Company's business or financial condition or on the results of operations.</w:t>
      </w:r>
    </w:p>
    <w:p>
      <w:pPr>
        <w:spacing w:after="0" w:line="310"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3"/>
          <w:szCs w:val="13"/>
          <w:b w:val="1"/>
          <w:bCs w:val="1"/>
          <w:color w:val="auto"/>
        </w:rPr>
        <w:t>Item 4.</w:t>
        <w:tab/>
        <w:t>Submission of Matters to a Vote of Security Holders</w:t>
      </w:r>
    </w:p>
    <w:p>
      <w:pPr>
        <w:spacing w:after="0" w:line="161" w:lineRule="exact"/>
        <w:rPr>
          <w:sz w:val="20"/>
          <w:szCs w:val="20"/>
          <w:color w:val="auto"/>
        </w:rPr>
      </w:pPr>
    </w:p>
    <w:p>
      <w:pPr>
        <w:ind w:right="3899" w:firstLine="722"/>
        <w:spacing w:after="0" w:line="254" w:lineRule="auto"/>
        <w:rPr>
          <w:sz w:val="20"/>
          <w:szCs w:val="20"/>
          <w:color w:val="auto"/>
        </w:rPr>
      </w:pPr>
      <w:r>
        <w:rPr>
          <w:rFonts w:ascii="Courier New" w:cs="Courier New" w:eastAsia="Courier New" w:hAnsi="Courier New"/>
          <w:sz w:val="13"/>
          <w:szCs w:val="13"/>
          <w:color w:val="auto"/>
        </w:rPr>
        <w:t>No matters were submitted for a vote of stockholders during the fourth quarter of 2002.</w:t>
      </w:r>
    </w:p>
    <w:p>
      <w:pPr>
        <w:spacing w:after="0" w:line="200" w:lineRule="exact"/>
        <w:rPr>
          <w:sz w:val="20"/>
          <w:szCs w:val="20"/>
          <w:color w:val="auto"/>
        </w:rPr>
      </w:pPr>
    </w:p>
    <w:p>
      <w:pPr>
        <w:spacing w:after="0" w:line="259"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3"/>
          <w:szCs w:val="13"/>
          <w:b w:val="1"/>
          <w:bCs w:val="1"/>
          <w:color w:val="auto"/>
        </w:rPr>
        <w:t>Part II</w:t>
      </w:r>
    </w:p>
    <w:p>
      <w:pPr>
        <w:spacing w:after="0" w:line="161"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3"/>
          <w:szCs w:val="13"/>
          <w:b w:val="1"/>
          <w:bCs w:val="1"/>
          <w:color w:val="auto"/>
        </w:rPr>
        <w:t>Item 5.</w:t>
        <w:tab/>
        <w:t>Market for the Registrant's Common Equity and Related Stockholder Matters</w:t>
      </w:r>
    </w:p>
    <w:p>
      <w:pPr>
        <w:spacing w:after="0" w:line="161" w:lineRule="exact"/>
        <w:rPr>
          <w:sz w:val="20"/>
          <w:szCs w:val="20"/>
          <w:color w:val="auto"/>
        </w:rPr>
      </w:pPr>
    </w:p>
    <w:p>
      <w:pPr>
        <w:ind w:left="720"/>
        <w:spacing w:after="0"/>
        <w:rPr>
          <w:sz w:val="20"/>
          <w:szCs w:val="20"/>
          <w:color w:val="auto"/>
        </w:rPr>
      </w:pPr>
      <w:r>
        <w:rPr>
          <w:rFonts w:ascii="Courier New" w:cs="Courier New" w:eastAsia="Courier New" w:hAnsi="Courier New"/>
          <w:sz w:val="13"/>
          <w:szCs w:val="13"/>
          <w:color w:val="auto"/>
        </w:rPr>
        <w:t>Since the Company's initial public offering in 1994, the Common Stock</w:t>
      </w:r>
    </w:p>
    <w:p>
      <w:pPr>
        <w:sectPr>
          <w:pgSz w:w="11900" w:h="16838" w:orient="portrait"/>
          <w:cols w:equalWidth="0" w:num="1">
            <w:col w:w="10239"/>
          </w:cols>
          <w:pgMar w:left="220" w:top="141" w:right="1440" w:bottom="0" w:gutter="0" w:footer="0" w:header="0"/>
        </w:sectPr>
      </w:pPr>
    </w:p>
    <w:bookmarkStart w:id="7" w:name="page8"/>
    <w:bookmarkEnd w:id="7"/>
    <w:p>
      <w:pPr>
        <w:ind w:right="4400"/>
        <w:spacing w:after="0" w:line="254" w:lineRule="auto"/>
        <w:rPr>
          <w:sz w:val="20"/>
          <w:szCs w:val="20"/>
          <w:color w:val="auto"/>
        </w:rPr>
      </w:pPr>
      <w:r>
        <w:rPr>
          <w:rFonts w:ascii="Courier New" w:cs="Courier New" w:eastAsia="Courier New" w:hAnsi="Courier New"/>
          <w:sz w:val="13"/>
          <w:szCs w:val="13"/>
          <w:color w:val="auto"/>
        </w:rPr>
        <w:t>has been traded on the Nasdaq National Market under the trading symbol "NNBR." Prior to such time there was no established market for the Common Stock. As of March 28, 2003, there were approximately 1,800 holders of the Common Stock.</w:t>
      </w:r>
    </w:p>
    <w:p>
      <w:pPr>
        <w:spacing w:after="0" w:line="304" w:lineRule="exact"/>
        <w:rPr>
          <w:sz w:val="20"/>
          <w:szCs w:val="20"/>
          <w:color w:val="auto"/>
        </w:rPr>
      </w:pPr>
    </w:p>
    <w:p>
      <w:pPr>
        <w:ind w:left="720"/>
        <w:spacing w:after="0"/>
        <w:rPr>
          <w:sz w:val="20"/>
          <w:szCs w:val="20"/>
          <w:color w:val="auto"/>
        </w:rPr>
      </w:pPr>
      <w:r>
        <w:rPr>
          <w:rFonts w:ascii="Courier New" w:cs="Courier New" w:eastAsia="Courier New" w:hAnsi="Courier New"/>
          <w:sz w:val="13"/>
          <w:szCs w:val="13"/>
          <w:color w:val="auto"/>
        </w:rPr>
        <w:t>The following table sets forth the high and low sales prices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Common Stock, as reported by Nasdaq, and the dividends paid per share on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Common Stock during each calendar quarter of 2002 and 2001.</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00" w:type="dxa"/>
            <w:vAlign w:val="bottom"/>
          </w:tcPr>
          <w:p>
            <w:pPr>
              <w:jc w:val="right"/>
              <w:ind w:right="1033"/>
              <w:spacing w:after="0"/>
              <w:rPr>
                <w:sz w:val="20"/>
                <w:szCs w:val="20"/>
                <w:color w:val="auto"/>
              </w:rPr>
            </w:pPr>
            <w:r>
              <w:rPr>
                <w:rFonts w:ascii="Courier New" w:cs="Courier New" w:eastAsia="Courier New" w:hAnsi="Courier New"/>
                <w:sz w:val="13"/>
                <w:szCs w:val="13"/>
                <w:b w:val="1"/>
                <w:bCs w:val="1"/>
                <w:color w:val="auto"/>
                <w:w w:val="97"/>
              </w:rPr>
              <w:t>Price</w:t>
            </w:r>
          </w:p>
        </w:tc>
        <w:tc>
          <w:tcPr>
            <w:tcW w:w="1000" w:type="dxa"/>
            <w:vAlign w:val="bottom"/>
          </w:tcPr>
          <w:p>
            <w:pPr>
              <w:spacing w:after="0"/>
              <w:rPr>
                <w:sz w:val="12"/>
                <w:szCs w:val="12"/>
                <w:color w:val="auto"/>
              </w:rPr>
            </w:pPr>
          </w:p>
        </w:tc>
      </w:tr>
      <w:tr>
        <w:trPr>
          <w:trHeight w:val="154"/>
        </w:trPr>
        <w:tc>
          <w:tcPr>
            <w:tcW w:w="1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00" w:type="dxa"/>
            <w:vAlign w:val="bottom"/>
          </w:tcPr>
          <w:p>
            <w:pPr>
              <w:jc w:val="right"/>
              <w:ind w:right="1033"/>
              <w:spacing w:after="0"/>
              <w:rPr>
                <w:sz w:val="20"/>
                <w:szCs w:val="20"/>
                <w:color w:val="auto"/>
              </w:rPr>
            </w:pPr>
            <w:r>
              <w:rPr>
                <w:rFonts w:ascii="Courier New" w:cs="Courier New" w:eastAsia="Courier New" w:hAnsi="Courier New"/>
                <w:sz w:val="13"/>
                <w:szCs w:val="13"/>
                <w:b w:val="1"/>
                <w:bCs w:val="1"/>
                <w:color w:val="auto"/>
                <w:w w:val="97"/>
              </w:rPr>
              <w:t>-----</w:t>
            </w:r>
          </w:p>
        </w:tc>
        <w:tc>
          <w:tcPr>
            <w:tcW w:w="1000" w:type="dxa"/>
            <w:vAlign w:val="bottom"/>
          </w:tcPr>
          <w:p>
            <w:pPr>
              <w:spacing w:after="0"/>
              <w:rPr>
                <w:sz w:val="13"/>
                <w:szCs w:val="13"/>
                <w:color w:val="auto"/>
              </w:rPr>
            </w:pPr>
          </w:p>
        </w:tc>
      </w:tr>
      <w:tr>
        <w:trPr>
          <w:trHeight w:val="154"/>
        </w:trPr>
        <w:tc>
          <w:tcPr>
            <w:tcW w:w="15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High</w:t>
            </w:r>
          </w:p>
        </w:tc>
        <w:tc>
          <w:tcPr>
            <w:tcW w:w="1500" w:type="dxa"/>
            <w:vAlign w:val="bottom"/>
          </w:tcPr>
          <w:p>
            <w:pPr>
              <w:jc w:val="right"/>
              <w:ind w:right="293"/>
              <w:spacing w:after="0"/>
              <w:rPr>
                <w:sz w:val="20"/>
                <w:szCs w:val="20"/>
                <w:color w:val="auto"/>
              </w:rPr>
            </w:pPr>
            <w:r>
              <w:rPr>
                <w:rFonts w:ascii="Courier New" w:cs="Courier New" w:eastAsia="Courier New" w:hAnsi="Courier New"/>
                <w:sz w:val="13"/>
                <w:szCs w:val="13"/>
                <w:b w:val="1"/>
                <w:bCs w:val="1"/>
                <w:color w:val="auto"/>
              </w:rPr>
              <w:t>Low</w:t>
            </w:r>
          </w:p>
        </w:tc>
        <w:tc>
          <w:tcPr>
            <w:tcW w:w="100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Dividend</w:t>
            </w:r>
          </w:p>
        </w:tc>
      </w:tr>
      <w:tr>
        <w:trPr>
          <w:trHeight w:val="154"/>
        </w:trPr>
        <w:tc>
          <w:tcPr>
            <w:tcW w:w="15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w:t>
            </w:r>
          </w:p>
        </w:tc>
        <w:tc>
          <w:tcPr>
            <w:tcW w:w="1500" w:type="dxa"/>
            <w:vAlign w:val="bottom"/>
          </w:tcPr>
          <w:p>
            <w:pPr>
              <w:jc w:val="right"/>
              <w:ind w:right="293"/>
              <w:spacing w:after="0"/>
              <w:rPr>
                <w:sz w:val="20"/>
                <w:szCs w:val="20"/>
                <w:color w:val="auto"/>
              </w:rPr>
            </w:pPr>
            <w:r>
              <w:rPr>
                <w:rFonts w:ascii="Courier New" w:cs="Courier New" w:eastAsia="Courier New" w:hAnsi="Courier New"/>
                <w:sz w:val="13"/>
                <w:szCs w:val="13"/>
                <w:b w:val="1"/>
                <w:bCs w:val="1"/>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w:t>
            </w:r>
          </w:p>
        </w:tc>
      </w:tr>
      <w:tr>
        <w:trPr>
          <w:trHeight w:val="154"/>
        </w:trPr>
        <w:tc>
          <w:tcPr>
            <w:tcW w:w="1520" w:type="dxa"/>
            <w:vAlign w:val="bottom"/>
          </w:tcPr>
          <w:p>
            <w:pPr>
              <w:spacing w:after="0"/>
              <w:rPr>
                <w:sz w:val="20"/>
                <w:szCs w:val="20"/>
                <w:color w:val="auto"/>
              </w:rPr>
            </w:pPr>
            <w:r>
              <w:rPr>
                <w:rFonts w:ascii="Courier New" w:cs="Courier New" w:eastAsia="Courier New" w:hAnsi="Courier New"/>
                <w:sz w:val="13"/>
                <w:szCs w:val="13"/>
                <w:b w:val="1"/>
                <w:bCs w:val="1"/>
                <w:color w:val="auto"/>
              </w:rPr>
              <w:t>2002</w:t>
            </w:r>
          </w:p>
        </w:tc>
        <w:tc>
          <w:tcPr>
            <w:tcW w:w="9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4"/>
        </w:trPr>
        <w:tc>
          <w:tcPr>
            <w:tcW w:w="1520" w:type="dxa"/>
            <w:vAlign w:val="bottom"/>
          </w:tcPr>
          <w:p>
            <w:pPr>
              <w:spacing w:after="0"/>
              <w:rPr>
                <w:sz w:val="20"/>
                <w:szCs w:val="20"/>
                <w:color w:val="auto"/>
              </w:rPr>
            </w:pPr>
            <w:r>
              <w:rPr>
                <w:rFonts w:ascii="Courier New" w:cs="Courier New" w:eastAsia="Courier New" w:hAnsi="Courier New"/>
                <w:sz w:val="13"/>
                <w:szCs w:val="13"/>
                <w:b w:val="1"/>
                <w:bCs w:val="1"/>
                <w:color w:val="auto"/>
              </w:rPr>
              <w:t>- ----</w:t>
            </w:r>
          </w:p>
        </w:tc>
        <w:tc>
          <w:tcPr>
            <w:tcW w:w="9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4"/>
        </w:trPr>
        <w:tc>
          <w:tcPr>
            <w:tcW w:w="1520" w:type="dxa"/>
            <w:vAlign w:val="bottom"/>
          </w:tcPr>
          <w:p>
            <w:pPr>
              <w:spacing w:after="0"/>
              <w:rPr>
                <w:sz w:val="20"/>
                <w:szCs w:val="20"/>
                <w:color w:val="auto"/>
              </w:rPr>
            </w:pPr>
            <w:r>
              <w:rPr>
                <w:rFonts w:ascii="Courier New" w:cs="Courier New" w:eastAsia="Courier New" w:hAnsi="Courier New"/>
                <w:sz w:val="13"/>
                <w:szCs w:val="13"/>
                <w:color w:val="auto"/>
              </w:rPr>
              <w:t>First Quarter</w:t>
            </w:r>
          </w:p>
        </w:tc>
        <w:tc>
          <w:tcPr>
            <w:tcW w:w="960" w:type="dxa"/>
            <w:vAlign w:val="bottom"/>
          </w:tcPr>
          <w:p>
            <w:pPr>
              <w:jc w:val="right"/>
              <w:spacing w:after="0"/>
              <w:rPr>
                <w:sz w:val="20"/>
                <w:szCs w:val="20"/>
                <w:color w:val="auto"/>
              </w:rPr>
            </w:pPr>
            <w:r>
              <w:rPr>
                <w:rFonts w:ascii="Courier New" w:cs="Courier New" w:eastAsia="Courier New" w:hAnsi="Courier New"/>
                <w:sz w:val="13"/>
                <w:szCs w:val="13"/>
                <w:color w:val="auto"/>
              </w:rPr>
              <w:t>$ 11.00</w:t>
            </w:r>
          </w:p>
        </w:tc>
        <w:tc>
          <w:tcPr>
            <w:tcW w:w="150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$9.15</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$0.08</w:t>
            </w:r>
          </w:p>
        </w:tc>
      </w:tr>
      <w:tr>
        <w:trPr>
          <w:trHeight w:val="154"/>
        </w:trPr>
        <w:tc>
          <w:tcPr>
            <w:tcW w:w="1520" w:type="dxa"/>
            <w:vAlign w:val="bottom"/>
          </w:tcPr>
          <w:p>
            <w:pPr>
              <w:spacing w:after="0"/>
              <w:rPr>
                <w:sz w:val="20"/>
                <w:szCs w:val="20"/>
                <w:color w:val="auto"/>
              </w:rPr>
            </w:pPr>
            <w:r>
              <w:rPr>
                <w:rFonts w:ascii="Courier New" w:cs="Courier New" w:eastAsia="Courier New" w:hAnsi="Courier New"/>
                <w:sz w:val="13"/>
                <w:szCs w:val="13"/>
                <w:color w:val="auto"/>
              </w:rPr>
              <w:t>Second Quarter</w:t>
            </w:r>
          </w:p>
        </w:tc>
        <w:tc>
          <w:tcPr>
            <w:tcW w:w="960" w:type="dxa"/>
            <w:vAlign w:val="bottom"/>
          </w:tcPr>
          <w:p>
            <w:pPr>
              <w:jc w:val="right"/>
              <w:spacing w:after="0"/>
              <w:rPr>
                <w:sz w:val="20"/>
                <w:szCs w:val="20"/>
                <w:color w:val="auto"/>
              </w:rPr>
            </w:pPr>
            <w:r>
              <w:rPr>
                <w:rFonts w:ascii="Courier New" w:cs="Courier New" w:eastAsia="Courier New" w:hAnsi="Courier New"/>
                <w:sz w:val="13"/>
                <w:szCs w:val="13"/>
                <w:color w:val="auto"/>
              </w:rPr>
              <w:t>12.80</w:t>
            </w:r>
          </w:p>
        </w:tc>
        <w:tc>
          <w:tcPr>
            <w:tcW w:w="150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9.68</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0.08</w:t>
            </w:r>
          </w:p>
        </w:tc>
      </w:tr>
      <w:tr>
        <w:trPr>
          <w:trHeight w:val="154"/>
        </w:trPr>
        <w:tc>
          <w:tcPr>
            <w:tcW w:w="1520" w:type="dxa"/>
            <w:vAlign w:val="bottom"/>
          </w:tcPr>
          <w:p>
            <w:pPr>
              <w:spacing w:after="0"/>
              <w:rPr>
                <w:sz w:val="20"/>
                <w:szCs w:val="20"/>
                <w:color w:val="auto"/>
              </w:rPr>
            </w:pPr>
            <w:r>
              <w:rPr>
                <w:rFonts w:ascii="Courier New" w:cs="Courier New" w:eastAsia="Courier New" w:hAnsi="Courier New"/>
                <w:sz w:val="13"/>
                <w:szCs w:val="13"/>
                <w:color w:val="auto"/>
              </w:rPr>
              <w:t>Third Quarter</w:t>
            </w:r>
          </w:p>
        </w:tc>
        <w:tc>
          <w:tcPr>
            <w:tcW w:w="960" w:type="dxa"/>
            <w:vAlign w:val="bottom"/>
          </w:tcPr>
          <w:p>
            <w:pPr>
              <w:jc w:val="right"/>
              <w:spacing w:after="0"/>
              <w:rPr>
                <w:sz w:val="20"/>
                <w:szCs w:val="20"/>
                <w:color w:val="auto"/>
              </w:rPr>
            </w:pPr>
            <w:r>
              <w:rPr>
                <w:rFonts w:ascii="Courier New" w:cs="Courier New" w:eastAsia="Courier New" w:hAnsi="Courier New"/>
                <w:sz w:val="13"/>
                <w:szCs w:val="13"/>
                <w:color w:val="auto"/>
              </w:rPr>
              <w:t>12.45</w:t>
            </w:r>
          </w:p>
        </w:tc>
        <w:tc>
          <w:tcPr>
            <w:tcW w:w="150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8.08</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0.08</w:t>
            </w:r>
          </w:p>
        </w:tc>
      </w:tr>
      <w:tr>
        <w:trPr>
          <w:trHeight w:val="154"/>
        </w:trPr>
        <w:tc>
          <w:tcPr>
            <w:tcW w:w="1520" w:type="dxa"/>
            <w:vAlign w:val="bottom"/>
          </w:tcPr>
          <w:p>
            <w:pPr>
              <w:spacing w:after="0"/>
              <w:rPr>
                <w:sz w:val="20"/>
                <w:szCs w:val="20"/>
                <w:color w:val="auto"/>
              </w:rPr>
            </w:pPr>
            <w:r>
              <w:rPr>
                <w:rFonts w:ascii="Courier New" w:cs="Courier New" w:eastAsia="Courier New" w:hAnsi="Courier New"/>
                <w:sz w:val="13"/>
                <w:szCs w:val="13"/>
                <w:color w:val="auto"/>
              </w:rPr>
              <w:t>Fourth Quarter</w:t>
            </w:r>
          </w:p>
        </w:tc>
        <w:tc>
          <w:tcPr>
            <w:tcW w:w="960" w:type="dxa"/>
            <w:vAlign w:val="bottom"/>
          </w:tcPr>
          <w:p>
            <w:pPr>
              <w:jc w:val="right"/>
              <w:spacing w:after="0"/>
              <w:rPr>
                <w:sz w:val="20"/>
                <w:szCs w:val="20"/>
                <w:color w:val="auto"/>
              </w:rPr>
            </w:pPr>
            <w:r>
              <w:rPr>
                <w:rFonts w:ascii="Courier New" w:cs="Courier New" w:eastAsia="Courier New" w:hAnsi="Courier New"/>
                <w:sz w:val="13"/>
                <w:szCs w:val="13"/>
                <w:color w:val="auto"/>
              </w:rPr>
              <w:t>10.10</w:t>
            </w:r>
          </w:p>
        </w:tc>
        <w:tc>
          <w:tcPr>
            <w:tcW w:w="150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6.98</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0.08</w:t>
            </w:r>
          </w:p>
        </w:tc>
      </w:tr>
      <w:tr>
        <w:trPr>
          <w:trHeight w:val="308"/>
        </w:trPr>
        <w:tc>
          <w:tcPr>
            <w:tcW w:w="1520" w:type="dxa"/>
            <w:vAlign w:val="bottom"/>
          </w:tcPr>
          <w:p>
            <w:pPr>
              <w:spacing w:after="0"/>
              <w:rPr>
                <w:sz w:val="20"/>
                <w:szCs w:val="20"/>
                <w:color w:val="auto"/>
              </w:rPr>
            </w:pPr>
            <w:r>
              <w:rPr>
                <w:rFonts w:ascii="Courier New" w:cs="Courier New" w:eastAsia="Courier New" w:hAnsi="Courier New"/>
                <w:sz w:val="13"/>
                <w:szCs w:val="13"/>
                <w:b w:val="1"/>
                <w:bCs w:val="1"/>
                <w:color w:val="auto"/>
              </w:rPr>
              <w:t>2001</w:t>
            </w:r>
          </w:p>
        </w:tc>
        <w:tc>
          <w:tcPr>
            <w:tcW w:w="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54"/>
        </w:trPr>
        <w:tc>
          <w:tcPr>
            <w:tcW w:w="1520" w:type="dxa"/>
            <w:vAlign w:val="bottom"/>
          </w:tcPr>
          <w:p>
            <w:pPr>
              <w:spacing w:after="0"/>
              <w:rPr>
                <w:sz w:val="20"/>
                <w:szCs w:val="20"/>
                <w:color w:val="auto"/>
              </w:rPr>
            </w:pPr>
            <w:r>
              <w:rPr>
                <w:rFonts w:ascii="Courier New" w:cs="Courier New" w:eastAsia="Courier New" w:hAnsi="Courier New"/>
                <w:sz w:val="13"/>
                <w:szCs w:val="13"/>
                <w:b w:val="1"/>
                <w:bCs w:val="1"/>
                <w:color w:val="auto"/>
              </w:rPr>
              <w:t>- ----</w:t>
            </w:r>
          </w:p>
        </w:tc>
        <w:tc>
          <w:tcPr>
            <w:tcW w:w="9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4"/>
        </w:trPr>
        <w:tc>
          <w:tcPr>
            <w:tcW w:w="1520" w:type="dxa"/>
            <w:vAlign w:val="bottom"/>
          </w:tcPr>
          <w:p>
            <w:pPr>
              <w:spacing w:after="0"/>
              <w:rPr>
                <w:sz w:val="20"/>
                <w:szCs w:val="20"/>
                <w:color w:val="auto"/>
              </w:rPr>
            </w:pPr>
            <w:r>
              <w:rPr>
                <w:rFonts w:ascii="Courier New" w:cs="Courier New" w:eastAsia="Courier New" w:hAnsi="Courier New"/>
                <w:sz w:val="13"/>
                <w:szCs w:val="13"/>
                <w:color w:val="auto"/>
              </w:rPr>
              <w:t>First Quarter</w:t>
            </w:r>
          </w:p>
        </w:tc>
        <w:tc>
          <w:tcPr>
            <w:tcW w:w="960" w:type="dxa"/>
            <w:vAlign w:val="bottom"/>
          </w:tcPr>
          <w:p>
            <w:pPr>
              <w:jc w:val="right"/>
              <w:spacing w:after="0"/>
              <w:rPr>
                <w:sz w:val="20"/>
                <w:szCs w:val="20"/>
                <w:color w:val="auto"/>
              </w:rPr>
            </w:pPr>
            <w:r>
              <w:rPr>
                <w:rFonts w:ascii="Courier New" w:cs="Courier New" w:eastAsia="Courier New" w:hAnsi="Courier New"/>
                <w:sz w:val="13"/>
                <w:szCs w:val="13"/>
                <w:color w:val="auto"/>
              </w:rPr>
              <w:t>$9.17</w:t>
            </w:r>
          </w:p>
        </w:tc>
        <w:tc>
          <w:tcPr>
            <w:tcW w:w="150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$6.53</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$0.08</w:t>
            </w:r>
          </w:p>
        </w:tc>
      </w:tr>
      <w:tr>
        <w:trPr>
          <w:trHeight w:val="154"/>
        </w:trPr>
        <w:tc>
          <w:tcPr>
            <w:tcW w:w="1520" w:type="dxa"/>
            <w:vAlign w:val="bottom"/>
          </w:tcPr>
          <w:p>
            <w:pPr>
              <w:spacing w:after="0"/>
              <w:rPr>
                <w:sz w:val="20"/>
                <w:szCs w:val="20"/>
                <w:color w:val="auto"/>
              </w:rPr>
            </w:pPr>
            <w:r>
              <w:rPr>
                <w:rFonts w:ascii="Courier New" w:cs="Courier New" w:eastAsia="Courier New" w:hAnsi="Courier New"/>
                <w:sz w:val="13"/>
                <w:szCs w:val="13"/>
                <w:color w:val="auto"/>
              </w:rPr>
              <w:t>Second Quarter</w:t>
            </w:r>
          </w:p>
        </w:tc>
        <w:tc>
          <w:tcPr>
            <w:tcW w:w="960" w:type="dxa"/>
            <w:vAlign w:val="bottom"/>
          </w:tcPr>
          <w:p>
            <w:pPr>
              <w:jc w:val="right"/>
              <w:spacing w:after="0"/>
              <w:rPr>
                <w:sz w:val="20"/>
                <w:szCs w:val="20"/>
                <w:color w:val="auto"/>
              </w:rPr>
            </w:pPr>
            <w:r>
              <w:rPr>
                <w:rFonts w:ascii="Courier New" w:cs="Courier New" w:eastAsia="Courier New" w:hAnsi="Courier New"/>
                <w:sz w:val="13"/>
                <w:szCs w:val="13"/>
                <w:color w:val="auto"/>
              </w:rPr>
              <w:t>10.81</w:t>
            </w:r>
          </w:p>
        </w:tc>
        <w:tc>
          <w:tcPr>
            <w:tcW w:w="150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6.50</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0.08</w:t>
            </w:r>
          </w:p>
        </w:tc>
      </w:tr>
      <w:tr>
        <w:trPr>
          <w:trHeight w:val="154"/>
        </w:trPr>
        <w:tc>
          <w:tcPr>
            <w:tcW w:w="1520" w:type="dxa"/>
            <w:vAlign w:val="bottom"/>
          </w:tcPr>
          <w:p>
            <w:pPr>
              <w:spacing w:after="0"/>
              <w:rPr>
                <w:sz w:val="20"/>
                <w:szCs w:val="20"/>
                <w:color w:val="auto"/>
              </w:rPr>
            </w:pPr>
            <w:r>
              <w:rPr>
                <w:rFonts w:ascii="Courier New" w:cs="Courier New" w:eastAsia="Courier New" w:hAnsi="Courier New"/>
                <w:sz w:val="13"/>
                <w:szCs w:val="13"/>
                <w:color w:val="auto"/>
              </w:rPr>
              <w:t>Third Quarter</w:t>
            </w:r>
          </w:p>
        </w:tc>
        <w:tc>
          <w:tcPr>
            <w:tcW w:w="960" w:type="dxa"/>
            <w:vAlign w:val="bottom"/>
          </w:tcPr>
          <w:p>
            <w:pPr>
              <w:jc w:val="right"/>
              <w:spacing w:after="0"/>
              <w:rPr>
                <w:sz w:val="20"/>
                <w:szCs w:val="20"/>
                <w:color w:val="auto"/>
              </w:rPr>
            </w:pPr>
            <w:r>
              <w:rPr>
                <w:rFonts w:ascii="Courier New" w:cs="Courier New" w:eastAsia="Courier New" w:hAnsi="Courier New"/>
                <w:sz w:val="13"/>
                <w:szCs w:val="13"/>
                <w:color w:val="auto"/>
              </w:rPr>
              <w:t>10.84</w:t>
            </w:r>
          </w:p>
        </w:tc>
        <w:tc>
          <w:tcPr>
            <w:tcW w:w="150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7.25</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0.08</w:t>
            </w:r>
          </w:p>
        </w:tc>
      </w:tr>
      <w:tr>
        <w:trPr>
          <w:trHeight w:val="154"/>
        </w:trPr>
        <w:tc>
          <w:tcPr>
            <w:tcW w:w="1520" w:type="dxa"/>
            <w:vAlign w:val="bottom"/>
          </w:tcPr>
          <w:p>
            <w:pPr>
              <w:spacing w:after="0"/>
              <w:rPr>
                <w:sz w:val="20"/>
                <w:szCs w:val="20"/>
                <w:color w:val="auto"/>
              </w:rPr>
            </w:pPr>
            <w:r>
              <w:rPr>
                <w:rFonts w:ascii="Courier New" w:cs="Courier New" w:eastAsia="Courier New" w:hAnsi="Courier New"/>
                <w:sz w:val="13"/>
                <w:szCs w:val="13"/>
                <w:color w:val="auto"/>
              </w:rPr>
              <w:t>Fourth Quarter</w:t>
            </w:r>
          </w:p>
        </w:tc>
        <w:tc>
          <w:tcPr>
            <w:tcW w:w="960" w:type="dxa"/>
            <w:vAlign w:val="bottom"/>
          </w:tcPr>
          <w:p>
            <w:pPr>
              <w:jc w:val="right"/>
              <w:spacing w:after="0"/>
              <w:rPr>
                <w:sz w:val="20"/>
                <w:szCs w:val="20"/>
                <w:color w:val="auto"/>
              </w:rPr>
            </w:pPr>
            <w:r>
              <w:rPr>
                <w:rFonts w:ascii="Courier New" w:cs="Courier New" w:eastAsia="Courier New" w:hAnsi="Courier New"/>
                <w:sz w:val="13"/>
                <w:szCs w:val="13"/>
                <w:color w:val="auto"/>
              </w:rPr>
              <w:t>11.30</w:t>
            </w:r>
          </w:p>
        </w:tc>
        <w:tc>
          <w:tcPr>
            <w:tcW w:w="150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7.75</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0.08</w:t>
            </w:r>
          </w:p>
        </w:tc>
      </w:tr>
    </w:tbl>
    <w:p>
      <w:pPr>
        <w:spacing w:after="0" w:line="159" w:lineRule="exact"/>
        <w:rPr>
          <w:sz w:val="20"/>
          <w:szCs w:val="20"/>
          <w:color w:val="auto"/>
        </w:rPr>
      </w:pPr>
    </w:p>
    <w:p>
      <w:pPr>
        <w:ind w:right="4320" w:firstLine="722"/>
        <w:spacing w:after="0" w:line="251" w:lineRule="auto"/>
        <w:rPr>
          <w:sz w:val="20"/>
          <w:szCs w:val="20"/>
          <w:color w:val="auto"/>
        </w:rPr>
      </w:pPr>
      <w:r>
        <w:rPr>
          <w:rFonts w:ascii="Courier New" w:cs="Courier New" w:eastAsia="Courier New" w:hAnsi="Courier New"/>
          <w:sz w:val="13"/>
          <w:szCs w:val="13"/>
          <w:color w:val="auto"/>
        </w:rPr>
        <w:t>The declaration and payment of dividends are subject to the sole discretion of the Board of Directors of the Company and depend upon the Company's profitability, financial condition, capital needs, future prospects and other factors deemed relevant by the Board of Directors. The terms of the Company's revolving credit facility restrict the payment of dividends by prohibiting the Company from declaring or paying any dividend if an event of default exists at the time of, or would occur as a result of, such declaration or payment. Additionally, the terms of the Company's revolving credit facility restrict the declaration and payment of dividends in excess of $5.5 million in any fiscal year. The amount of consolidated retained earnings which represents undistributed earnings of 50 percent or less owed persons accounted for by the equity method is zero at December 31, 2002 and 2001. For further description of the Company's revolving credit facility, see "Management's Discussion and Analysis of Financial Condition and Results of Operations - Liquidity and Capital Resources" herein.</w:t>
      </w:r>
    </w:p>
    <w:p>
      <w:pPr>
        <w:spacing w:after="0" w:line="311"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3"/>
          <w:szCs w:val="13"/>
          <w:b w:val="1"/>
          <w:bCs w:val="1"/>
          <w:color w:val="auto"/>
        </w:rPr>
        <w:t>Item 6.</w:t>
        <w:tab/>
        <w:t>Selected Financial Data</w:t>
      </w:r>
    </w:p>
    <w:p>
      <w:pPr>
        <w:spacing w:after="0" w:line="161" w:lineRule="exact"/>
        <w:rPr>
          <w:sz w:val="20"/>
          <w:szCs w:val="20"/>
          <w:color w:val="auto"/>
        </w:rPr>
      </w:pPr>
    </w:p>
    <w:p>
      <w:pPr>
        <w:ind w:right="4240" w:firstLine="722"/>
        <w:spacing w:after="0" w:line="251" w:lineRule="auto"/>
        <w:rPr>
          <w:sz w:val="20"/>
          <w:szCs w:val="20"/>
          <w:color w:val="auto"/>
        </w:rPr>
      </w:pPr>
      <w:r>
        <w:rPr>
          <w:rFonts w:ascii="Courier New" w:cs="Courier New" w:eastAsia="Courier New" w:hAnsi="Courier New"/>
          <w:sz w:val="13"/>
          <w:szCs w:val="13"/>
          <w:color w:val="auto"/>
        </w:rPr>
        <w:t>The following selected financial data of the Company are qualified by reference to and should be read in conjunction with the Consolidated Financial Statements and the Notes thereto included as Item 8. The data set forth below as of December 31, 2002, 2001 and 2000 and for the periods then ended have been derived from the Consolidated Financial Statements of the Company which have been audited by KPMG LLP, independent accountants, whose report thereon is included as part of Item 8. The data below as of December 31, 1999 and 1998 and for the periods then ended have been derived from the Consolidated Financial Statements of the Company, which have been audited by PricewaterhouseCoopers LLP, independent accountants. These historical results are not necessarily indicative of the results to be expected in the future. See "Management's Discussion and Analysis of Financial Condition and Results of Operations."</w:t>
      </w:r>
    </w:p>
    <w:p>
      <w:pPr>
        <w:spacing w:after="0" w:line="200" w:lineRule="exact"/>
        <w:rPr>
          <w:sz w:val="20"/>
          <w:szCs w:val="20"/>
          <w:color w:val="auto"/>
        </w:rPr>
      </w:pPr>
    </w:p>
    <w:p>
      <w:pPr>
        <w:spacing w:after="0" w:line="265"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tcPr>
          <w:p>
            <w:pPr>
              <w:spacing w:after="0"/>
              <w:rPr>
                <w:sz w:val="20"/>
                <w:szCs w:val="20"/>
                <w:color w:val="auto"/>
              </w:rPr>
            </w:pPr>
            <w:r>
              <w:rPr>
                <w:rFonts w:ascii="Courier New" w:cs="Courier New" w:eastAsia="Courier New" w:hAnsi="Courier New"/>
                <w:sz w:val="13"/>
                <w:szCs w:val="13"/>
                <w:b w:val="1"/>
                <w:bCs w:val="1"/>
                <w:color w:val="auto"/>
              </w:rPr>
              <w:t>(In Thousands, Except Per Share Data)</w:t>
            </w:r>
          </w:p>
        </w:tc>
        <w:tc>
          <w:tcPr>
            <w:tcW w:w="1520" w:type="dxa"/>
            <w:vAlign w:val="bottom"/>
          </w:tcPr>
          <w:p>
            <w:pPr>
              <w:spacing w:after="0"/>
              <w:rPr>
                <w:sz w:val="12"/>
                <w:szCs w:val="12"/>
                <w:color w:val="auto"/>
              </w:rPr>
            </w:pPr>
          </w:p>
        </w:tc>
        <w:tc>
          <w:tcPr>
            <w:tcW w:w="2800" w:type="dxa"/>
            <w:vAlign w:val="bottom"/>
            <w:gridSpan w:val="2"/>
          </w:tcPr>
          <w:p>
            <w:pPr>
              <w:jc w:val="right"/>
              <w:spacing w:after="0"/>
              <w:rPr>
                <w:sz w:val="20"/>
                <w:szCs w:val="20"/>
                <w:color w:val="auto"/>
              </w:rPr>
            </w:pPr>
            <w:r>
              <w:rPr>
                <w:rFonts w:ascii="Courier New" w:cs="Courier New" w:eastAsia="Courier New" w:hAnsi="Courier New"/>
                <w:sz w:val="13"/>
                <w:szCs w:val="13"/>
                <w:b w:val="1"/>
                <w:bCs w:val="1"/>
                <w:color w:val="auto"/>
              </w:rPr>
              <w:t>Year Ended December 31,</w:t>
            </w:r>
          </w:p>
        </w:tc>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54"/>
        </w:trPr>
        <w:tc>
          <w:tcPr>
            <w:tcW w:w="40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800" w:type="dxa"/>
            <w:vAlign w:val="bottom"/>
            <w:gridSpan w:val="2"/>
          </w:tcPr>
          <w:p>
            <w:pPr>
              <w:jc w:val="right"/>
              <w:spacing w:after="0"/>
              <w:rPr>
                <w:sz w:val="20"/>
                <w:szCs w:val="20"/>
                <w:color w:val="auto"/>
              </w:rPr>
            </w:pPr>
            <w:r>
              <w:rPr>
                <w:rFonts w:ascii="Courier New" w:cs="Courier New" w:eastAsia="Courier New" w:hAnsi="Courier New"/>
                <w:sz w:val="13"/>
                <w:szCs w:val="13"/>
                <w:b w:val="1"/>
                <w:bCs w:val="1"/>
                <w:color w:val="auto"/>
              </w:rPr>
              <w:t>-----------------------</w:t>
            </w:r>
          </w:p>
        </w:tc>
        <w:tc>
          <w:tcPr>
            <w:tcW w:w="11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4"/>
        </w:trPr>
        <w:tc>
          <w:tcPr>
            <w:tcW w:w="4060" w:type="dxa"/>
            <w:vAlign w:val="bottom"/>
          </w:tcPr>
          <w:p>
            <w:pPr>
              <w:spacing w:after="0"/>
              <w:rPr>
                <w:sz w:val="13"/>
                <w:szCs w:val="13"/>
                <w:color w:val="auto"/>
              </w:rPr>
            </w:pPr>
          </w:p>
        </w:tc>
        <w:tc>
          <w:tcPr>
            <w:tcW w:w="1520" w:type="dxa"/>
            <w:vAlign w:val="bottom"/>
          </w:tcPr>
          <w:p>
            <w:pPr>
              <w:jc w:val="right"/>
              <w:ind w:right="533"/>
              <w:spacing w:after="0"/>
              <w:rPr>
                <w:sz w:val="20"/>
                <w:szCs w:val="20"/>
                <w:color w:val="auto"/>
              </w:rPr>
            </w:pPr>
            <w:r>
              <w:rPr>
                <w:rFonts w:ascii="Courier New" w:cs="Courier New" w:eastAsia="Courier New" w:hAnsi="Courier New"/>
                <w:sz w:val="13"/>
                <w:szCs w:val="13"/>
                <w:b w:val="1"/>
                <w:bCs w:val="1"/>
                <w:color w:val="auto"/>
              </w:rPr>
              <w:t>2002</w:t>
            </w:r>
          </w:p>
        </w:tc>
        <w:tc>
          <w:tcPr>
            <w:tcW w:w="1400" w:type="dxa"/>
            <w:vAlign w:val="bottom"/>
          </w:tcPr>
          <w:p>
            <w:pPr>
              <w:jc w:val="right"/>
              <w:ind w:right="493"/>
              <w:spacing w:after="0"/>
              <w:rPr>
                <w:sz w:val="20"/>
                <w:szCs w:val="20"/>
                <w:color w:val="auto"/>
              </w:rPr>
            </w:pPr>
            <w:r>
              <w:rPr>
                <w:rFonts w:ascii="Courier New" w:cs="Courier New" w:eastAsia="Courier New" w:hAnsi="Courier New"/>
                <w:sz w:val="13"/>
                <w:szCs w:val="13"/>
                <w:b w:val="1"/>
                <w:bCs w:val="1"/>
                <w:color w:val="auto"/>
              </w:rPr>
              <w:t>2001</w:t>
            </w:r>
          </w:p>
        </w:tc>
        <w:tc>
          <w:tcPr>
            <w:tcW w:w="1400" w:type="dxa"/>
            <w:vAlign w:val="bottom"/>
          </w:tcPr>
          <w:p>
            <w:pPr>
              <w:jc w:val="right"/>
              <w:ind w:right="613"/>
              <w:spacing w:after="0"/>
              <w:rPr>
                <w:sz w:val="20"/>
                <w:szCs w:val="20"/>
                <w:color w:val="auto"/>
              </w:rPr>
            </w:pPr>
            <w:r>
              <w:rPr>
                <w:rFonts w:ascii="Courier New" w:cs="Courier New" w:eastAsia="Courier New" w:hAnsi="Courier New"/>
                <w:sz w:val="13"/>
                <w:szCs w:val="13"/>
                <w:b w:val="1"/>
                <w:bCs w:val="1"/>
                <w:color w:val="auto"/>
              </w:rPr>
              <w:t>2000</w:t>
            </w:r>
          </w:p>
        </w:tc>
        <w:tc>
          <w:tcPr>
            <w:tcW w:w="1160" w:type="dxa"/>
            <w:vAlign w:val="bottom"/>
          </w:tcPr>
          <w:p>
            <w:pPr>
              <w:jc w:val="right"/>
              <w:ind w:right="493"/>
              <w:spacing w:after="0"/>
              <w:rPr>
                <w:sz w:val="20"/>
                <w:szCs w:val="20"/>
                <w:color w:val="auto"/>
              </w:rPr>
            </w:pPr>
            <w:r>
              <w:rPr>
                <w:rFonts w:ascii="Courier New" w:cs="Courier New" w:eastAsia="Courier New" w:hAnsi="Courier New"/>
                <w:sz w:val="13"/>
                <w:szCs w:val="13"/>
                <w:b w:val="1"/>
                <w:bCs w:val="1"/>
                <w:color w:val="auto"/>
              </w:rPr>
              <w:t>1999</w:t>
            </w:r>
          </w:p>
        </w:tc>
        <w:tc>
          <w:tcPr>
            <w:tcW w:w="1120" w:type="dxa"/>
            <w:vAlign w:val="bottom"/>
          </w:tcPr>
          <w:p>
            <w:pPr>
              <w:jc w:val="right"/>
              <w:ind w:right="333"/>
              <w:spacing w:after="0"/>
              <w:rPr>
                <w:sz w:val="20"/>
                <w:szCs w:val="20"/>
                <w:color w:val="auto"/>
              </w:rPr>
            </w:pPr>
            <w:r>
              <w:rPr>
                <w:rFonts w:ascii="Courier New" w:cs="Courier New" w:eastAsia="Courier New" w:hAnsi="Courier New"/>
                <w:sz w:val="13"/>
                <w:szCs w:val="13"/>
                <w:b w:val="1"/>
                <w:bCs w:val="1"/>
                <w:color w:val="auto"/>
              </w:rPr>
              <w:t>1998</w:t>
            </w:r>
          </w:p>
        </w:tc>
      </w:tr>
      <w:tr>
        <w:trPr>
          <w:trHeight w:val="154"/>
        </w:trPr>
        <w:tc>
          <w:tcPr>
            <w:tcW w:w="4060" w:type="dxa"/>
            <w:vAlign w:val="bottom"/>
          </w:tcPr>
          <w:p>
            <w:pPr>
              <w:spacing w:after="0"/>
              <w:rPr>
                <w:sz w:val="13"/>
                <w:szCs w:val="13"/>
                <w:color w:val="auto"/>
              </w:rPr>
            </w:pPr>
          </w:p>
        </w:tc>
        <w:tc>
          <w:tcPr>
            <w:tcW w:w="1520" w:type="dxa"/>
            <w:vAlign w:val="bottom"/>
          </w:tcPr>
          <w:p>
            <w:pPr>
              <w:jc w:val="right"/>
              <w:ind w:right="533"/>
              <w:spacing w:after="0"/>
              <w:rPr>
                <w:sz w:val="20"/>
                <w:szCs w:val="20"/>
                <w:color w:val="auto"/>
              </w:rPr>
            </w:pPr>
            <w:r>
              <w:rPr>
                <w:rFonts w:ascii="Courier New" w:cs="Courier New" w:eastAsia="Courier New" w:hAnsi="Courier New"/>
                <w:sz w:val="13"/>
                <w:szCs w:val="13"/>
                <w:b w:val="1"/>
                <w:bCs w:val="1"/>
                <w:color w:val="auto"/>
              </w:rPr>
              <w:t>----</w:t>
            </w:r>
          </w:p>
        </w:tc>
        <w:tc>
          <w:tcPr>
            <w:tcW w:w="1400" w:type="dxa"/>
            <w:vAlign w:val="bottom"/>
          </w:tcPr>
          <w:p>
            <w:pPr>
              <w:jc w:val="right"/>
              <w:ind w:right="493"/>
              <w:spacing w:after="0"/>
              <w:rPr>
                <w:sz w:val="20"/>
                <w:szCs w:val="20"/>
                <w:color w:val="auto"/>
              </w:rPr>
            </w:pPr>
            <w:r>
              <w:rPr>
                <w:rFonts w:ascii="Courier New" w:cs="Courier New" w:eastAsia="Courier New" w:hAnsi="Courier New"/>
                <w:sz w:val="13"/>
                <w:szCs w:val="13"/>
                <w:b w:val="1"/>
                <w:bCs w:val="1"/>
                <w:color w:val="auto"/>
              </w:rPr>
              <w:t>----</w:t>
            </w:r>
          </w:p>
        </w:tc>
        <w:tc>
          <w:tcPr>
            <w:tcW w:w="1400" w:type="dxa"/>
            <w:vAlign w:val="bottom"/>
          </w:tcPr>
          <w:p>
            <w:pPr>
              <w:jc w:val="right"/>
              <w:ind w:right="613"/>
              <w:spacing w:after="0"/>
              <w:rPr>
                <w:sz w:val="20"/>
                <w:szCs w:val="20"/>
                <w:color w:val="auto"/>
              </w:rPr>
            </w:pPr>
            <w:r>
              <w:rPr>
                <w:rFonts w:ascii="Courier New" w:cs="Courier New" w:eastAsia="Courier New" w:hAnsi="Courier New"/>
                <w:sz w:val="13"/>
                <w:szCs w:val="13"/>
                <w:b w:val="1"/>
                <w:bCs w:val="1"/>
                <w:color w:val="auto"/>
              </w:rPr>
              <w:t>----</w:t>
            </w:r>
          </w:p>
        </w:tc>
        <w:tc>
          <w:tcPr>
            <w:tcW w:w="1160" w:type="dxa"/>
            <w:vAlign w:val="bottom"/>
          </w:tcPr>
          <w:p>
            <w:pPr>
              <w:jc w:val="right"/>
              <w:ind w:right="493"/>
              <w:spacing w:after="0"/>
              <w:rPr>
                <w:sz w:val="20"/>
                <w:szCs w:val="20"/>
                <w:color w:val="auto"/>
              </w:rPr>
            </w:pPr>
            <w:r>
              <w:rPr>
                <w:rFonts w:ascii="Courier New" w:cs="Courier New" w:eastAsia="Courier New" w:hAnsi="Courier New"/>
                <w:sz w:val="13"/>
                <w:szCs w:val="13"/>
                <w:b w:val="1"/>
                <w:bCs w:val="1"/>
                <w:color w:val="auto"/>
              </w:rPr>
              <w:t>----</w:t>
            </w:r>
          </w:p>
        </w:tc>
        <w:tc>
          <w:tcPr>
            <w:tcW w:w="1120" w:type="dxa"/>
            <w:vAlign w:val="bottom"/>
          </w:tcPr>
          <w:p>
            <w:pPr>
              <w:jc w:val="right"/>
              <w:ind w:right="333"/>
              <w:spacing w:after="0"/>
              <w:rPr>
                <w:sz w:val="20"/>
                <w:szCs w:val="20"/>
                <w:color w:val="auto"/>
              </w:rPr>
            </w:pPr>
            <w:r>
              <w:rPr>
                <w:rFonts w:ascii="Courier New" w:cs="Courier New" w:eastAsia="Courier New" w:hAnsi="Courier New"/>
                <w:sz w:val="13"/>
                <w:szCs w:val="13"/>
                <w:b w:val="1"/>
                <w:bCs w:val="1"/>
                <w:color w:val="auto"/>
              </w:rPr>
              <w:t>----</w:t>
            </w:r>
          </w:p>
        </w:tc>
      </w:tr>
      <w:tr>
        <w:trPr>
          <w:trHeight w:val="308"/>
        </w:trPr>
        <w:tc>
          <w:tcPr>
            <w:tcW w:w="4060" w:type="dxa"/>
            <w:vAlign w:val="bottom"/>
          </w:tcPr>
          <w:p>
            <w:pPr>
              <w:spacing w:after="0"/>
              <w:rPr>
                <w:sz w:val="20"/>
                <w:szCs w:val="20"/>
                <w:color w:val="auto"/>
              </w:rPr>
            </w:pPr>
            <w:r>
              <w:rPr>
                <w:rFonts w:ascii="Courier New" w:cs="Courier New" w:eastAsia="Courier New" w:hAnsi="Courier New"/>
                <w:sz w:val="13"/>
                <w:szCs w:val="13"/>
                <w:b w:val="1"/>
                <w:bCs w:val="1"/>
                <w:color w:val="auto"/>
              </w:rPr>
              <w:t>Statement of Income Data:</w:t>
            </w:r>
          </w:p>
        </w:tc>
        <w:tc>
          <w:tcPr>
            <w:tcW w:w="1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54"/>
        </w:trPr>
        <w:tc>
          <w:tcPr>
            <w:tcW w:w="4060" w:type="dxa"/>
            <w:vAlign w:val="bottom"/>
          </w:tcPr>
          <w:p>
            <w:pPr>
              <w:spacing w:after="0"/>
              <w:rPr>
                <w:sz w:val="20"/>
                <w:szCs w:val="20"/>
                <w:color w:val="auto"/>
              </w:rPr>
            </w:pPr>
            <w:r>
              <w:rPr>
                <w:rFonts w:ascii="Courier New" w:cs="Courier New" w:eastAsia="Courier New" w:hAnsi="Courier New"/>
                <w:sz w:val="13"/>
                <w:szCs w:val="13"/>
                <w:color w:val="auto"/>
              </w:rPr>
              <w:t>Net sales</w:t>
            </w:r>
          </w:p>
        </w:tc>
        <w:tc>
          <w:tcPr>
            <w:tcW w:w="152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$192,856</w:t>
            </w:r>
          </w:p>
        </w:tc>
        <w:tc>
          <w:tcPr>
            <w:tcW w:w="14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$180,151</w:t>
            </w:r>
          </w:p>
        </w:tc>
        <w:tc>
          <w:tcPr>
            <w:tcW w:w="140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$132,129</w:t>
            </w:r>
          </w:p>
        </w:tc>
        <w:tc>
          <w:tcPr>
            <w:tcW w:w="116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$85,294</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$73,006</w:t>
            </w:r>
          </w:p>
        </w:tc>
      </w:tr>
      <w:tr>
        <w:trPr>
          <w:trHeight w:val="154"/>
        </w:trPr>
        <w:tc>
          <w:tcPr>
            <w:tcW w:w="4060" w:type="dxa"/>
            <w:vAlign w:val="bottom"/>
          </w:tcPr>
          <w:p>
            <w:pPr>
              <w:spacing w:after="0"/>
              <w:rPr>
                <w:sz w:val="20"/>
                <w:szCs w:val="20"/>
                <w:color w:val="auto"/>
              </w:rPr>
            </w:pPr>
            <w:r>
              <w:rPr>
                <w:rFonts w:ascii="Courier New" w:cs="Courier New" w:eastAsia="Courier New" w:hAnsi="Courier New"/>
                <w:sz w:val="13"/>
                <w:szCs w:val="13"/>
                <w:color w:val="auto"/>
              </w:rPr>
              <w:t>Cost of products sold</w:t>
            </w:r>
          </w:p>
        </w:tc>
        <w:tc>
          <w:tcPr>
            <w:tcW w:w="152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144,274</w:t>
            </w:r>
          </w:p>
        </w:tc>
        <w:tc>
          <w:tcPr>
            <w:tcW w:w="14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137,221</w:t>
            </w:r>
          </w:p>
        </w:tc>
        <w:tc>
          <w:tcPr>
            <w:tcW w:w="140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93,926</w:t>
            </w:r>
          </w:p>
        </w:tc>
        <w:tc>
          <w:tcPr>
            <w:tcW w:w="116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59,967</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50,353</w:t>
            </w:r>
          </w:p>
        </w:tc>
      </w:tr>
      <w:tr>
        <w:trPr>
          <w:trHeight w:val="154"/>
        </w:trPr>
        <w:tc>
          <w:tcPr>
            <w:tcW w:w="4060" w:type="dxa"/>
            <w:vAlign w:val="bottom"/>
          </w:tcPr>
          <w:p>
            <w:pPr>
              <w:spacing w:after="0"/>
              <w:rPr>
                <w:sz w:val="13"/>
                <w:szCs w:val="13"/>
                <w:color w:val="auto"/>
              </w:rPr>
            </w:pPr>
          </w:p>
        </w:tc>
        <w:tc>
          <w:tcPr>
            <w:tcW w:w="152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14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40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16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4060" w:type="dxa"/>
            <w:vAlign w:val="bottom"/>
          </w:tcPr>
          <w:p>
            <w:pPr>
              <w:spacing w:after="0"/>
              <w:rPr>
                <w:sz w:val="20"/>
                <w:szCs w:val="20"/>
                <w:color w:val="auto"/>
              </w:rPr>
            </w:pPr>
            <w:r>
              <w:rPr>
                <w:rFonts w:ascii="Courier New" w:cs="Courier New" w:eastAsia="Courier New" w:hAnsi="Courier New"/>
                <w:sz w:val="13"/>
                <w:szCs w:val="13"/>
                <w:color w:val="auto"/>
              </w:rPr>
              <w:t>Gross profit</w:t>
            </w:r>
          </w:p>
        </w:tc>
        <w:tc>
          <w:tcPr>
            <w:tcW w:w="152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48,582</w:t>
            </w:r>
          </w:p>
        </w:tc>
        <w:tc>
          <w:tcPr>
            <w:tcW w:w="14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42,930</w:t>
            </w:r>
          </w:p>
        </w:tc>
        <w:tc>
          <w:tcPr>
            <w:tcW w:w="140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38,203</w:t>
            </w:r>
          </w:p>
        </w:tc>
        <w:tc>
          <w:tcPr>
            <w:tcW w:w="116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25,327</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22,653</w:t>
            </w:r>
          </w:p>
        </w:tc>
      </w:tr>
      <w:tr>
        <w:trPr>
          <w:trHeight w:val="154"/>
        </w:trPr>
        <w:tc>
          <w:tcPr>
            <w:tcW w:w="4060" w:type="dxa"/>
            <w:vAlign w:val="bottom"/>
          </w:tcPr>
          <w:p>
            <w:pPr>
              <w:spacing w:after="0"/>
              <w:rPr>
                <w:sz w:val="20"/>
                <w:szCs w:val="20"/>
                <w:color w:val="auto"/>
              </w:rPr>
            </w:pPr>
            <w:r>
              <w:rPr>
                <w:rFonts w:ascii="Courier New" w:cs="Courier New" w:eastAsia="Courier New" w:hAnsi="Courier New"/>
                <w:sz w:val="13"/>
                <w:szCs w:val="13"/>
                <w:color w:val="auto"/>
              </w:rPr>
              <w:t>Selling, general and administrative expenses</w:t>
            </w:r>
          </w:p>
        </w:tc>
        <w:tc>
          <w:tcPr>
            <w:tcW w:w="152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17,134</w:t>
            </w:r>
          </w:p>
        </w:tc>
        <w:tc>
          <w:tcPr>
            <w:tcW w:w="14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16,752</w:t>
            </w:r>
          </w:p>
        </w:tc>
        <w:tc>
          <w:tcPr>
            <w:tcW w:w="140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11,571</w:t>
            </w:r>
          </w:p>
        </w:tc>
        <w:tc>
          <w:tcPr>
            <w:tcW w:w="116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6,854</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5,896</w:t>
            </w:r>
          </w:p>
        </w:tc>
      </w:tr>
      <w:tr>
        <w:trPr>
          <w:trHeight w:val="154"/>
        </w:trPr>
        <w:tc>
          <w:tcPr>
            <w:tcW w:w="4060" w:type="dxa"/>
            <w:vAlign w:val="bottom"/>
          </w:tcPr>
          <w:p>
            <w:pPr>
              <w:spacing w:after="0"/>
              <w:rPr>
                <w:sz w:val="20"/>
                <w:szCs w:val="20"/>
                <w:color w:val="auto"/>
              </w:rPr>
            </w:pPr>
            <w:r>
              <w:rPr>
                <w:rFonts w:ascii="Courier New" w:cs="Courier New" w:eastAsia="Courier New" w:hAnsi="Courier New"/>
                <w:sz w:val="13"/>
                <w:szCs w:val="13"/>
                <w:color w:val="auto"/>
              </w:rPr>
              <w:t>Depreciation and amortization</w:t>
            </w:r>
          </w:p>
        </w:tc>
        <w:tc>
          <w:tcPr>
            <w:tcW w:w="152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11,212</w:t>
            </w:r>
          </w:p>
        </w:tc>
        <w:tc>
          <w:tcPr>
            <w:tcW w:w="14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13,150</w:t>
            </w:r>
          </w:p>
        </w:tc>
        <w:tc>
          <w:tcPr>
            <w:tcW w:w="140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9,165</w:t>
            </w:r>
          </w:p>
        </w:tc>
        <w:tc>
          <w:tcPr>
            <w:tcW w:w="116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6,131</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4,557</w:t>
            </w:r>
          </w:p>
        </w:tc>
      </w:tr>
      <w:tr>
        <w:trPr>
          <w:trHeight w:val="154"/>
        </w:trPr>
        <w:tc>
          <w:tcPr>
            <w:tcW w:w="4060" w:type="dxa"/>
            <w:vAlign w:val="bottom"/>
          </w:tcPr>
          <w:p>
            <w:pPr>
              <w:spacing w:after="0"/>
              <w:rPr>
                <w:sz w:val="20"/>
                <w:szCs w:val="20"/>
                <w:color w:val="auto"/>
              </w:rPr>
            </w:pPr>
            <w:r>
              <w:rPr>
                <w:rFonts w:ascii="Courier New" w:cs="Courier New" w:eastAsia="Courier New" w:hAnsi="Courier New"/>
                <w:sz w:val="13"/>
                <w:szCs w:val="13"/>
                <w:color w:val="auto"/>
              </w:rPr>
              <w:t>Restructuring and impairment costs</w:t>
            </w:r>
          </w:p>
        </w:tc>
        <w:tc>
          <w:tcPr>
            <w:tcW w:w="152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1,277</w:t>
            </w:r>
          </w:p>
        </w:tc>
        <w:tc>
          <w:tcPr>
            <w:tcW w:w="14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2,312</w:t>
            </w:r>
          </w:p>
        </w:tc>
        <w:tc>
          <w:tcPr>
            <w:tcW w:w="140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w:t>
            </w:r>
          </w:p>
        </w:tc>
        <w:tc>
          <w:tcPr>
            <w:tcW w:w="116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r>
      <w:tr>
        <w:trPr>
          <w:trHeight w:val="154"/>
        </w:trPr>
        <w:tc>
          <w:tcPr>
            <w:tcW w:w="4060" w:type="dxa"/>
            <w:vAlign w:val="bottom"/>
          </w:tcPr>
          <w:p>
            <w:pPr>
              <w:spacing w:after="0"/>
              <w:rPr>
                <w:sz w:val="13"/>
                <w:szCs w:val="13"/>
                <w:color w:val="auto"/>
              </w:rPr>
            </w:pPr>
          </w:p>
        </w:tc>
        <w:tc>
          <w:tcPr>
            <w:tcW w:w="152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14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40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16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4060" w:type="dxa"/>
            <w:vAlign w:val="bottom"/>
          </w:tcPr>
          <w:p>
            <w:pPr>
              <w:spacing w:after="0"/>
              <w:rPr>
                <w:sz w:val="20"/>
                <w:szCs w:val="20"/>
                <w:color w:val="auto"/>
              </w:rPr>
            </w:pPr>
            <w:r>
              <w:rPr>
                <w:rFonts w:ascii="Courier New" w:cs="Courier New" w:eastAsia="Courier New" w:hAnsi="Courier New"/>
                <w:sz w:val="13"/>
                <w:szCs w:val="13"/>
                <w:color w:val="auto"/>
              </w:rPr>
              <w:t>Income from operations</w:t>
            </w:r>
          </w:p>
        </w:tc>
        <w:tc>
          <w:tcPr>
            <w:tcW w:w="152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18,959</w:t>
            </w:r>
          </w:p>
        </w:tc>
        <w:tc>
          <w:tcPr>
            <w:tcW w:w="14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10,716</w:t>
            </w:r>
          </w:p>
        </w:tc>
        <w:tc>
          <w:tcPr>
            <w:tcW w:w="140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17,467</w:t>
            </w:r>
          </w:p>
        </w:tc>
        <w:tc>
          <w:tcPr>
            <w:tcW w:w="116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12,342</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12,200</w:t>
            </w:r>
          </w:p>
        </w:tc>
      </w:tr>
      <w:tr>
        <w:trPr>
          <w:trHeight w:val="154"/>
        </w:trPr>
        <w:tc>
          <w:tcPr>
            <w:tcW w:w="4060" w:type="dxa"/>
            <w:vAlign w:val="bottom"/>
          </w:tcPr>
          <w:p>
            <w:pPr>
              <w:spacing w:after="0"/>
              <w:rPr>
                <w:sz w:val="20"/>
                <w:szCs w:val="20"/>
                <w:color w:val="auto"/>
              </w:rPr>
            </w:pPr>
            <w:r>
              <w:rPr>
                <w:rFonts w:ascii="Courier New" w:cs="Courier New" w:eastAsia="Courier New" w:hAnsi="Courier New"/>
                <w:sz w:val="13"/>
                <w:szCs w:val="13"/>
                <w:color w:val="auto"/>
              </w:rPr>
              <w:t>Interest expense</w:t>
            </w:r>
          </w:p>
        </w:tc>
        <w:tc>
          <w:tcPr>
            <w:tcW w:w="152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2,451</w:t>
            </w:r>
          </w:p>
        </w:tc>
        <w:tc>
          <w:tcPr>
            <w:tcW w:w="14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4,196</w:t>
            </w:r>
          </w:p>
        </w:tc>
        <w:tc>
          <w:tcPr>
            <w:tcW w:w="140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1,773</w:t>
            </w:r>
          </w:p>
        </w:tc>
        <w:tc>
          <w:tcPr>
            <w:tcW w:w="116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523</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64</w:t>
            </w:r>
          </w:p>
        </w:tc>
      </w:tr>
      <w:tr>
        <w:trPr>
          <w:trHeight w:val="154"/>
        </w:trPr>
        <w:tc>
          <w:tcPr>
            <w:tcW w:w="4060" w:type="dxa"/>
            <w:vAlign w:val="bottom"/>
          </w:tcPr>
          <w:p>
            <w:pPr>
              <w:spacing w:after="0"/>
              <w:rPr>
                <w:sz w:val="20"/>
                <w:szCs w:val="20"/>
                <w:color w:val="auto"/>
              </w:rPr>
            </w:pPr>
            <w:r>
              <w:rPr>
                <w:rFonts w:ascii="Courier New" w:cs="Courier New" w:eastAsia="Courier New" w:hAnsi="Courier New"/>
                <w:sz w:val="13"/>
                <w:szCs w:val="13"/>
                <w:color w:val="auto"/>
              </w:rPr>
              <w:t>Equity in earnings of unconsolidated affiliate</w:t>
            </w:r>
          </w:p>
        </w:tc>
        <w:tc>
          <w:tcPr>
            <w:tcW w:w="152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4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140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(48)</w:t>
            </w:r>
          </w:p>
        </w:tc>
        <w:tc>
          <w:tcPr>
            <w:tcW w:w="116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r>
      <w:tr>
        <w:trPr>
          <w:trHeight w:val="154"/>
        </w:trPr>
        <w:tc>
          <w:tcPr>
            <w:tcW w:w="4060" w:type="dxa"/>
            <w:vAlign w:val="bottom"/>
          </w:tcPr>
          <w:p>
            <w:pPr>
              <w:spacing w:after="0"/>
              <w:rPr>
                <w:sz w:val="20"/>
                <w:szCs w:val="20"/>
                <w:color w:val="auto"/>
              </w:rPr>
            </w:pPr>
            <w:r>
              <w:rPr>
                <w:rFonts w:ascii="Courier New" w:cs="Courier New" w:eastAsia="Courier New" w:hAnsi="Courier New"/>
                <w:sz w:val="13"/>
                <w:szCs w:val="13"/>
                <w:color w:val="auto"/>
              </w:rPr>
              <w:t>Net gain on involuntary conversion</w:t>
            </w:r>
          </w:p>
        </w:tc>
        <w:tc>
          <w:tcPr>
            <w:tcW w:w="1520" w:type="dxa"/>
            <w:vAlign w:val="bottom"/>
          </w:tcPr>
          <w:p>
            <w:pPr>
              <w:spacing w:after="0"/>
              <w:rPr>
                <w:sz w:val="13"/>
                <w:szCs w:val="13"/>
                <w:color w:val="auto"/>
              </w:rPr>
            </w:pPr>
          </w:p>
        </w:tc>
        <w:tc>
          <w:tcPr>
            <w:tcW w:w="14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(3,901)</w:t>
            </w:r>
          </w:p>
        </w:tc>
        <w:tc>
          <w:tcPr>
            <w:tcW w:w="140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(728)</w:t>
            </w:r>
          </w:p>
        </w:tc>
        <w:tc>
          <w:tcPr>
            <w:tcW w:w="116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r>
      <w:tr>
        <w:trPr>
          <w:trHeight w:val="154"/>
        </w:trPr>
        <w:tc>
          <w:tcPr>
            <w:tcW w:w="4060" w:type="dxa"/>
            <w:vAlign w:val="bottom"/>
          </w:tcPr>
          <w:p>
            <w:pPr>
              <w:spacing w:after="0"/>
              <w:rPr>
                <w:sz w:val="20"/>
                <w:szCs w:val="20"/>
                <w:color w:val="auto"/>
              </w:rPr>
            </w:pPr>
            <w:r>
              <w:rPr>
                <w:rFonts w:ascii="Courier New" w:cs="Courier New" w:eastAsia="Courier New" w:hAnsi="Courier New"/>
                <w:sz w:val="13"/>
                <w:szCs w:val="13"/>
                <w:color w:val="auto"/>
              </w:rPr>
              <w:t>Net gain on purchase of minority interest</w:t>
            </w:r>
          </w:p>
        </w:tc>
        <w:tc>
          <w:tcPr>
            <w:tcW w:w="152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(5,904)</w:t>
            </w:r>
          </w:p>
        </w:tc>
        <w:tc>
          <w:tcPr>
            <w:tcW w:w="14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140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w:t>
            </w:r>
          </w:p>
        </w:tc>
        <w:tc>
          <w:tcPr>
            <w:tcW w:w="116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r>
      <w:tr>
        <w:trPr>
          <w:trHeight w:val="154"/>
        </w:trPr>
        <w:tc>
          <w:tcPr>
            <w:tcW w:w="4060" w:type="dxa"/>
            <w:vAlign w:val="bottom"/>
          </w:tcPr>
          <w:p>
            <w:pPr>
              <w:spacing w:after="0"/>
              <w:rPr>
                <w:sz w:val="20"/>
                <w:szCs w:val="20"/>
                <w:color w:val="auto"/>
              </w:rPr>
            </w:pPr>
            <w:r>
              <w:rPr>
                <w:rFonts w:ascii="Courier New" w:cs="Courier New" w:eastAsia="Courier New" w:hAnsi="Courier New"/>
                <w:sz w:val="13"/>
                <w:szCs w:val="13"/>
                <w:color w:val="auto"/>
              </w:rPr>
              <w:t>Other income</w:t>
            </w:r>
          </w:p>
        </w:tc>
        <w:tc>
          <w:tcPr>
            <w:tcW w:w="152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(487)</w:t>
            </w:r>
          </w:p>
        </w:tc>
        <w:tc>
          <w:tcPr>
            <w:tcW w:w="14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(186)</w:t>
            </w:r>
          </w:p>
        </w:tc>
        <w:tc>
          <w:tcPr>
            <w:tcW w:w="140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(136)</w:t>
            </w:r>
          </w:p>
        </w:tc>
        <w:tc>
          <w:tcPr>
            <w:tcW w:w="116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r>
      <w:tr>
        <w:trPr>
          <w:trHeight w:val="154"/>
        </w:trPr>
        <w:tc>
          <w:tcPr>
            <w:tcW w:w="4060" w:type="dxa"/>
            <w:vAlign w:val="bottom"/>
          </w:tcPr>
          <w:p>
            <w:pPr>
              <w:spacing w:after="0"/>
              <w:rPr>
                <w:sz w:val="13"/>
                <w:szCs w:val="13"/>
                <w:color w:val="auto"/>
              </w:rPr>
            </w:pPr>
          </w:p>
        </w:tc>
        <w:tc>
          <w:tcPr>
            <w:tcW w:w="152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14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40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16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4060" w:type="dxa"/>
            <w:vAlign w:val="bottom"/>
          </w:tcPr>
          <w:p>
            <w:pPr>
              <w:spacing w:after="0"/>
              <w:rPr>
                <w:sz w:val="20"/>
                <w:szCs w:val="20"/>
                <w:color w:val="auto"/>
              </w:rPr>
            </w:pPr>
            <w:r>
              <w:rPr>
                <w:rFonts w:ascii="Courier New" w:cs="Courier New" w:eastAsia="Courier New" w:hAnsi="Courier New"/>
                <w:sz w:val="13"/>
                <w:szCs w:val="13"/>
                <w:color w:val="auto"/>
              </w:rPr>
              <w:t>Income before provision for income taxes</w:t>
            </w:r>
          </w:p>
        </w:tc>
        <w:tc>
          <w:tcPr>
            <w:tcW w:w="152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22,899</w:t>
            </w:r>
          </w:p>
        </w:tc>
        <w:tc>
          <w:tcPr>
            <w:tcW w:w="14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10,607</w:t>
            </w:r>
          </w:p>
        </w:tc>
        <w:tc>
          <w:tcPr>
            <w:tcW w:w="140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16,606</w:t>
            </w:r>
          </w:p>
        </w:tc>
        <w:tc>
          <w:tcPr>
            <w:tcW w:w="116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11,819</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12,136</w:t>
            </w:r>
          </w:p>
        </w:tc>
      </w:tr>
      <w:tr>
        <w:trPr>
          <w:trHeight w:val="154"/>
        </w:trPr>
        <w:tc>
          <w:tcPr>
            <w:tcW w:w="4060" w:type="dxa"/>
            <w:vAlign w:val="bottom"/>
          </w:tcPr>
          <w:p>
            <w:pPr>
              <w:spacing w:after="0"/>
              <w:rPr>
                <w:sz w:val="20"/>
                <w:szCs w:val="20"/>
                <w:color w:val="auto"/>
              </w:rPr>
            </w:pPr>
            <w:r>
              <w:rPr>
                <w:rFonts w:ascii="Courier New" w:cs="Courier New" w:eastAsia="Courier New" w:hAnsi="Courier New"/>
                <w:sz w:val="13"/>
                <w:szCs w:val="13"/>
                <w:color w:val="auto"/>
              </w:rPr>
              <w:t>Provision for income taxes</w:t>
            </w:r>
          </w:p>
        </w:tc>
        <w:tc>
          <w:tcPr>
            <w:tcW w:w="152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6,457</w:t>
            </w:r>
          </w:p>
        </w:tc>
        <w:tc>
          <w:tcPr>
            <w:tcW w:w="14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4,094</w:t>
            </w:r>
          </w:p>
        </w:tc>
        <w:tc>
          <w:tcPr>
            <w:tcW w:w="140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5,959</w:t>
            </w:r>
          </w:p>
        </w:tc>
        <w:tc>
          <w:tcPr>
            <w:tcW w:w="116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4,060</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4,480</w:t>
            </w:r>
          </w:p>
        </w:tc>
      </w:tr>
      <w:tr>
        <w:trPr>
          <w:trHeight w:val="154"/>
        </w:trPr>
        <w:tc>
          <w:tcPr>
            <w:tcW w:w="4060" w:type="dxa"/>
            <w:vAlign w:val="bottom"/>
          </w:tcPr>
          <w:p>
            <w:pPr>
              <w:spacing w:after="0"/>
              <w:rPr>
                <w:sz w:val="20"/>
                <w:szCs w:val="20"/>
                <w:color w:val="auto"/>
              </w:rPr>
            </w:pPr>
            <w:r>
              <w:rPr>
                <w:rFonts w:ascii="Courier New" w:cs="Courier New" w:eastAsia="Courier New" w:hAnsi="Courier New"/>
                <w:sz w:val="13"/>
                <w:szCs w:val="13"/>
                <w:color w:val="auto"/>
              </w:rPr>
              <w:t>Minority interest in income of consolidated</w:t>
            </w:r>
          </w:p>
        </w:tc>
        <w:tc>
          <w:tcPr>
            <w:tcW w:w="15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4"/>
        </w:trPr>
        <w:tc>
          <w:tcPr>
            <w:tcW w:w="4060" w:type="dxa"/>
            <w:vAlign w:val="bottom"/>
          </w:tcPr>
          <w:p>
            <w:pPr>
              <w:ind w:left="240"/>
              <w:spacing w:after="0"/>
              <w:rPr>
                <w:sz w:val="20"/>
                <w:szCs w:val="20"/>
                <w:color w:val="auto"/>
              </w:rPr>
            </w:pPr>
            <w:r>
              <w:rPr>
                <w:rFonts w:ascii="Courier New" w:cs="Courier New" w:eastAsia="Courier New" w:hAnsi="Courier New"/>
                <w:sz w:val="13"/>
                <w:szCs w:val="13"/>
                <w:color w:val="auto"/>
              </w:rPr>
              <w:t>subsidiary</w:t>
            </w:r>
          </w:p>
        </w:tc>
        <w:tc>
          <w:tcPr>
            <w:tcW w:w="152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2,778</w:t>
            </w:r>
          </w:p>
        </w:tc>
        <w:tc>
          <w:tcPr>
            <w:tcW w:w="14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1,753</w:t>
            </w:r>
          </w:p>
        </w:tc>
        <w:tc>
          <w:tcPr>
            <w:tcW w:w="140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660</w:t>
            </w:r>
          </w:p>
        </w:tc>
        <w:tc>
          <w:tcPr>
            <w:tcW w:w="116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r>
      <w:tr>
        <w:trPr>
          <w:trHeight w:val="154"/>
        </w:trPr>
        <w:tc>
          <w:tcPr>
            <w:tcW w:w="4060" w:type="dxa"/>
            <w:vAlign w:val="bottom"/>
          </w:tcPr>
          <w:p>
            <w:pPr>
              <w:spacing w:after="0"/>
              <w:rPr>
                <w:sz w:val="13"/>
                <w:szCs w:val="13"/>
                <w:color w:val="auto"/>
              </w:rPr>
            </w:pPr>
          </w:p>
        </w:tc>
        <w:tc>
          <w:tcPr>
            <w:tcW w:w="152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14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40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16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4060" w:type="dxa"/>
            <w:vAlign w:val="bottom"/>
          </w:tcPr>
          <w:p>
            <w:pPr>
              <w:spacing w:after="0"/>
              <w:rPr>
                <w:sz w:val="20"/>
                <w:szCs w:val="20"/>
                <w:color w:val="auto"/>
              </w:rPr>
            </w:pPr>
            <w:r>
              <w:rPr>
                <w:rFonts w:ascii="Courier New" w:cs="Courier New" w:eastAsia="Courier New" w:hAnsi="Courier New"/>
                <w:sz w:val="13"/>
                <w:szCs w:val="13"/>
                <w:color w:val="auto"/>
              </w:rPr>
              <w:t>Income before cumulative effect of change in</w:t>
            </w:r>
          </w:p>
        </w:tc>
        <w:tc>
          <w:tcPr>
            <w:tcW w:w="152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13,664</w:t>
            </w:r>
          </w:p>
        </w:tc>
        <w:tc>
          <w:tcPr>
            <w:tcW w:w="14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4,760</w:t>
            </w:r>
          </w:p>
        </w:tc>
        <w:tc>
          <w:tcPr>
            <w:tcW w:w="140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9,987</w:t>
            </w:r>
          </w:p>
        </w:tc>
        <w:tc>
          <w:tcPr>
            <w:tcW w:w="116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7,759</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7,656</w:t>
            </w:r>
          </w:p>
        </w:tc>
      </w:tr>
      <w:tr>
        <w:trPr>
          <w:trHeight w:val="154"/>
        </w:trPr>
        <w:tc>
          <w:tcPr>
            <w:tcW w:w="4060" w:type="dxa"/>
            <w:vAlign w:val="bottom"/>
          </w:tcPr>
          <w:p>
            <w:pPr>
              <w:ind w:left="240"/>
              <w:spacing w:after="0"/>
              <w:rPr>
                <w:sz w:val="20"/>
                <w:szCs w:val="20"/>
                <w:color w:val="auto"/>
              </w:rPr>
            </w:pPr>
            <w:r>
              <w:rPr>
                <w:rFonts w:ascii="Courier New" w:cs="Courier New" w:eastAsia="Courier New" w:hAnsi="Courier New"/>
                <w:sz w:val="13"/>
                <w:szCs w:val="13"/>
                <w:color w:val="auto"/>
              </w:rPr>
              <w:t>accounting principle</w:t>
            </w:r>
          </w:p>
        </w:tc>
        <w:tc>
          <w:tcPr>
            <w:tcW w:w="15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308"/>
        </w:trPr>
        <w:tc>
          <w:tcPr>
            <w:tcW w:w="4060" w:type="dxa"/>
            <w:vAlign w:val="bottom"/>
          </w:tcPr>
          <w:p>
            <w:pPr>
              <w:spacing w:after="0"/>
              <w:rPr>
                <w:sz w:val="20"/>
                <w:szCs w:val="20"/>
                <w:color w:val="auto"/>
              </w:rPr>
            </w:pPr>
            <w:r>
              <w:rPr>
                <w:rFonts w:ascii="Courier New" w:cs="Courier New" w:eastAsia="Courier New" w:hAnsi="Courier New"/>
                <w:sz w:val="13"/>
                <w:szCs w:val="13"/>
                <w:color w:val="auto"/>
              </w:rPr>
              <w:t>Cumulative effect of change in accounting</w:t>
            </w:r>
          </w:p>
        </w:tc>
        <w:tc>
          <w:tcPr>
            <w:tcW w:w="1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54"/>
        </w:trPr>
        <w:tc>
          <w:tcPr>
            <w:tcW w:w="4060" w:type="dxa"/>
            <w:vAlign w:val="bottom"/>
          </w:tcPr>
          <w:p>
            <w:pPr>
              <w:ind w:left="240"/>
              <w:spacing w:after="0"/>
              <w:rPr>
                <w:sz w:val="20"/>
                <w:szCs w:val="20"/>
                <w:color w:val="auto"/>
              </w:rPr>
            </w:pPr>
            <w:r>
              <w:rPr>
                <w:rFonts w:ascii="Courier New" w:cs="Courier New" w:eastAsia="Courier New" w:hAnsi="Courier New"/>
                <w:sz w:val="13"/>
                <w:szCs w:val="13"/>
                <w:color w:val="auto"/>
              </w:rPr>
              <w:t>principle, net of income tax benefit of $112</w:t>
            </w:r>
          </w:p>
        </w:tc>
        <w:tc>
          <w:tcPr>
            <w:tcW w:w="15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4"/>
        </w:trPr>
        <w:tc>
          <w:tcPr>
            <w:tcW w:w="4060" w:type="dxa"/>
            <w:vAlign w:val="bottom"/>
          </w:tcPr>
          <w:p>
            <w:pPr>
              <w:ind w:left="240"/>
              <w:spacing w:after="0"/>
              <w:rPr>
                <w:sz w:val="20"/>
                <w:szCs w:val="20"/>
                <w:color w:val="auto"/>
              </w:rPr>
            </w:pPr>
            <w:r>
              <w:rPr>
                <w:rFonts w:ascii="Courier New" w:cs="Courier New" w:eastAsia="Courier New" w:hAnsi="Courier New"/>
                <w:sz w:val="13"/>
                <w:szCs w:val="13"/>
                <w:color w:val="auto"/>
              </w:rPr>
              <w:t>and related minority interest impact of $84</w:t>
            </w:r>
          </w:p>
        </w:tc>
        <w:tc>
          <w:tcPr>
            <w:tcW w:w="152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4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98</w:t>
            </w:r>
          </w:p>
        </w:tc>
        <w:tc>
          <w:tcPr>
            <w:tcW w:w="140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w:t>
            </w:r>
          </w:p>
        </w:tc>
        <w:tc>
          <w:tcPr>
            <w:tcW w:w="116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r>
      <w:tr>
        <w:trPr>
          <w:trHeight w:val="154"/>
        </w:trPr>
        <w:tc>
          <w:tcPr>
            <w:tcW w:w="4060" w:type="dxa"/>
            <w:vAlign w:val="bottom"/>
          </w:tcPr>
          <w:p>
            <w:pPr>
              <w:spacing w:after="0"/>
              <w:rPr>
                <w:sz w:val="13"/>
                <w:szCs w:val="13"/>
                <w:color w:val="auto"/>
              </w:rPr>
            </w:pPr>
          </w:p>
        </w:tc>
        <w:tc>
          <w:tcPr>
            <w:tcW w:w="152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14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40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16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4060" w:type="dxa"/>
            <w:vAlign w:val="bottom"/>
          </w:tcPr>
          <w:p>
            <w:pPr>
              <w:spacing w:after="0"/>
              <w:rPr>
                <w:sz w:val="20"/>
                <w:szCs w:val="20"/>
                <w:color w:val="auto"/>
              </w:rPr>
            </w:pPr>
            <w:r>
              <w:rPr>
                <w:rFonts w:ascii="Courier New" w:cs="Courier New" w:eastAsia="Courier New" w:hAnsi="Courier New"/>
                <w:sz w:val="13"/>
                <w:szCs w:val="13"/>
                <w:color w:val="auto"/>
              </w:rPr>
              <w:t>Net income</w:t>
            </w:r>
          </w:p>
        </w:tc>
        <w:tc>
          <w:tcPr>
            <w:tcW w:w="152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$ 13,664</w:t>
            </w:r>
          </w:p>
        </w:tc>
        <w:tc>
          <w:tcPr>
            <w:tcW w:w="14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$ 4,662</w:t>
            </w:r>
          </w:p>
        </w:tc>
        <w:tc>
          <w:tcPr>
            <w:tcW w:w="140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$ 9,987</w:t>
            </w:r>
          </w:p>
        </w:tc>
        <w:tc>
          <w:tcPr>
            <w:tcW w:w="116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$ 7,759</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$ 7,656</w:t>
            </w:r>
          </w:p>
        </w:tc>
      </w:tr>
      <w:tr>
        <w:trPr>
          <w:trHeight w:val="154"/>
        </w:trPr>
        <w:tc>
          <w:tcPr>
            <w:tcW w:w="4060" w:type="dxa"/>
            <w:vAlign w:val="bottom"/>
          </w:tcPr>
          <w:p>
            <w:pPr>
              <w:spacing w:after="0"/>
              <w:rPr>
                <w:sz w:val="13"/>
                <w:szCs w:val="13"/>
                <w:color w:val="auto"/>
              </w:rPr>
            </w:pPr>
          </w:p>
        </w:tc>
        <w:tc>
          <w:tcPr>
            <w:tcW w:w="152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14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40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16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308"/>
        </w:trPr>
        <w:tc>
          <w:tcPr>
            <w:tcW w:w="4060" w:type="dxa"/>
            <w:vAlign w:val="bottom"/>
          </w:tcPr>
          <w:p>
            <w:pPr>
              <w:spacing w:after="0"/>
              <w:rPr>
                <w:sz w:val="20"/>
                <w:szCs w:val="20"/>
                <w:color w:val="auto"/>
              </w:rPr>
            </w:pPr>
            <w:r>
              <w:rPr>
                <w:rFonts w:ascii="Courier New" w:cs="Courier New" w:eastAsia="Courier New" w:hAnsi="Courier New"/>
                <w:sz w:val="13"/>
                <w:szCs w:val="13"/>
                <w:color w:val="auto"/>
              </w:rPr>
              <w:t>Basic income per share:</w:t>
            </w:r>
          </w:p>
        </w:tc>
        <w:tc>
          <w:tcPr>
            <w:tcW w:w="1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54"/>
        </w:trPr>
        <w:tc>
          <w:tcPr>
            <w:tcW w:w="4060" w:type="dxa"/>
            <w:vAlign w:val="bottom"/>
          </w:tcPr>
          <w:p>
            <w:pPr>
              <w:spacing w:after="0"/>
              <w:rPr>
                <w:sz w:val="20"/>
                <w:szCs w:val="20"/>
                <w:color w:val="auto"/>
              </w:rPr>
            </w:pPr>
            <w:r>
              <w:rPr>
                <w:rFonts w:ascii="Courier New" w:cs="Courier New" w:eastAsia="Courier New" w:hAnsi="Courier New"/>
                <w:sz w:val="13"/>
                <w:szCs w:val="13"/>
                <w:color w:val="auto"/>
              </w:rPr>
              <w:t>Income before cumulative effect of change in</w:t>
            </w:r>
          </w:p>
        </w:tc>
        <w:tc>
          <w:tcPr>
            <w:tcW w:w="15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4"/>
        </w:trPr>
        <w:tc>
          <w:tcPr>
            <w:tcW w:w="4060" w:type="dxa"/>
            <w:vAlign w:val="bottom"/>
          </w:tcPr>
          <w:p>
            <w:pPr>
              <w:ind w:left="240"/>
              <w:spacing w:after="0"/>
              <w:rPr>
                <w:sz w:val="20"/>
                <w:szCs w:val="20"/>
                <w:color w:val="auto"/>
              </w:rPr>
            </w:pPr>
            <w:r>
              <w:rPr>
                <w:rFonts w:ascii="Courier New" w:cs="Courier New" w:eastAsia="Courier New" w:hAnsi="Courier New"/>
                <w:sz w:val="13"/>
                <w:szCs w:val="13"/>
                <w:color w:val="auto"/>
              </w:rPr>
              <w:t>accounting principle</w:t>
            </w:r>
          </w:p>
        </w:tc>
        <w:tc>
          <w:tcPr>
            <w:tcW w:w="152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$ 0.89</w:t>
            </w:r>
          </w:p>
        </w:tc>
        <w:tc>
          <w:tcPr>
            <w:tcW w:w="14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$ 0.31</w:t>
            </w:r>
          </w:p>
        </w:tc>
        <w:tc>
          <w:tcPr>
            <w:tcW w:w="140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$ 0.66</w:t>
            </w:r>
          </w:p>
        </w:tc>
        <w:tc>
          <w:tcPr>
            <w:tcW w:w="116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$ 0.52</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$ 0.52</w:t>
            </w:r>
          </w:p>
        </w:tc>
      </w:tr>
      <w:tr>
        <w:trPr>
          <w:trHeight w:val="154"/>
        </w:trPr>
        <w:tc>
          <w:tcPr>
            <w:tcW w:w="4060" w:type="dxa"/>
            <w:vAlign w:val="bottom"/>
          </w:tcPr>
          <w:p>
            <w:pPr>
              <w:spacing w:after="0"/>
              <w:rPr>
                <w:sz w:val="20"/>
                <w:szCs w:val="20"/>
                <w:color w:val="auto"/>
              </w:rPr>
            </w:pPr>
            <w:r>
              <w:rPr>
                <w:rFonts w:ascii="Courier New" w:cs="Courier New" w:eastAsia="Courier New" w:hAnsi="Courier New"/>
                <w:sz w:val="13"/>
                <w:szCs w:val="13"/>
                <w:color w:val="auto"/>
              </w:rPr>
              <w:t>Cumulative effect of change in accounting</w:t>
            </w:r>
          </w:p>
        </w:tc>
        <w:tc>
          <w:tcPr>
            <w:tcW w:w="15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4"/>
        </w:trPr>
        <w:tc>
          <w:tcPr>
            <w:tcW w:w="4060" w:type="dxa"/>
            <w:vAlign w:val="bottom"/>
          </w:tcPr>
          <w:p>
            <w:pPr>
              <w:ind w:left="320"/>
              <w:spacing w:after="0"/>
              <w:rPr>
                <w:sz w:val="20"/>
                <w:szCs w:val="20"/>
                <w:color w:val="auto"/>
              </w:rPr>
            </w:pPr>
            <w:r>
              <w:rPr>
                <w:rFonts w:ascii="Courier New" w:cs="Courier New" w:eastAsia="Courier New" w:hAnsi="Courier New"/>
                <w:sz w:val="13"/>
                <w:szCs w:val="13"/>
                <w:color w:val="auto"/>
              </w:rPr>
              <w:t>principle</w:t>
            </w:r>
          </w:p>
        </w:tc>
        <w:tc>
          <w:tcPr>
            <w:tcW w:w="152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4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(0.01)</w:t>
            </w:r>
          </w:p>
        </w:tc>
        <w:tc>
          <w:tcPr>
            <w:tcW w:w="140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w:t>
            </w:r>
          </w:p>
        </w:tc>
        <w:tc>
          <w:tcPr>
            <w:tcW w:w="116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r>
    </w:tbl>
    <w:p>
      <w:pPr>
        <w:sectPr>
          <w:pgSz w:w="11900" w:h="16838" w:orient="portrait"/>
          <w:cols w:equalWidth="0" w:num="1">
            <w:col w:w="10660"/>
          </w:cols>
          <w:pgMar w:left="220" w:top="141" w:right="101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600" w:type="dxa"/>
            <w:vAlign w:val="bottom"/>
            <w:gridSpan w:val="3"/>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28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28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920" w:type="dxa"/>
            <w:vAlign w:val="bottom"/>
            <w:gridSpan w:val="2"/>
          </w:tcPr>
          <w:p>
            <w:pPr>
              <w:jc w:val="right"/>
              <w:ind w:right="733"/>
              <w:spacing w:after="0"/>
              <w:rPr>
                <w:sz w:val="20"/>
                <w:szCs w:val="20"/>
                <w:color w:val="auto"/>
              </w:rPr>
            </w:pPr>
            <w:r>
              <w:rPr>
                <w:rFonts w:ascii="Courier New" w:cs="Courier New" w:eastAsia="Courier New" w:hAnsi="Courier New"/>
                <w:sz w:val="13"/>
                <w:szCs w:val="13"/>
                <w:color w:val="auto"/>
              </w:rPr>
              <w:t>------------</w:t>
            </w:r>
          </w:p>
        </w:tc>
      </w:tr>
      <w:tr>
        <w:trPr>
          <w:trHeight w:val="154"/>
        </w:trPr>
        <w:tc>
          <w:tcPr>
            <w:tcW w:w="2400" w:type="dxa"/>
            <w:vAlign w:val="bottom"/>
          </w:tcPr>
          <w:p>
            <w:pPr>
              <w:ind w:left="240"/>
              <w:spacing w:after="0"/>
              <w:rPr>
                <w:sz w:val="20"/>
                <w:szCs w:val="20"/>
                <w:color w:val="auto"/>
              </w:rPr>
            </w:pPr>
            <w:r>
              <w:rPr>
                <w:rFonts w:ascii="Courier New" w:cs="Courier New" w:eastAsia="Courier New" w:hAnsi="Courier New"/>
                <w:sz w:val="13"/>
                <w:szCs w:val="13"/>
                <w:color w:val="auto"/>
              </w:rPr>
              <w:t>Net income</w:t>
            </w:r>
          </w:p>
        </w:tc>
        <w:tc>
          <w:tcPr>
            <w:tcW w:w="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$ 0.89</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8"/>
              </w:rPr>
              <w:t>$ 0.31</w:t>
            </w:r>
          </w:p>
        </w:tc>
        <w:tc>
          <w:tcPr>
            <w:tcW w:w="56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8"/>
              </w:rPr>
              <w:t>$ 0.66</w:t>
            </w:r>
          </w:p>
        </w:tc>
        <w:tc>
          <w:tcPr>
            <w:tcW w:w="56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8"/>
              </w:rPr>
              <w:t>$ 0.52</w:t>
            </w:r>
          </w:p>
        </w:tc>
        <w:tc>
          <w:tcPr>
            <w:tcW w:w="560" w:type="dxa"/>
            <w:vAlign w:val="bottom"/>
          </w:tcPr>
          <w:p>
            <w:pPr>
              <w:spacing w:after="0"/>
              <w:rPr>
                <w:sz w:val="13"/>
                <w:szCs w:val="13"/>
                <w:color w:val="auto"/>
              </w:rPr>
            </w:pPr>
          </w:p>
        </w:tc>
        <w:tc>
          <w:tcPr>
            <w:tcW w:w="1360" w:type="dxa"/>
            <w:vAlign w:val="bottom"/>
          </w:tcPr>
          <w:p>
            <w:pPr>
              <w:jc w:val="right"/>
              <w:ind w:right="813"/>
              <w:spacing w:after="0"/>
              <w:rPr>
                <w:sz w:val="20"/>
                <w:szCs w:val="20"/>
                <w:color w:val="auto"/>
              </w:rPr>
            </w:pPr>
            <w:r>
              <w:rPr>
                <w:rFonts w:ascii="Courier New" w:cs="Courier New" w:eastAsia="Courier New" w:hAnsi="Courier New"/>
                <w:sz w:val="13"/>
                <w:szCs w:val="13"/>
                <w:color w:val="auto"/>
                <w:w w:val="98"/>
              </w:rPr>
              <w:t>$ 0.52</w:t>
            </w:r>
          </w:p>
        </w:tc>
      </w:tr>
      <w:tr>
        <w:trPr>
          <w:trHeight w:val="154"/>
        </w:trPr>
        <w:tc>
          <w:tcPr>
            <w:tcW w:w="2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600" w:type="dxa"/>
            <w:vAlign w:val="bottom"/>
            <w:gridSpan w:val="3"/>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28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28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920" w:type="dxa"/>
            <w:vAlign w:val="bottom"/>
            <w:gridSpan w:val="2"/>
          </w:tcPr>
          <w:p>
            <w:pPr>
              <w:jc w:val="right"/>
              <w:ind w:right="733"/>
              <w:spacing w:after="0"/>
              <w:rPr>
                <w:sz w:val="20"/>
                <w:szCs w:val="20"/>
                <w:color w:val="auto"/>
              </w:rPr>
            </w:pPr>
            <w:r>
              <w:rPr>
                <w:rFonts w:ascii="Courier New" w:cs="Courier New" w:eastAsia="Courier New" w:hAnsi="Courier New"/>
                <w:sz w:val="13"/>
                <w:szCs w:val="13"/>
                <w:color w:val="auto"/>
              </w:rPr>
              <w:t>============</w:t>
            </w:r>
          </w:p>
        </w:tc>
      </w:tr>
      <w:tr>
        <w:trPr>
          <w:trHeight w:val="308"/>
        </w:trPr>
        <w:tc>
          <w:tcPr>
            <w:tcW w:w="2400" w:type="dxa"/>
            <w:vAlign w:val="bottom"/>
          </w:tcPr>
          <w:p>
            <w:pPr>
              <w:spacing w:after="0"/>
              <w:rPr>
                <w:sz w:val="20"/>
                <w:szCs w:val="20"/>
                <w:color w:val="auto"/>
              </w:rPr>
            </w:pPr>
            <w:r>
              <w:rPr>
                <w:rFonts w:ascii="Courier New" w:cs="Courier New" w:eastAsia="Courier New" w:hAnsi="Courier New"/>
                <w:sz w:val="13"/>
                <w:szCs w:val="13"/>
                <w:color w:val="auto"/>
              </w:rPr>
              <w:t>Diluted income per share:</w:t>
            </w: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54"/>
        </w:trPr>
        <w:tc>
          <w:tcPr>
            <w:tcW w:w="4220" w:type="dxa"/>
            <w:vAlign w:val="bottom"/>
            <w:gridSpan w:val="3"/>
          </w:tcPr>
          <w:p>
            <w:pPr>
              <w:spacing w:after="0"/>
              <w:rPr>
                <w:sz w:val="20"/>
                <w:szCs w:val="20"/>
                <w:color w:val="auto"/>
              </w:rPr>
            </w:pPr>
            <w:r>
              <w:rPr>
                <w:rFonts w:ascii="Courier New" w:cs="Courier New" w:eastAsia="Courier New" w:hAnsi="Courier New"/>
                <w:sz w:val="13"/>
                <w:szCs w:val="13"/>
                <w:color w:val="auto"/>
              </w:rPr>
              <w:t>Income before cumulative effect of change in</w:t>
            </w: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4"/>
        </w:trPr>
        <w:tc>
          <w:tcPr>
            <w:tcW w:w="2400" w:type="dxa"/>
            <w:vAlign w:val="bottom"/>
          </w:tcPr>
          <w:p>
            <w:pPr>
              <w:ind w:left="240"/>
              <w:spacing w:after="0"/>
              <w:rPr>
                <w:sz w:val="20"/>
                <w:szCs w:val="20"/>
                <w:color w:val="auto"/>
              </w:rPr>
            </w:pPr>
            <w:r>
              <w:rPr>
                <w:rFonts w:ascii="Courier New" w:cs="Courier New" w:eastAsia="Courier New" w:hAnsi="Courier New"/>
                <w:sz w:val="13"/>
                <w:szCs w:val="13"/>
                <w:color w:val="auto"/>
              </w:rPr>
              <w:t>accounting principle</w:t>
            </w:r>
          </w:p>
        </w:tc>
        <w:tc>
          <w:tcPr>
            <w:tcW w:w="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$ 0.87</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8"/>
              </w:rPr>
              <w:t>$ 0.31</w:t>
            </w:r>
          </w:p>
        </w:tc>
        <w:tc>
          <w:tcPr>
            <w:tcW w:w="56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8"/>
              </w:rPr>
              <w:t>$ 0.64</w:t>
            </w:r>
          </w:p>
        </w:tc>
        <w:tc>
          <w:tcPr>
            <w:tcW w:w="56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8"/>
              </w:rPr>
              <w:t>$ 0.52</w:t>
            </w:r>
          </w:p>
        </w:tc>
        <w:tc>
          <w:tcPr>
            <w:tcW w:w="560" w:type="dxa"/>
            <w:vAlign w:val="bottom"/>
          </w:tcPr>
          <w:p>
            <w:pPr>
              <w:spacing w:after="0"/>
              <w:rPr>
                <w:sz w:val="13"/>
                <w:szCs w:val="13"/>
                <w:color w:val="auto"/>
              </w:rPr>
            </w:pPr>
          </w:p>
        </w:tc>
        <w:tc>
          <w:tcPr>
            <w:tcW w:w="1360" w:type="dxa"/>
            <w:vAlign w:val="bottom"/>
          </w:tcPr>
          <w:p>
            <w:pPr>
              <w:jc w:val="right"/>
              <w:ind w:right="813"/>
              <w:spacing w:after="0"/>
              <w:rPr>
                <w:sz w:val="20"/>
                <w:szCs w:val="20"/>
                <w:color w:val="auto"/>
              </w:rPr>
            </w:pPr>
            <w:r>
              <w:rPr>
                <w:rFonts w:ascii="Courier New" w:cs="Courier New" w:eastAsia="Courier New" w:hAnsi="Courier New"/>
                <w:sz w:val="13"/>
                <w:szCs w:val="13"/>
                <w:color w:val="auto"/>
                <w:w w:val="98"/>
              </w:rPr>
              <w:t>$ 0.52</w:t>
            </w:r>
          </w:p>
        </w:tc>
      </w:tr>
      <w:tr>
        <w:trPr>
          <w:trHeight w:val="154"/>
        </w:trPr>
        <w:tc>
          <w:tcPr>
            <w:tcW w:w="3380" w:type="dxa"/>
            <w:vAlign w:val="bottom"/>
            <w:gridSpan w:val="2"/>
          </w:tcPr>
          <w:p>
            <w:pPr>
              <w:spacing w:after="0"/>
              <w:rPr>
                <w:sz w:val="20"/>
                <w:szCs w:val="20"/>
                <w:color w:val="auto"/>
              </w:rPr>
            </w:pPr>
            <w:r>
              <w:rPr>
                <w:rFonts w:ascii="Courier New" w:cs="Courier New" w:eastAsia="Courier New" w:hAnsi="Courier New"/>
                <w:sz w:val="13"/>
                <w:szCs w:val="13"/>
                <w:color w:val="auto"/>
              </w:rPr>
              <w:t>Cumulative effect of change in accounting</w:t>
            </w: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4"/>
        </w:trPr>
        <w:tc>
          <w:tcPr>
            <w:tcW w:w="2400" w:type="dxa"/>
            <w:vAlign w:val="bottom"/>
          </w:tcPr>
          <w:p>
            <w:pPr>
              <w:ind w:left="320"/>
              <w:spacing w:after="0"/>
              <w:rPr>
                <w:sz w:val="20"/>
                <w:szCs w:val="20"/>
                <w:color w:val="auto"/>
              </w:rPr>
            </w:pPr>
            <w:r>
              <w:rPr>
                <w:rFonts w:ascii="Courier New" w:cs="Courier New" w:eastAsia="Courier New" w:hAnsi="Courier New"/>
                <w:sz w:val="13"/>
                <w:szCs w:val="13"/>
                <w:color w:val="auto"/>
              </w:rPr>
              <w:t>principle</w:t>
            </w:r>
          </w:p>
        </w:tc>
        <w:tc>
          <w:tcPr>
            <w:tcW w:w="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8"/>
              </w:rPr>
              <w:t>(0.01)</w:t>
            </w:r>
          </w:p>
        </w:tc>
        <w:tc>
          <w:tcPr>
            <w:tcW w:w="56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56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560" w:type="dxa"/>
            <w:vAlign w:val="bottom"/>
          </w:tcPr>
          <w:p>
            <w:pPr>
              <w:spacing w:after="0"/>
              <w:rPr>
                <w:sz w:val="13"/>
                <w:szCs w:val="13"/>
                <w:color w:val="auto"/>
              </w:rPr>
            </w:pPr>
          </w:p>
        </w:tc>
        <w:tc>
          <w:tcPr>
            <w:tcW w:w="1360" w:type="dxa"/>
            <w:vAlign w:val="bottom"/>
          </w:tcPr>
          <w:p>
            <w:pPr>
              <w:jc w:val="right"/>
              <w:ind w:right="813"/>
              <w:spacing w:after="0"/>
              <w:rPr>
                <w:sz w:val="20"/>
                <w:szCs w:val="20"/>
                <w:color w:val="auto"/>
              </w:rPr>
            </w:pPr>
            <w:r>
              <w:rPr>
                <w:rFonts w:ascii="Courier New" w:cs="Courier New" w:eastAsia="Courier New" w:hAnsi="Courier New"/>
                <w:sz w:val="13"/>
                <w:szCs w:val="13"/>
                <w:color w:val="auto"/>
              </w:rPr>
              <w:t>--</w:t>
            </w:r>
          </w:p>
        </w:tc>
      </w:tr>
      <w:tr>
        <w:trPr>
          <w:trHeight w:val="154"/>
        </w:trPr>
        <w:tc>
          <w:tcPr>
            <w:tcW w:w="2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600" w:type="dxa"/>
            <w:vAlign w:val="bottom"/>
            <w:gridSpan w:val="3"/>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28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28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920" w:type="dxa"/>
            <w:vAlign w:val="bottom"/>
            <w:gridSpan w:val="2"/>
          </w:tcPr>
          <w:p>
            <w:pPr>
              <w:jc w:val="right"/>
              <w:ind w:right="733"/>
              <w:spacing w:after="0"/>
              <w:rPr>
                <w:sz w:val="20"/>
                <w:szCs w:val="20"/>
                <w:color w:val="auto"/>
              </w:rPr>
            </w:pPr>
            <w:r>
              <w:rPr>
                <w:rFonts w:ascii="Courier New" w:cs="Courier New" w:eastAsia="Courier New" w:hAnsi="Courier New"/>
                <w:sz w:val="13"/>
                <w:szCs w:val="13"/>
                <w:color w:val="auto"/>
              </w:rPr>
              <w:t>------------</w:t>
            </w:r>
          </w:p>
        </w:tc>
      </w:tr>
      <w:tr>
        <w:trPr>
          <w:trHeight w:val="154"/>
        </w:trPr>
        <w:tc>
          <w:tcPr>
            <w:tcW w:w="2400" w:type="dxa"/>
            <w:vAlign w:val="bottom"/>
          </w:tcPr>
          <w:p>
            <w:pPr>
              <w:ind w:left="240"/>
              <w:spacing w:after="0"/>
              <w:rPr>
                <w:sz w:val="20"/>
                <w:szCs w:val="20"/>
                <w:color w:val="auto"/>
              </w:rPr>
            </w:pPr>
            <w:r>
              <w:rPr>
                <w:rFonts w:ascii="Courier New" w:cs="Courier New" w:eastAsia="Courier New" w:hAnsi="Courier New"/>
                <w:sz w:val="13"/>
                <w:szCs w:val="13"/>
                <w:color w:val="auto"/>
              </w:rPr>
              <w:t>Net income</w:t>
            </w:r>
          </w:p>
        </w:tc>
        <w:tc>
          <w:tcPr>
            <w:tcW w:w="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$ 0.87</w:t>
            </w:r>
          </w:p>
        </w:tc>
        <w:tc>
          <w:tcPr>
            <w:tcW w:w="6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0.30</w:t>
            </w: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0.64</w:t>
            </w: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0.52</w:t>
            </w:r>
          </w:p>
        </w:tc>
        <w:tc>
          <w:tcPr>
            <w:tcW w:w="560" w:type="dxa"/>
            <w:vAlign w:val="bottom"/>
          </w:tcPr>
          <w:p>
            <w:pPr>
              <w:spacing w:after="0"/>
              <w:rPr>
                <w:sz w:val="13"/>
                <w:szCs w:val="13"/>
                <w:color w:val="auto"/>
              </w:rPr>
            </w:pPr>
          </w:p>
        </w:tc>
        <w:tc>
          <w:tcPr>
            <w:tcW w:w="1360" w:type="dxa"/>
            <w:vAlign w:val="bottom"/>
          </w:tcPr>
          <w:p>
            <w:pPr>
              <w:jc w:val="right"/>
              <w:ind w:right="813"/>
              <w:spacing w:after="0"/>
              <w:rPr>
                <w:sz w:val="20"/>
                <w:szCs w:val="20"/>
                <w:color w:val="auto"/>
              </w:rPr>
            </w:pPr>
            <w:r>
              <w:rPr>
                <w:rFonts w:ascii="Courier New" w:cs="Courier New" w:eastAsia="Courier New" w:hAnsi="Courier New"/>
                <w:sz w:val="13"/>
                <w:szCs w:val="13"/>
                <w:color w:val="auto"/>
                <w:w w:val="98"/>
              </w:rPr>
              <w:t>$ 0.52</w:t>
            </w:r>
          </w:p>
        </w:tc>
      </w:tr>
      <w:tr>
        <w:trPr>
          <w:trHeight w:val="154"/>
        </w:trPr>
        <w:tc>
          <w:tcPr>
            <w:tcW w:w="2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600" w:type="dxa"/>
            <w:vAlign w:val="bottom"/>
            <w:gridSpan w:val="3"/>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28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28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920" w:type="dxa"/>
            <w:vAlign w:val="bottom"/>
            <w:gridSpan w:val="2"/>
          </w:tcPr>
          <w:p>
            <w:pPr>
              <w:jc w:val="right"/>
              <w:ind w:right="733"/>
              <w:spacing w:after="0"/>
              <w:rPr>
                <w:sz w:val="20"/>
                <w:szCs w:val="20"/>
                <w:color w:val="auto"/>
              </w:rPr>
            </w:pPr>
            <w:r>
              <w:rPr>
                <w:rFonts w:ascii="Courier New" w:cs="Courier New" w:eastAsia="Courier New" w:hAnsi="Courier New"/>
                <w:sz w:val="13"/>
                <w:szCs w:val="13"/>
                <w:color w:val="auto"/>
              </w:rPr>
              <w:t>============</w:t>
            </w:r>
          </w:p>
        </w:tc>
      </w:tr>
      <w:tr>
        <w:trPr>
          <w:trHeight w:val="308"/>
        </w:trPr>
        <w:tc>
          <w:tcPr>
            <w:tcW w:w="2400" w:type="dxa"/>
            <w:vAlign w:val="bottom"/>
          </w:tcPr>
          <w:p>
            <w:pPr>
              <w:spacing w:after="0"/>
              <w:rPr>
                <w:sz w:val="20"/>
                <w:szCs w:val="20"/>
                <w:color w:val="auto"/>
              </w:rPr>
            </w:pPr>
            <w:r>
              <w:rPr>
                <w:rFonts w:ascii="Courier New" w:cs="Courier New" w:eastAsia="Courier New" w:hAnsi="Courier New"/>
                <w:sz w:val="13"/>
                <w:szCs w:val="13"/>
                <w:color w:val="auto"/>
              </w:rPr>
              <w:t>Operating income per share</w:t>
            </w: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$ 1.24</w:t>
            </w:r>
          </w:p>
        </w:tc>
        <w:tc>
          <w:tcPr>
            <w:tcW w:w="6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0.69</w:t>
            </w: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1.15</w:t>
            </w: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0.82</w:t>
            </w: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360" w:type="dxa"/>
            <w:vAlign w:val="bottom"/>
          </w:tcPr>
          <w:p>
            <w:pPr>
              <w:jc w:val="right"/>
              <w:ind w:right="813"/>
              <w:spacing w:after="0"/>
              <w:rPr>
                <w:sz w:val="20"/>
                <w:szCs w:val="20"/>
                <w:color w:val="auto"/>
              </w:rPr>
            </w:pPr>
            <w:r>
              <w:rPr>
                <w:rFonts w:ascii="Courier New" w:cs="Courier New" w:eastAsia="Courier New" w:hAnsi="Courier New"/>
                <w:sz w:val="13"/>
                <w:szCs w:val="13"/>
                <w:color w:val="auto"/>
              </w:rPr>
              <w:t>0.82</w:t>
            </w:r>
          </w:p>
        </w:tc>
      </w:tr>
      <w:tr>
        <w:trPr>
          <w:trHeight w:val="154"/>
        </w:trPr>
        <w:tc>
          <w:tcPr>
            <w:tcW w:w="2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600" w:type="dxa"/>
            <w:vAlign w:val="bottom"/>
            <w:gridSpan w:val="3"/>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28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28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920" w:type="dxa"/>
            <w:vAlign w:val="bottom"/>
            <w:gridSpan w:val="2"/>
          </w:tcPr>
          <w:p>
            <w:pPr>
              <w:jc w:val="right"/>
              <w:ind w:right="733"/>
              <w:spacing w:after="0"/>
              <w:rPr>
                <w:sz w:val="20"/>
                <w:szCs w:val="20"/>
                <w:color w:val="auto"/>
              </w:rPr>
            </w:pPr>
            <w:r>
              <w:rPr>
                <w:rFonts w:ascii="Courier New" w:cs="Courier New" w:eastAsia="Courier New" w:hAnsi="Courier New"/>
                <w:sz w:val="13"/>
                <w:szCs w:val="13"/>
                <w:color w:val="auto"/>
              </w:rPr>
              <w:t>============</w:t>
            </w:r>
          </w:p>
        </w:tc>
      </w:tr>
      <w:tr>
        <w:trPr>
          <w:trHeight w:val="154"/>
        </w:trPr>
        <w:tc>
          <w:tcPr>
            <w:tcW w:w="2400" w:type="dxa"/>
            <w:vAlign w:val="bottom"/>
          </w:tcPr>
          <w:p>
            <w:pPr>
              <w:spacing w:after="0"/>
              <w:rPr>
                <w:sz w:val="20"/>
                <w:szCs w:val="20"/>
                <w:color w:val="auto"/>
              </w:rPr>
            </w:pPr>
            <w:r>
              <w:rPr>
                <w:rFonts w:ascii="Courier New" w:cs="Courier New" w:eastAsia="Courier New" w:hAnsi="Courier New"/>
                <w:sz w:val="13"/>
                <w:szCs w:val="13"/>
                <w:color w:val="auto"/>
              </w:rPr>
              <w:t>Dividends declared</w:t>
            </w:r>
          </w:p>
        </w:tc>
        <w:tc>
          <w:tcPr>
            <w:tcW w:w="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$ 0.32</w:t>
            </w:r>
          </w:p>
        </w:tc>
        <w:tc>
          <w:tcPr>
            <w:tcW w:w="6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0.32</w:t>
            </w: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0.32</w:t>
            </w: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0.32</w:t>
            </w: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360" w:type="dxa"/>
            <w:vAlign w:val="bottom"/>
          </w:tcPr>
          <w:p>
            <w:pPr>
              <w:jc w:val="right"/>
              <w:ind w:right="813"/>
              <w:spacing w:after="0"/>
              <w:rPr>
                <w:sz w:val="20"/>
                <w:szCs w:val="20"/>
                <w:color w:val="auto"/>
              </w:rPr>
            </w:pPr>
            <w:r>
              <w:rPr>
                <w:rFonts w:ascii="Courier New" w:cs="Courier New" w:eastAsia="Courier New" w:hAnsi="Courier New"/>
                <w:sz w:val="13"/>
                <w:szCs w:val="13"/>
                <w:color w:val="auto"/>
              </w:rPr>
              <w:t>0.32</w:t>
            </w:r>
          </w:p>
        </w:tc>
      </w:tr>
      <w:tr>
        <w:trPr>
          <w:trHeight w:val="154"/>
        </w:trPr>
        <w:tc>
          <w:tcPr>
            <w:tcW w:w="2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600" w:type="dxa"/>
            <w:vAlign w:val="bottom"/>
            <w:gridSpan w:val="3"/>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28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28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920" w:type="dxa"/>
            <w:vAlign w:val="bottom"/>
            <w:gridSpan w:val="2"/>
          </w:tcPr>
          <w:p>
            <w:pPr>
              <w:jc w:val="right"/>
              <w:ind w:right="733"/>
              <w:spacing w:after="0"/>
              <w:rPr>
                <w:sz w:val="20"/>
                <w:szCs w:val="20"/>
                <w:color w:val="auto"/>
              </w:rPr>
            </w:pPr>
            <w:r>
              <w:rPr>
                <w:rFonts w:ascii="Courier New" w:cs="Courier New" w:eastAsia="Courier New" w:hAnsi="Courier New"/>
                <w:sz w:val="13"/>
                <w:szCs w:val="13"/>
                <w:color w:val="auto"/>
              </w:rPr>
              <w:t>============</w:t>
            </w:r>
          </w:p>
        </w:tc>
      </w:tr>
      <w:tr>
        <w:trPr>
          <w:trHeight w:val="154"/>
        </w:trPr>
        <w:tc>
          <w:tcPr>
            <w:tcW w:w="3380" w:type="dxa"/>
            <w:vAlign w:val="bottom"/>
            <w:gridSpan w:val="2"/>
          </w:tcPr>
          <w:p>
            <w:pPr>
              <w:spacing w:after="0"/>
              <w:rPr>
                <w:sz w:val="20"/>
                <w:szCs w:val="20"/>
                <w:color w:val="auto"/>
              </w:rPr>
            </w:pPr>
            <w:r>
              <w:rPr>
                <w:rFonts w:ascii="Courier New" w:cs="Courier New" w:eastAsia="Courier New" w:hAnsi="Courier New"/>
                <w:sz w:val="13"/>
                <w:szCs w:val="13"/>
                <w:color w:val="auto"/>
              </w:rPr>
              <w:t>Weighted average number of shares</w:t>
            </w: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4"/>
        </w:trPr>
        <w:tc>
          <w:tcPr>
            <w:tcW w:w="2400" w:type="dxa"/>
            <w:vAlign w:val="bottom"/>
          </w:tcPr>
          <w:p>
            <w:pPr>
              <w:ind w:left="240"/>
              <w:spacing w:after="0"/>
              <w:rPr>
                <w:sz w:val="20"/>
                <w:szCs w:val="20"/>
                <w:color w:val="auto"/>
              </w:rPr>
            </w:pPr>
            <w:r>
              <w:rPr>
                <w:rFonts w:ascii="Courier New" w:cs="Courier New" w:eastAsia="Courier New" w:hAnsi="Courier New"/>
                <w:sz w:val="13"/>
                <w:szCs w:val="13"/>
                <w:color w:val="auto"/>
              </w:rPr>
              <w:t>outstanding - Basic</w:t>
            </w:r>
          </w:p>
        </w:tc>
        <w:tc>
          <w:tcPr>
            <w:tcW w:w="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15,343</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8"/>
              </w:rPr>
              <w:t>15,259</w:t>
            </w:r>
          </w:p>
        </w:tc>
        <w:tc>
          <w:tcPr>
            <w:tcW w:w="56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8"/>
              </w:rPr>
              <w:t>15,247</w:t>
            </w:r>
          </w:p>
        </w:tc>
        <w:tc>
          <w:tcPr>
            <w:tcW w:w="56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8"/>
              </w:rPr>
              <w:t>15,021</w:t>
            </w:r>
          </w:p>
        </w:tc>
        <w:tc>
          <w:tcPr>
            <w:tcW w:w="560" w:type="dxa"/>
            <w:vAlign w:val="bottom"/>
          </w:tcPr>
          <w:p>
            <w:pPr>
              <w:spacing w:after="0"/>
              <w:rPr>
                <w:sz w:val="13"/>
                <w:szCs w:val="13"/>
                <w:color w:val="auto"/>
              </w:rPr>
            </w:pPr>
          </w:p>
        </w:tc>
        <w:tc>
          <w:tcPr>
            <w:tcW w:w="1360" w:type="dxa"/>
            <w:vAlign w:val="bottom"/>
          </w:tcPr>
          <w:p>
            <w:pPr>
              <w:jc w:val="right"/>
              <w:ind w:right="813"/>
              <w:spacing w:after="0"/>
              <w:rPr>
                <w:sz w:val="20"/>
                <w:szCs w:val="20"/>
                <w:color w:val="auto"/>
              </w:rPr>
            </w:pPr>
            <w:r>
              <w:rPr>
                <w:rFonts w:ascii="Courier New" w:cs="Courier New" w:eastAsia="Courier New" w:hAnsi="Courier New"/>
                <w:sz w:val="13"/>
                <w:szCs w:val="13"/>
                <w:color w:val="auto"/>
                <w:w w:val="98"/>
              </w:rPr>
              <w:t>14,804</w:t>
            </w:r>
          </w:p>
        </w:tc>
      </w:tr>
      <w:tr>
        <w:trPr>
          <w:trHeight w:val="154"/>
        </w:trPr>
        <w:tc>
          <w:tcPr>
            <w:tcW w:w="2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600" w:type="dxa"/>
            <w:vAlign w:val="bottom"/>
            <w:gridSpan w:val="3"/>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28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28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920" w:type="dxa"/>
            <w:vAlign w:val="bottom"/>
            <w:gridSpan w:val="2"/>
          </w:tcPr>
          <w:p>
            <w:pPr>
              <w:jc w:val="right"/>
              <w:ind w:right="733"/>
              <w:spacing w:after="0"/>
              <w:rPr>
                <w:sz w:val="20"/>
                <w:szCs w:val="20"/>
                <w:color w:val="auto"/>
              </w:rPr>
            </w:pPr>
            <w:r>
              <w:rPr>
                <w:rFonts w:ascii="Courier New" w:cs="Courier New" w:eastAsia="Courier New" w:hAnsi="Courier New"/>
                <w:sz w:val="13"/>
                <w:szCs w:val="13"/>
                <w:color w:val="auto"/>
              </w:rPr>
              <w:t>============</w:t>
            </w:r>
          </w:p>
        </w:tc>
      </w:tr>
      <w:tr>
        <w:trPr>
          <w:trHeight w:val="154"/>
        </w:trPr>
        <w:tc>
          <w:tcPr>
            <w:tcW w:w="3380" w:type="dxa"/>
            <w:vAlign w:val="bottom"/>
            <w:gridSpan w:val="2"/>
          </w:tcPr>
          <w:p>
            <w:pPr>
              <w:spacing w:after="0"/>
              <w:rPr>
                <w:sz w:val="20"/>
                <w:szCs w:val="20"/>
                <w:color w:val="auto"/>
              </w:rPr>
            </w:pPr>
            <w:r>
              <w:rPr>
                <w:rFonts w:ascii="Courier New" w:cs="Courier New" w:eastAsia="Courier New" w:hAnsi="Courier New"/>
                <w:sz w:val="13"/>
                <w:szCs w:val="13"/>
                <w:color w:val="auto"/>
              </w:rPr>
              <w:t>Weighted average number of shares</w:t>
            </w:r>
          </w:p>
        </w:tc>
        <w:tc>
          <w:tcPr>
            <w:tcW w:w="840" w:type="dxa"/>
            <w:vAlign w:val="bottom"/>
          </w:tcPr>
          <w:p>
            <w:pPr>
              <w:spacing w:after="0"/>
              <w:rPr>
                <w:sz w:val="13"/>
                <w:szCs w:val="13"/>
                <w:color w:val="auto"/>
              </w:rPr>
            </w:pPr>
          </w:p>
        </w:tc>
        <w:tc>
          <w:tcPr>
            <w:tcW w:w="11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15,714</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8"/>
              </w:rPr>
              <w:t>15,540</w:t>
            </w:r>
          </w:p>
        </w:tc>
        <w:tc>
          <w:tcPr>
            <w:tcW w:w="56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8"/>
              </w:rPr>
              <w:t>15,531</w:t>
            </w:r>
          </w:p>
        </w:tc>
        <w:tc>
          <w:tcPr>
            <w:tcW w:w="56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8"/>
              </w:rPr>
              <w:t>15,038</w:t>
            </w:r>
          </w:p>
        </w:tc>
        <w:tc>
          <w:tcPr>
            <w:tcW w:w="560" w:type="dxa"/>
            <w:vAlign w:val="bottom"/>
          </w:tcPr>
          <w:p>
            <w:pPr>
              <w:spacing w:after="0"/>
              <w:rPr>
                <w:sz w:val="13"/>
                <w:szCs w:val="13"/>
                <w:color w:val="auto"/>
              </w:rPr>
            </w:pPr>
          </w:p>
        </w:tc>
        <w:tc>
          <w:tcPr>
            <w:tcW w:w="1360" w:type="dxa"/>
            <w:vAlign w:val="bottom"/>
          </w:tcPr>
          <w:p>
            <w:pPr>
              <w:jc w:val="right"/>
              <w:ind w:right="813"/>
              <w:spacing w:after="0"/>
              <w:rPr>
                <w:sz w:val="20"/>
                <w:szCs w:val="20"/>
                <w:color w:val="auto"/>
              </w:rPr>
            </w:pPr>
            <w:r>
              <w:rPr>
                <w:rFonts w:ascii="Courier New" w:cs="Courier New" w:eastAsia="Courier New" w:hAnsi="Courier New"/>
                <w:sz w:val="13"/>
                <w:szCs w:val="13"/>
                <w:color w:val="auto"/>
                <w:w w:val="98"/>
              </w:rPr>
              <w:t>14,804</w:t>
            </w:r>
          </w:p>
        </w:tc>
      </w:tr>
      <w:tr>
        <w:trPr>
          <w:trHeight w:val="154"/>
        </w:trPr>
        <w:tc>
          <w:tcPr>
            <w:tcW w:w="2400" w:type="dxa"/>
            <w:vAlign w:val="bottom"/>
          </w:tcPr>
          <w:p>
            <w:pPr>
              <w:ind w:left="240"/>
              <w:spacing w:after="0"/>
              <w:rPr>
                <w:sz w:val="20"/>
                <w:szCs w:val="20"/>
                <w:color w:val="auto"/>
              </w:rPr>
            </w:pPr>
            <w:r>
              <w:rPr>
                <w:rFonts w:ascii="Courier New" w:cs="Courier New" w:eastAsia="Courier New" w:hAnsi="Courier New"/>
                <w:sz w:val="13"/>
                <w:szCs w:val="13"/>
                <w:color w:val="auto"/>
              </w:rPr>
              <w:t>outstanding - Diluted</w:t>
            </w:r>
          </w:p>
        </w:tc>
        <w:tc>
          <w:tcPr>
            <w:tcW w:w="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600" w:type="dxa"/>
            <w:vAlign w:val="bottom"/>
            <w:gridSpan w:val="3"/>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28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28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920" w:type="dxa"/>
            <w:vAlign w:val="bottom"/>
            <w:gridSpan w:val="2"/>
          </w:tcPr>
          <w:p>
            <w:pPr>
              <w:jc w:val="right"/>
              <w:ind w:right="733"/>
              <w:spacing w:after="0"/>
              <w:rPr>
                <w:sz w:val="20"/>
                <w:szCs w:val="20"/>
                <w:color w:val="auto"/>
              </w:rPr>
            </w:pPr>
            <w:r>
              <w:rPr>
                <w:rFonts w:ascii="Courier New" w:cs="Courier New" w:eastAsia="Courier New" w:hAnsi="Courier New"/>
                <w:sz w:val="13"/>
                <w:szCs w:val="13"/>
                <w:color w:val="auto"/>
              </w:rPr>
              <w:t>============</w:t>
            </w:r>
          </w:p>
        </w:tc>
      </w:tr>
      <w:tr>
        <w:trPr>
          <w:trHeight w:val="308"/>
        </w:trPr>
        <w:tc>
          <w:tcPr>
            <w:tcW w:w="2400" w:type="dxa"/>
            <w:vAlign w:val="bottom"/>
          </w:tcPr>
          <w:p>
            <w:pPr>
              <w:spacing w:after="0"/>
              <w:rPr>
                <w:sz w:val="24"/>
                <w:szCs w:val="24"/>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11</w:t>
            </w: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92"/>
        </w:trPr>
        <w:tc>
          <w:tcPr>
            <w:tcW w:w="3380" w:type="dxa"/>
            <w:vAlign w:val="bottom"/>
            <w:tcBorders>
              <w:bottom w:val="single" w:sz="8" w:color="9A9A9A"/>
            </w:tcBorders>
            <w:gridSpan w:val="2"/>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r>
        <w:trPr>
          <w:trHeight w:val="593"/>
        </w:trPr>
        <w:tc>
          <w:tcPr>
            <w:tcW w:w="3380" w:type="dxa"/>
            <w:vAlign w:val="bottom"/>
            <w:gridSpan w:val="2"/>
          </w:tcPr>
          <w:p>
            <w:pPr>
              <w:spacing w:after="0"/>
              <w:rPr>
                <w:sz w:val="20"/>
                <w:szCs w:val="20"/>
                <w:color w:val="auto"/>
              </w:rPr>
            </w:pPr>
            <w:r>
              <w:rPr>
                <w:rFonts w:ascii="Courier New" w:cs="Courier New" w:eastAsia="Courier New" w:hAnsi="Courier New"/>
                <w:sz w:val="13"/>
                <w:szCs w:val="13"/>
                <w:b w:val="1"/>
                <w:bCs w:val="1"/>
                <w:color w:val="auto"/>
              </w:rPr>
              <w:t>(In Thousands, Except Per Share Data)</w:t>
            </w: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54"/>
        </w:trPr>
        <w:tc>
          <w:tcPr>
            <w:tcW w:w="2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0" w:type="dxa"/>
            <w:vAlign w:val="bottom"/>
            <w:gridSpan w:val="3"/>
          </w:tcPr>
          <w:p>
            <w:pPr>
              <w:jc w:val="right"/>
              <w:spacing w:after="0"/>
              <w:rPr>
                <w:sz w:val="20"/>
                <w:szCs w:val="20"/>
                <w:color w:val="auto"/>
              </w:rPr>
            </w:pPr>
            <w:r>
              <w:rPr>
                <w:rFonts w:ascii="Courier New" w:cs="Courier New" w:eastAsia="Courier New" w:hAnsi="Courier New"/>
                <w:sz w:val="13"/>
                <w:szCs w:val="13"/>
                <w:b w:val="1"/>
                <w:bCs w:val="1"/>
                <w:color w:val="auto"/>
              </w:rPr>
              <w:t>Year Ended December 31,</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4"/>
        </w:trPr>
        <w:tc>
          <w:tcPr>
            <w:tcW w:w="2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0" w:type="dxa"/>
            <w:vAlign w:val="bottom"/>
            <w:gridSpan w:val="3"/>
          </w:tcPr>
          <w:p>
            <w:pPr>
              <w:jc w:val="right"/>
              <w:spacing w:after="0"/>
              <w:rPr>
                <w:sz w:val="20"/>
                <w:szCs w:val="20"/>
                <w:color w:val="auto"/>
              </w:rPr>
            </w:pPr>
            <w:r>
              <w:rPr>
                <w:rFonts w:ascii="Courier New" w:cs="Courier New" w:eastAsia="Courier New" w:hAnsi="Courier New"/>
                <w:sz w:val="13"/>
                <w:szCs w:val="13"/>
                <w:b w:val="1"/>
                <w:bCs w:val="1"/>
                <w:color w:val="auto"/>
              </w:rPr>
              <w:t>-----------------------</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4"/>
        </w:trPr>
        <w:tc>
          <w:tcPr>
            <w:tcW w:w="2400" w:type="dxa"/>
            <w:vAlign w:val="bottom"/>
          </w:tcPr>
          <w:p>
            <w:pPr>
              <w:spacing w:after="0"/>
              <w:rPr>
                <w:sz w:val="13"/>
                <w:szCs w:val="13"/>
                <w:color w:val="auto"/>
              </w:rPr>
            </w:pPr>
          </w:p>
        </w:tc>
        <w:tc>
          <w:tcPr>
            <w:tcW w:w="980" w:type="dxa"/>
            <w:vAlign w:val="bottom"/>
          </w:tcPr>
          <w:p>
            <w:pPr>
              <w:jc w:val="right"/>
              <w:ind w:right="193"/>
              <w:spacing w:after="0"/>
              <w:rPr>
                <w:sz w:val="20"/>
                <w:szCs w:val="20"/>
                <w:color w:val="auto"/>
              </w:rPr>
            </w:pPr>
            <w:r>
              <w:rPr>
                <w:rFonts w:ascii="Courier New" w:cs="Courier New" w:eastAsia="Courier New" w:hAnsi="Courier New"/>
                <w:sz w:val="13"/>
                <w:szCs w:val="13"/>
                <w:b w:val="1"/>
                <w:bCs w:val="1"/>
                <w:color w:val="auto"/>
              </w:rPr>
              <w:t>2002</w:t>
            </w:r>
          </w:p>
        </w:tc>
        <w:tc>
          <w:tcPr>
            <w:tcW w:w="840" w:type="dxa"/>
            <w:vAlign w:val="bottom"/>
          </w:tcPr>
          <w:p>
            <w:pPr>
              <w:jc w:val="right"/>
              <w:ind w:right="133"/>
              <w:spacing w:after="0"/>
              <w:rPr>
                <w:sz w:val="20"/>
                <w:szCs w:val="20"/>
                <w:color w:val="auto"/>
              </w:rPr>
            </w:pPr>
            <w:r>
              <w:rPr>
                <w:rFonts w:ascii="Courier New" w:cs="Courier New" w:eastAsia="Courier New" w:hAnsi="Courier New"/>
                <w:sz w:val="13"/>
                <w:szCs w:val="13"/>
                <w:b w:val="1"/>
                <w:bCs w:val="1"/>
                <w:color w:val="auto"/>
              </w:rPr>
              <w:t>2001</w:t>
            </w: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b w:val="1"/>
                <w:bCs w:val="1"/>
                <w:color w:val="auto"/>
              </w:rPr>
              <w:t>2000</w:t>
            </w:r>
          </w:p>
        </w:tc>
        <w:tc>
          <w:tcPr>
            <w:tcW w:w="320" w:type="dxa"/>
            <w:vAlign w:val="bottom"/>
          </w:tcPr>
          <w:p>
            <w:pPr>
              <w:spacing w:after="0"/>
              <w:rPr>
                <w:sz w:val="13"/>
                <w:szCs w:val="13"/>
                <w:color w:val="auto"/>
              </w:rPr>
            </w:pPr>
          </w:p>
        </w:tc>
        <w:tc>
          <w:tcPr>
            <w:tcW w:w="600" w:type="dxa"/>
            <w:vAlign w:val="bottom"/>
          </w:tcPr>
          <w:p>
            <w:pPr>
              <w:jc w:val="center"/>
              <w:ind w:right="53"/>
              <w:spacing w:after="0"/>
              <w:rPr>
                <w:sz w:val="20"/>
                <w:szCs w:val="20"/>
                <w:color w:val="auto"/>
              </w:rPr>
            </w:pPr>
            <w:r>
              <w:rPr>
                <w:rFonts w:ascii="Courier New" w:cs="Courier New" w:eastAsia="Courier New" w:hAnsi="Courier New"/>
                <w:sz w:val="13"/>
                <w:szCs w:val="13"/>
                <w:b w:val="1"/>
                <w:bCs w:val="1"/>
                <w:color w:val="auto"/>
              </w:rPr>
              <w:t>1999</w:t>
            </w:r>
          </w:p>
        </w:tc>
        <w:tc>
          <w:tcPr>
            <w:tcW w:w="280" w:type="dxa"/>
            <w:vAlign w:val="bottom"/>
          </w:tcPr>
          <w:p>
            <w:pPr>
              <w:spacing w:after="0"/>
              <w:rPr>
                <w:sz w:val="13"/>
                <w:szCs w:val="13"/>
                <w:color w:val="auto"/>
              </w:rPr>
            </w:pPr>
          </w:p>
        </w:tc>
        <w:tc>
          <w:tcPr>
            <w:tcW w:w="720" w:type="dxa"/>
            <w:vAlign w:val="bottom"/>
          </w:tcPr>
          <w:p>
            <w:pPr>
              <w:jc w:val="right"/>
              <w:ind w:right="253"/>
              <w:spacing w:after="0"/>
              <w:rPr>
                <w:sz w:val="20"/>
                <w:szCs w:val="20"/>
                <w:color w:val="auto"/>
              </w:rPr>
            </w:pPr>
            <w:r>
              <w:rPr>
                <w:rFonts w:ascii="Courier New" w:cs="Courier New" w:eastAsia="Courier New" w:hAnsi="Courier New"/>
                <w:sz w:val="13"/>
                <w:szCs w:val="13"/>
                <w:b w:val="1"/>
                <w:bCs w:val="1"/>
                <w:color w:val="auto"/>
              </w:rPr>
              <w:t>1998</w:t>
            </w: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4"/>
        </w:trPr>
        <w:tc>
          <w:tcPr>
            <w:tcW w:w="2400" w:type="dxa"/>
            <w:vAlign w:val="bottom"/>
          </w:tcPr>
          <w:p>
            <w:pPr>
              <w:spacing w:after="0"/>
              <w:rPr>
                <w:sz w:val="13"/>
                <w:szCs w:val="13"/>
                <w:color w:val="auto"/>
              </w:rPr>
            </w:pPr>
          </w:p>
        </w:tc>
        <w:tc>
          <w:tcPr>
            <w:tcW w:w="980" w:type="dxa"/>
            <w:vAlign w:val="bottom"/>
          </w:tcPr>
          <w:p>
            <w:pPr>
              <w:jc w:val="right"/>
              <w:ind w:right="193"/>
              <w:spacing w:after="0"/>
              <w:rPr>
                <w:sz w:val="20"/>
                <w:szCs w:val="20"/>
                <w:color w:val="auto"/>
              </w:rPr>
            </w:pPr>
            <w:r>
              <w:rPr>
                <w:rFonts w:ascii="Courier New" w:cs="Courier New" w:eastAsia="Courier New" w:hAnsi="Courier New"/>
                <w:sz w:val="13"/>
                <w:szCs w:val="13"/>
                <w:b w:val="1"/>
                <w:bCs w:val="1"/>
                <w:color w:val="auto"/>
              </w:rPr>
              <w:t>----</w:t>
            </w:r>
          </w:p>
        </w:tc>
        <w:tc>
          <w:tcPr>
            <w:tcW w:w="840" w:type="dxa"/>
            <w:vAlign w:val="bottom"/>
          </w:tcPr>
          <w:p>
            <w:pPr>
              <w:jc w:val="right"/>
              <w:ind w:right="133"/>
              <w:spacing w:after="0"/>
              <w:rPr>
                <w:sz w:val="20"/>
                <w:szCs w:val="20"/>
                <w:color w:val="auto"/>
              </w:rPr>
            </w:pPr>
            <w:r>
              <w:rPr>
                <w:rFonts w:ascii="Courier New" w:cs="Courier New" w:eastAsia="Courier New" w:hAnsi="Courier New"/>
                <w:sz w:val="13"/>
                <w:szCs w:val="13"/>
                <w:b w:val="1"/>
                <w:bCs w:val="1"/>
                <w:color w:val="auto"/>
              </w:rPr>
              <w:t>----</w:t>
            </w: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b w:val="1"/>
                <w:bCs w:val="1"/>
                <w:color w:val="auto"/>
              </w:rPr>
              <w:t>----</w:t>
            </w:r>
          </w:p>
        </w:tc>
        <w:tc>
          <w:tcPr>
            <w:tcW w:w="320" w:type="dxa"/>
            <w:vAlign w:val="bottom"/>
          </w:tcPr>
          <w:p>
            <w:pPr>
              <w:spacing w:after="0"/>
              <w:rPr>
                <w:sz w:val="13"/>
                <w:szCs w:val="13"/>
                <w:color w:val="auto"/>
              </w:rPr>
            </w:pPr>
          </w:p>
        </w:tc>
        <w:tc>
          <w:tcPr>
            <w:tcW w:w="600" w:type="dxa"/>
            <w:vAlign w:val="bottom"/>
          </w:tcPr>
          <w:p>
            <w:pPr>
              <w:jc w:val="center"/>
              <w:ind w:right="53"/>
              <w:spacing w:after="0"/>
              <w:rPr>
                <w:sz w:val="20"/>
                <w:szCs w:val="20"/>
                <w:color w:val="auto"/>
              </w:rPr>
            </w:pPr>
            <w:r>
              <w:rPr>
                <w:rFonts w:ascii="Courier New" w:cs="Courier New" w:eastAsia="Courier New" w:hAnsi="Courier New"/>
                <w:sz w:val="13"/>
                <w:szCs w:val="13"/>
                <w:b w:val="1"/>
                <w:bCs w:val="1"/>
                <w:color w:val="auto"/>
              </w:rPr>
              <w:t>----</w:t>
            </w:r>
          </w:p>
        </w:tc>
        <w:tc>
          <w:tcPr>
            <w:tcW w:w="280" w:type="dxa"/>
            <w:vAlign w:val="bottom"/>
          </w:tcPr>
          <w:p>
            <w:pPr>
              <w:spacing w:after="0"/>
              <w:rPr>
                <w:sz w:val="13"/>
                <w:szCs w:val="13"/>
                <w:color w:val="auto"/>
              </w:rPr>
            </w:pPr>
          </w:p>
        </w:tc>
        <w:tc>
          <w:tcPr>
            <w:tcW w:w="720" w:type="dxa"/>
            <w:vAlign w:val="bottom"/>
          </w:tcPr>
          <w:p>
            <w:pPr>
              <w:jc w:val="right"/>
              <w:ind w:right="253"/>
              <w:spacing w:after="0"/>
              <w:rPr>
                <w:sz w:val="20"/>
                <w:szCs w:val="20"/>
                <w:color w:val="auto"/>
              </w:rPr>
            </w:pPr>
            <w:r>
              <w:rPr>
                <w:rFonts w:ascii="Courier New" w:cs="Courier New" w:eastAsia="Courier New" w:hAnsi="Courier New"/>
                <w:sz w:val="13"/>
                <w:szCs w:val="13"/>
                <w:b w:val="1"/>
                <w:bCs w:val="1"/>
                <w:color w:val="auto"/>
              </w:rPr>
              <w:t>----</w:t>
            </w: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4"/>
        </w:trPr>
        <w:tc>
          <w:tcPr>
            <w:tcW w:w="2400" w:type="dxa"/>
            <w:vAlign w:val="bottom"/>
          </w:tcPr>
          <w:p>
            <w:pPr>
              <w:ind w:left="640"/>
              <w:spacing w:after="0"/>
              <w:rPr>
                <w:sz w:val="20"/>
                <w:szCs w:val="20"/>
                <w:color w:val="auto"/>
              </w:rPr>
            </w:pPr>
            <w:r>
              <w:rPr>
                <w:rFonts w:ascii="Courier New" w:cs="Courier New" w:eastAsia="Courier New" w:hAnsi="Courier New"/>
                <w:sz w:val="13"/>
                <w:szCs w:val="13"/>
                <w:color w:val="auto"/>
              </w:rPr>
              <w:t>Balance Sheet Data:</w:t>
            </w:r>
          </w:p>
        </w:tc>
        <w:tc>
          <w:tcPr>
            <w:tcW w:w="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4"/>
        </w:trPr>
        <w:tc>
          <w:tcPr>
            <w:tcW w:w="2400" w:type="dxa"/>
            <w:vAlign w:val="bottom"/>
          </w:tcPr>
          <w:p>
            <w:pPr>
              <w:ind w:left="640"/>
              <w:spacing w:after="0"/>
              <w:rPr>
                <w:sz w:val="20"/>
                <w:szCs w:val="20"/>
                <w:color w:val="auto"/>
              </w:rPr>
            </w:pPr>
            <w:r>
              <w:rPr>
                <w:rFonts w:ascii="Courier New" w:cs="Courier New" w:eastAsia="Courier New" w:hAnsi="Courier New"/>
                <w:sz w:val="13"/>
                <w:szCs w:val="13"/>
                <w:color w:val="auto"/>
              </w:rPr>
              <w:t>Current assets</w:t>
            </w:r>
          </w:p>
        </w:tc>
        <w:tc>
          <w:tcPr>
            <w:tcW w:w="9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$ 61,412</w:t>
            </w:r>
          </w:p>
        </w:tc>
        <w:tc>
          <w:tcPr>
            <w:tcW w:w="8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$ 55,617</w:t>
            </w:r>
          </w:p>
        </w:tc>
        <w:tc>
          <w:tcPr>
            <w:tcW w:w="8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$ 63,866</w:t>
            </w:r>
          </w:p>
        </w:tc>
        <w:tc>
          <w:tcPr>
            <w:tcW w:w="920" w:type="dxa"/>
            <w:vAlign w:val="bottom"/>
            <w:gridSpan w:val="2"/>
          </w:tcPr>
          <w:p>
            <w:pPr>
              <w:jc w:val="right"/>
              <w:ind w:right="53"/>
              <w:spacing w:after="0"/>
              <w:rPr>
                <w:sz w:val="20"/>
                <w:szCs w:val="20"/>
                <w:color w:val="auto"/>
              </w:rPr>
            </w:pPr>
            <w:r>
              <w:rPr>
                <w:rFonts w:ascii="Courier New" w:cs="Courier New" w:eastAsia="Courier New" w:hAnsi="Courier New"/>
                <w:sz w:val="13"/>
                <w:szCs w:val="13"/>
                <w:color w:val="auto"/>
              </w:rPr>
              <w:t>$ 34,397</w:t>
            </w:r>
          </w:p>
        </w:tc>
        <w:tc>
          <w:tcPr>
            <w:tcW w:w="1000" w:type="dxa"/>
            <w:vAlign w:val="bottom"/>
            <w:gridSpan w:val="2"/>
          </w:tcPr>
          <w:p>
            <w:pPr>
              <w:jc w:val="right"/>
              <w:ind w:right="173"/>
              <w:spacing w:after="0"/>
              <w:rPr>
                <w:sz w:val="20"/>
                <w:szCs w:val="20"/>
                <w:color w:val="auto"/>
              </w:rPr>
            </w:pPr>
            <w:r>
              <w:rPr>
                <w:rFonts w:ascii="Courier New" w:cs="Courier New" w:eastAsia="Courier New" w:hAnsi="Courier New"/>
                <w:sz w:val="13"/>
                <w:szCs w:val="13"/>
                <w:color w:val="auto"/>
              </w:rPr>
              <w:t>$ 28,571</w:t>
            </w: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4"/>
        </w:trPr>
        <w:tc>
          <w:tcPr>
            <w:tcW w:w="2400" w:type="dxa"/>
            <w:vAlign w:val="bottom"/>
          </w:tcPr>
          <w:p>
            <w:pPr>
              <w:ind w:left="640"/>
              <w:spacing w:after="0"/>
              <w:rPr>
                <w:sz w:val="20"/>
                <w:szCs w:val="20"/>
                <w:color w:val="auto"/>
              </w:rPr>
            </w:pPr>
            <w:r>
              <w:rPr>
                <w:rFonts w:ascii="Courier New" w:cs="Courier New" w:eastAsia="Courier New" w:hAnsi="Courier New"/>
                <w:sz w:val="13"/>
                <w:szCs w:val="13"/>
                <w:color w:val="auto"/>
              </w:rPr>
              <w:t>Current liabilities</w:t>
            </w:r>
          </w:p>
        </w:tc>
        <w:tc>
          <w:tcPr>
            <w:tcW w:w="9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40,234</w:t>
            </w:r>
          </w:p>
        </w:tc>
        <w:tc>
          <w:tcPr>
            <w:tcW w:w="8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32,534</w:t>
            </w:r>
          </w:p>
        </w:tc>
        <w:tc>
          <w:tcPr>
            <w:tcW w:w="8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33,840</w:t>
            </w:r>
          </w:p>
        </w:tc>
        <w:tc>
          <w:tcPr>
            <w:tcW w:w="320" w:type="dxa"/>
            <w:vAlign w:val="bottom"/>
          </w:tcPr>
          <w:p>
            <w:pPr>
              <w:spacing w:after="0"/>
              <w:rPr>
                <w:sz w:val="13"/>
                <w:szCs w:val="13"/>
                <w:color w:val="auto"/>
              </w:rPr>
            </w:pPr>
          </w:p>
        </w:tc>
        <w:tc>
          <w:tcPr>
            <w:tcW w:w="600" w:type="dxa"/>
            <w:vAlign w:val="bottom"/>
          </w:tcPr>
          <w:p>
            <w:pPr>
              <w:jc w:val="center"/>
              <w:ind w:right="53"/>
              <w:spacing w:after="0"/>
              <w:rPr>
                <w:sz w:val="20"/>
                <w:szCs w:val="20"/>
                <w:color w:val="auto"/>
              </w:rPr>
            </w:pPr>
            <w:r>
              <w:rPr>
                <w:rFonts w:ascii="Courier New" w:cs="Courier New" w:eastAsia="Courier New" w:hAnsi="Courier New"/>
                <w:sz w:val="13"/>
                <w:szCs w:val="13"/>
                <w:color w:val="auto"/>
              </w:rPr>
              <w:t>10,478</w:t>
            </w:r>
          </w:p>
        </w:tc>
        <w:tc>
          <w:tcPr>
            <w:tcW w:w="28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7,638</w:t>
            </w: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4"/>
        </w:trPr>
        <w:tc>
          <w:tcPr>
            <w:tcW w:w="2400" w:type="dxa"/>
            <w:vAlign w:val="bottom"/>
          </w:tcPr>
          <w:p>
            <w:pPr>
              <w:ind w:left="640"/>
              <w:spacing w:after="0"/>
              <w:rPr>
                <w:sz w:val="20"/>
                <w:szCs w:val="20"/>
                <w:color w:val="auto"/>
              </w:rPr>
            </w:pPr>
            <w:r>
              <w:rPr>
                <w:rFonts w:ascii="Courier New" w:cs="Courier New" w:eastAsia="Courier New" w:hAnsi="Courier New"/>
                <w:sz w:val="13"/>
                <w:szCs w:val="13"/>
                <w:color w:val="auto"/>
              </w:rPr>
              <w:t>Total assets</w:t>
            </w:r>
          </w:p>
        </w:tc>
        <w:tc>
          <w:tcPr>
            <w:tcW w:w="9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198,007</w:t>
            </w:r>
          </w:p>
        </w:tc>
        <w:tc>
          <w:tcPr>
            <w:tcW w:w="8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188,135</w:t>
            </w:r>
          </w:p>
        </w:tc>
        <w:tc>
          <w:tcPr>
            <w:tcW w:w="8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187,808</w:t>
            </w:r>
          </w:p>
        </w:tc>
        <w:tc>
          <w:tcPr>
            <w:tcW w:w="320" w:type="dxa"/>
            <w:vAlign w:val="bottom"/>
          </w:tcPr>
          <w:p>
            <w:pPr>
              <w:spacing w:after="0"/>
              <w:rPr>
                <w:sz w:val="13"/>
                <w:szCs w:val="13"/>
                <w:color w:val="auto"/>
              </w:rPr>
            </w:pPr>
          </w:p>
        </w:tc>
        <w:tc>
          <w:tcPr>
            <w:tcW w:w="600" w:type="dxa"/>
            <w:vAlign w:val="bottom"/>
          </w:tcPr>
          <w:p>
            <w:pPr>
              <w:jc w:val="center"/>
              <w:ind w:right="53"/>
              <w:spacing w:after="0"/>
              <w:rPr>
                <w:sz w:val="20"/>
                <w:szCs w:val="20"/>
                <w:color w:val="auto"/>
              </w:rPr>
            </w:pPr>
            <w:r>
              <w:rPr>
                <w:rFonts w:ascii="Courier New" w:cs="Courier New" w:eastAsia="Courier New" w:hAnsi="Courier New"/>
                <w:sz w:val="13"/>
                <w:szCs w:val="13"/>
                <w:color w:val="auto"/>
              </w:rPr>
              <w:t>91,363</w:t>
            </w:r>
          </w:p>
        </w:tc>
        <w:tc>
          <w:tcPr>
            <w:tcW w:w="28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8"/>
              </w:rPr>
              <w:t>66,860</w:t>
            </w: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4"/>
        </w:trPr>
        <w:tc>
          <w:tcPr>
            <w:tcW w:w="2400" w:type="dxa"/>
            <w:vAlign w:val="bottom"/>
          </w:tcPr>
          <w:p>
            <w:pPr>
              <w:ind w:left="640"/>
              <w:spacing w:after="0"/>
              <w:rPr>
                <w:sz w:val="20"/>
                <w:szCs w:val="20"/>
                <w:color w:val="auto"/>
              </w:rPr>
            </w:pPr>
            <w:r>
              <w:rPr>
                <w:rFonts w:ascii="Courier New" w:cs="Courier New" w:eastAsia="Courier New" w:hAnsi="Courier New"/>
                <w:sz w:val="13"/>
                <w:szCs w:val="13"/>
                <w:color w:val="auto"/>
              </w:rPr>
              <w:t>Long-term debt</w:t>
            </w:r>
          </w:p>
        </w:tc>
        <w:tc>
          <w:tcPr>
            <w:tcW w:w="9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46,135</w:t>
            </w:r>
          </w:p>
        </w:tc>
        <w:tc>
          <w:tcPr>
            <w:tcW w:w="8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47,661</w:t>
            </w:r>
          </w:p>
        </w:tc>
        <w:tc>
          <w:tcPr>
            <w:tcW w:w="8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50,515</w:t>
            </w:r>
          </w:p>
        </w:tc>
        <w:tc>
          <w:tcPr>
            <w:tcW w:w="320" w:type="dxa"/>
            <w:vAlign w:val="bottom"/>
          </w:tcPr>
          <w:p>
            <w:pPr>
              <w:spacing w:after="0"/>
              <w:rPr>
                <w:sz w:val="13"/>
                <w:szCs w:val="13"/>
                <w:color w:val="auto"/>
              </w:rPr>
            </w:pPr>
          </w:p>
        </w:tc>
        <w:tc>
          <w:tcPr>
            <w:tcW w:w="600" w:type="dxa"/>
            <w:vAlign w:val="bottom"/>
          </w:tcPr>
          <w:p>
            <w:pPr>
              <w:jc w:val="center"/>
              <w:ind w:right="53"/>
              <w:spacing w:after="0"/>
              <w:rPr>
                <w:sz w:val="20"/>
                <w:szCs w:val="20"/>
                <w:color w:val="auto"/>
              </w:rPr>
            </w:pPr>
            <w:r>
              <w:rPr>
                <w:rFonts w:ascii="Courier New" w:cs="Courier New" w:eastAsia="Courier New" w:hAnsi="Courier New"/>
                <w:sz w:val="13"/>
                <w:szCs w:val="13"/>
                <w:color w:val="auto"/>
              </w:rPr>
              <w:t>17,151</w:t>
            </w:r>
          </w:p>
        </w:tc>
        <w:tc>
          <w:tcPr>
            <w:tcW w:w="28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4"/>
        </w:trPr>
        <w:tc>
          <w:tcPr>
            <w:tcW w:w="2400" w:type="dxa"/>
            <w:vAlign w:val="bottom"/>
          </w:tcPr>
          <w:p>
            <w:pPr>
              <w:ind w:left="640"/>
              <w:spacing w:after="0"/>
              <w:rPr>
                <w:sz w:val="20"/>
                <w:szCs w:val="20"/>
                <w:color w:val="auto"/>
              </w:rPr>
            </w:pPr>
            <w:r>
              <w:rPr>
                <w:rFonts w:ascii="Courier New" w:cs="Courier New" w:eastAsia="Courier New" w:hAnsi="Courier New"/>
                <w:sz w:val="13"/>
                <w:szCs w:val="13"/>
                <w:color w:val="auto"/>
              </w:rPr>
              <w:t>Stockholders' equity</w:t>
            </w:r>
          </w:p>
        </w:tc>
        <w:tc>
          <w:tcPr>
            <w:tcW w:w="9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73,279</w:t>
            </w:r>
          </w:p>
        </w:tc>
        <w:tc>
          <w:tcPr>
            <w:tcW w:w="8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62,039</w:t>
            </w:r>
          </w:p>
        </w:tc>
        <w:tc>
          <w:tcPr>
            <w:tcW w:w="8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65,246</w:t>
            </w:r>
          </w:p>
        </w:tc>
        <w:tc>
          <w:tcPr>
            <w:tcW w:w="320" w:type="dxa"/>
            <w:vAlign w:val="bottom"/>
          </w:tcPr>
          <w:p>
            <w:pPr>
              <w:spacing w:after="0"/>
              <w:rPr>
                <w:sz w:val="13"/>
                <w:szCs w:val="13"/>
                <w:color w:val="auto"/>
              </w:rPr>
            </w:pPr>
          </w:p>
        </w:tc>
        <w:tc>
          <w:tcPr>
            <w:tcW w:w="600" w:type="dxa"/>
            <w:vAlign w:val="bottom"/>
          </w:tcPr>
          <w:p>
            <w:pPr>
              <w:jc w:val="center"/>
              <w:ind w:right="53"/>
              <w:spacing w:after="0"/>
              <w:rPr>
                <w:sz w:val="20"/>
                <w:szCs w:val="20"/>
                <w:color w:val="auto"/>
              </w:rPr>
            </w:pPr>
            <w:r>
              <w:rPr>
                <w:rFonts w:ascii="Courier New" w:cs="Courier New" w:eastAsia="Courier New" w:hAnsi="Courier New"/>
                <w:sz w:val="13"/>
                <w:szCs w:val="13"/>
                <w:color w:val="auto"/>
              </w:rPr>
              <w:t>60,128</w:t>
            </w:r>
          </w:p>
        </w:tc>
        <w:tc>
          <w:tcPr>
            <w:tcW w:w="28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8"/>
              </w:rPr>
              <w:t>56,242</w:t>
            </w: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6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-1381125</wp:posOffset>
            </wp:positionV>
            <wp:extent cx="3175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-1381125</wp:posOffset>
            </wp:positionV>
            <wp:extent cx="3175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pacing w:after="0" w:line="139" w:lineRule="exact"/>
        <w:rPr>
          <w:sz w:val="20"/>
          <w:szCs w:val="20"/>
          <w:color w:val="auto"/>
        </w:rPr>
      </w:pPr>
    </w:p>
    <w:p>
      <w:pPr>
        <w:ind w:right="5200" w:firstLine="722"/>
        <w:spacing w:after="0" w:line="253" w:lineRule="auto"/>
        <w:rPr>
          <w:sz w:val="20"/>
          <w:szCs w:val="20"/>
          <w:color w:val="auto"/>
        </w:rPr>
      </w:pPr>
      <w:r>
        <w:rPr>
          <w:rFonts w:ascii="Courier New" w:cs="Courier New" w:eastAsia="Courier New" w:hAnsi="Courier New"/>
          <w:sz w:val="13"/>
          <w:szCs w:val="13"/>
          <w:color w:val="auto"/>
        </w:rPr>
        <w:t>On December 20, 2002 we completed the purchase of the 23% interest in Euroball held by INA/FAG. As a result of this transaction, we own 77% of the shares of NN Euroball, ApS.</w:t>
      </w:r>
    </w:p>
    <w:p>
      <w:pPr>
        <w:spacing w:after="0" w:line="151" w:lineRule="exact"/>
        <w:rPr>
          <w:sz w:val="20"/>
          <w:szCs w:val="20"/>
          <w:color w:val="auto"/>
        </w:rPr>
      </w:pPr>
    </w:p>
    <w:p>
      <w:pPr>
        <w:ind w:right="5440" w:firstLine="722"/>
        <w:spacing w:after="0" w:line="252" w:lineRule="auto"/>
        <w:rPr>
          <w:sz w:val="20"/>
          <w:szCs w:val="20"/>
          <w:color w:val="auto"/>
        </w:rPr>
      </w:pPr>
      <w:r>
        <w:rPr>
          <w:rFonts w:ascii="Courier New" w:cs="Courier New" w:eastAsia="Courier New" w:hAnsi="Courier New"/>
          <w:sz w:val="13"/>
          <w:szCs w:val="13"/>
          <w:color w:val="auto"/>
        </w:rPr>
        <w:t>Effective January 1, 2002 we adopted the provision of Statement of Financial Accounting Standards (SFAS) No. 142. SFAS No. 142 requires that goodwill and intangible assets with indefinite useful lives no longer be amortized.</w:t>
      </w:r>
    </w:p>
    <w:p>
      <w:pPr>
        <w:spacing w:after="0" w:line="153" w:lineRule="exact"/>
        <w:rPr>
          <w:sz w:val="20"/>
          <w:szCs w:val="20"/>
          <w:color w:val="auto"/>
        </w:rPr>
      </w:pPr>
    </w:p>
    <w:p>
      <w:pPr>
        <w:ind w:right="5680" w:firstLine="722"/>
        <w:spacing w:after="0" w:line="254" w:lineRule="auto"/>
        <w:rPr>
          <w:sz w:val="20"/>
          <w:szCs w:val="20"/>
          <w:color w:val="auto"/>
        </w:rPr>
      </w:pPr>
      <w:r>
        <w:rPr>
          <w:rFonts w:ascii="Courier New" w:cs="Courier New" w:eastAsia="Courier New" w:hAnsi="Courier New"/>
          <w:sz w:val="13"/>
          <w:szCs w:val="13"/>
          <w:color w:val="auto"/>
        </w:rPr>
        <w:t>On February 16, 2001 we completed the acquisition of all of the outstanding stock of The Delta Rubber Company.</w:t>
      </w:r>
    </w:p>
    <w:p>
      <w:pPr>
        <w:spacing w:after="0" w:line="151" w:lineRule="exact"/>
        <w:rPr>
          <w:sz w:val="20"/>
          <w:szCs w:val="20"/>
          <w:color w:val="auto"/>
        </w:rPr>
      </w:pPr>
    </w:p>
    <w:p>
      <w:pPr>
        <w:ind w:right="5040" w:firstLine="722"/>
        <w:spacing w:after="0" w:line="254" w:lineRule="auto"/>
        <w:rPr>
          <w:sz w:val="20"/>
          <w:szCs w:val="20"/>
          <w:color w:val="auto"/>
        </w:rPr>
      </w:pPr>
      <w:r>
        <w:rPr>
          <w:rFonts w:ascii="Courier New" w:cs="Courier New" w:eastAsia="Courier New" w:hAnsi="Courier New"/>
          <w:sz w:val="13"/>
          <w:szCs w:val="13"/>
          <w:color w:val="auto"/>
        </w:rPr>
        <w:t>On July 31, 2000 we completed the formation of Euroball. As a result of this transaction, we owned 54% of the shares of NN Euroball ApS.</w:t>
      </w:r>
    </w:p>
    <w:p>
      <w:pPr>
        <w:spacing w:after="0" w:line="151" w:lineRule="exact"/>
        <w:rPr>
          <w:sz w:val="20"/>
          <w:szCs w:val="20"/>
          <w:color w:val="auto"/>
        </w:rPr>
      </w:pPr>
    </w:p>
    <w:p>
      <w:pPr>
        <w:ind w:right="5040" w:firstLine="722"/>
        <w:spacing w:after="0" w:line="253" w:lineRule="auto"/>
        <w:rPr>
          <w:sz w:val="20"/>
          <w:szCs w:val="20"/>
          <w:color w:val="auto"/>
        </w:rPr>
      </w:pPr>
      <w:r>
        <w:rPr>
          <w:rFonts w:ascii="Courier New" w:cs="Courier New" w:eastAsia="Courier New" w:hAnsi="Courier New"/>
          <w:sz w:val="13"/>
          <w:szCs w:val="13"/>
          <w:color w:val="auto"/>
        </w:rPr>
        <w:t>On July 4, 1999 we acquired all of the assets and assumed certain liabilities of Earsley Capital Corporation, formerly known as Industrial Molding Corporation.</w:t>
      </w:r>
    </w:p>
    <w:p>
      <w:pPr>
        <w:spacing w:after="0" w:line="305"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3"/>
          <w:szCs w:val="13"/>
          <w:b w:val="1"/>
          <w:bCs w:val="1"/>
          <w:color w:val="auto"/>
        </w:rPr>
        <w:t>Item 7.</w:t>
        <w:tab/>
        <w:t>Management's Discussion and Analysis of Financial Condition and Results</w:t>
      </w:r>
    </w:p>
    <w:p>
      <w:pPr>
        <w:spacing w:after="0" w:line="7" w:lineRule="exact"/>
        <w:rPr>
          <w:sz w:val="20"/>
          <w:szCs w:val="20"/>
          <w:color w:val="auto"/>
        </w:rPr>
      </w:pPr>
    </w:p>
    <w:p>
      <w:pPr>
        <w:ind w:left="720"/>
        <w:spacing w:after="0"/>
        <w:rPr>
          <w:sz w:val="20"/>
          <w:szCs w:val="20"/>
          <w:color w:val="auto"/>
        </w:rPr>
      </w:pPr>
      <w:r>
        <w:rPr>
          <w:rFonts w:ascii="Courier New" w:cs="Courier New" w:eastAsia="Courier New" w:hAnsi="Courier New"/>
          <w:sz w:val="13"/>
          <w:szCs w:val="13"/>
          <w:b w:val="1"/>
          <w:bCs w:val="1"/>
          <w:color w:val="auto"/>
        </w:rPr>
        <w:t>of Operations</w:t>
      </w:r>
    </w:p>
    <w:p>
      <w:pPr>
        <w:spacing w:after="0" w:line="161" w:lineRule="exact"/>
        <w:rPr>
          <w:sz w:val="20"/>
          <w:szCs w:val="20"/>
          <w:color w:val="auto"/>
        </w:rPr>
      </w:pPr>
    </w:p>
    <w:p>
      <w:pPr>
        <w:ind w:right="5040" w:firstLine="722"/>
        <w:spacing w:after="0" w:line="251" w:lineRule="auto"/>
        <w:rPr>
          <w:sz w:val="20"/>
          <w:szCs w:val="20"/>
          <w:color w:val="auto"/>
        </w:rPr>
      </w:pPr>
      <w:r>
        <w:rPr>
          <w:rFonts w:ascii="Courier New" w:cs="Courier New" w:eastAsia="Courier New" w:hAnsi="Courier New"/>
          <w:sz w:val="13"/>
          <w:szCs w:val="13"/>
          <w:color w:val="auto"/>
        </w:rPr>
        <w:t>The following discussion should be read in conjunction with, and is qualified in its entirety by, the Consolidated Financial Statements and the Notes thereto and Selected Financial Data included elsewhere in this Form 10-K. Historical operating results and percentage relationships among any amounts included in the Consolidated Financial Statements are not necessarily indicative of trends in operating results for any future period.</w:t>
      </w:r>
    </w:p>
    <w:p>
      <w:pPr>
        <w:spacing w:after="0" w:line="155" w:lineRule="exact"/>
        <w:rPr>
          <w:sz w:val="20"/>
          <w:szCs w:val="20"/>
          <w:color w:val="auto"/>
        </w:rPr>
      </w:pPr>
    </w:p>
    <w:p>
      <w:pPr>
        <w:ind w:right="4960"/>
        <w:spacing w:after="0" w:line="254" w:lineRule="auto"/>
        <w:rPr>
          <w:sz w:val="20"/>
          <w:szCs w:val="20"/>
          <w:color w:val="auto"/>
        </w:rPr>
      </w:pPr>
      <w:r>
        <w:rPr>
          <w:rFonts w:ascii="Courier New" w:cs="Courier New" w:eastAsia="Courier New" w:hAnsi="Courier New"/>
          <w:sz w:val="13"/>
          <w:szCs w:val="13"/>
          <w:b w:val="1"/>
          <w:bCs w:val="1"/>
          <w:color w:val="auto"/>
        </w:rPr>
        <w:t>Cautionary Statements for Purposes of the "Safe Harbor" Provisions of the Private Securities Litigation Reform Act of 1995</w:t>
      </w:r>
    </w:p>
    <w:p>
      <w:pPr>
        <w:spacing w:after="0" w:line="151" w:lineRule="exact"/>
        <w:rPr>
          <w:sz w:val="20"/>
          <w:szCs w:val="20"/>
          <w:color w:val="auto"/>
        </w:rPr>
      </w:pPr>
    </w:p>
    <w:p>
      <w:pPr>
        <w:ind w:right="5200" w:firstLine="722"/>
        <w:spacing w:after="0" w:line="251" w:lineRule="auto"/>
        <w:rPr>
          <w:sz w:val="20"/>
          <w:szCs w:val="20"/>
          <w:color w:val="auto"/>
        </w:rPr>
      </w:pPr>
      <w:r>
        <w:rPr>
          <w:rFonts w:ascii="Courier New" w:cs="Courier New" w:eastAsia="Courier New" w:hAnsi="Courier New"/>
          <w:sz w:val="13"/>
          <w:szCs w:val="13"/>
          <w:color w:val="auto"/>
        </w:rPr>
        <w:t>The Company wishes to caution readers that this report contains, and future filings by the Company, press releases and oral statements made by the Company's authorized representatives may contain, forward-looking statements that involve certain risks and uncertainties. Readers can identify these forward-looking statements by the use of such verbs as expects, anticipates, believes or similar verbs or conjugations of such verbs. The Company's actual results could differ materially from those expressed in such forward-looking statements due to important factors bearing on the Company's business, many of which already have been discussed in this filing and in the Company's prior filings. The differences could be caused by a number of factors or combination of factors including, but not limited to, the risk factors described below.</w:t>
      </w:r>
    </w:p>
    <w:p>
      <w:pPr>
        <w:spacing w:after="0" w:line="156" w:lineRule="exact"/>
        <w:rPr>
          <w:sz w:val="20"/>
          <w:szCs w:val="20"/>
          <w:color w:val="auto"/>
        </w:rPr>
      </w:pPr>
    </w:p>
    <w:p>
      <w:pPr>
        <w:ind w:right="5040" w:firstLine="722"/>
        <w:spacing w:after="0" w:line="251" w:lineRule="auto"/>
        <w:rPr>
          <w:sz w:val="20"/>
          <w:szCs w:val="20"/>
          <w:color w:val="auto"/>
        </w:rPr>
      </w:pPr>
      <w:r>
        <w:rPr>
          <w:rFonts w:ascii="Courier New" w:cs="Courier New" w:eastAsia="Courier New" w:hAnsi="Courier New"/>
          <w:sz w:val="13"/>
          <w:szCs w:val="13"/>
          <w:i w:val="1"/>
          <w:iCs w:val="1"/>
          <w:color w:val="auto"/>
        </w:rPr>
        <w:t>You should carefully consider the following risks and uncertainties, and all other information contained in or incorporated by reference in this annual report or Form 10-K, before making an investment in our common stock. Any of the following risks could have a material adverse effect on our business, financial condition or operating results. In such case, the trading price of our common stock could decline and you may lose all or part of your investment.</w:t>
      </w:r>
    </w:p>
    <w:p>
      <w:pPr>
        <w:spacing w:after="0" w:line="155" w:lineRule="exact"/>
        <w:rPr>
          <w:sz w:val="20"/>
          <w:szCs w:val="20"/>
          <w:color w:val="auto"/>
        </w:rPr>
      </w:pPr>
    </w:p>
    <w:p>
      <w:pPr>
        <w:ind w:left="720"/>
        <w:spacing w:after="0"/>
        <w:rPr>
          <w:sz w:val="20"/>
          <w:szCs w:val="20"/>
          <w:color w:val="auto"/>
        </w:rPr>
      </w:pPr>
      <w:r>
        <w:rPr>
          <w:rFonts w:ascii="Courier New" w:cs="Courier New" w:eastAsia="Courier New" w:hAnsi="Courier New"/>
          <w:sz w:val="13"/>
          <w:szCs w:val="13"/>
          <w:b w:val="1"/>
          <w:bCs w:val="1"/>
          <w:i w:val="1"/>
          <w:iCs w:val="1"/>
          <w:color w:val="auto"/>
        </w:rPr>
        <w:t>The demand for our products is cyclical, which could adversely impact</w:t>
      </w:r>
    </w:p>
    <w:p>
      <w:pPr>
        <w:spacing w:after="0" w:line="7" w:lineRule="exact"/>
        <w:rPr>
          <w:sz w:val="20"/>
          <w:szCs w:val="20"/>
          <w:color w:val="auto"/>
        </w:rPr>
      </w:pPr>
    </w:p>
    <w:p>
      <w:pPr>
        <w:ind w:left="720"/>
        <w:spacing w:after="0"/>
        <w:rPr>
          <w:sz w:val="20"/>
          <w:szCs w:val="20"/>
          <w:color w:val="auto"/>
        </w:rPr>
      </w:pPr>
      <w:r>
        <w:rPr>
          <w:rFonts w:ascii="Courier New" w:cs="Courier New" w:eastAsia="Courier New" w:hAnsi="Courier New"/>
          <w:sz w:val="13"/>
          <w:szCs w:val="13"/>
          <w:b w:val="1"/>
          <w:bCs w:val="1"/>
          <w:i w:val="1"/>
          <w:iCs w:val="1"/>
          <w:color w:val="auto"/>
        </w:rPr>
        <w:t>our revenues.</w:t>
      </w:r>
    </w:p>
    <w:p>
      <w:pPr>
        <w:spacing w:after="0" w:line="161" w:lineRule="exact"/>
        <w:rPr>
          <w:sz w:val="20"/>
          <w:szCs w:val="20"/>
          <w:color w:val="auto"/>
        </w:rPr>
      </w:pPr>
    </w:p>
    <w:p>
      <w:pPr>
        <w:ind w:right="5120" w:firstLine="802"/>
        <w:spacing w:after="0" w:line="251" w:lineRule="auto"/>
        <w:rPr>
          <w:sz w:val="20"/>
          <w:szCs w:val="20"/>
          <w:color w:val="auto"/>
        </w:rPr>
      </w:pPr>
      <w:r>
        <w:rPr>
          <w:rFonts w:ascii="Courier New" w:cs="Courier New" w:eastAsia="Courier New" w:hAnsi="Courier New"/>
          <w:sz w:val="13"/>
          <w:szCs w:val="13"/>
          <w:color w:val="auto"/>
        </w:rPr>
        <w:t>The end markets for fully assembled bearings are cyclical and tend to decline in response to overall declines in industrial production. As a result, the market for bearing components is also cyclical and impacted by overall levels of industrial production. Our sales in the past have been negatively affected, and in the future will be negatively affected, by adverse conditions in the industrial production sector of the economy or by adverse global or national economic conditions generally.</w:t>
      </w:r>
    </w:p>
    <w:p>
      <w:pPr>
        <w:spacing w:after="0" w:line="310"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12</w:t>
      </w:r>
    </w:p>
    <w:p>
      <w:pPr>
        <w:sectPr>
          <w:pgSz w:w="11900" w:h="16838" w:orient="portrait"/>
          <w:cols w:equalWidth="0" w:num="1">
            <w:col w:w="11460"/>
          </w:cols>
          <w:pgMar w:left="220" w:top="141" w:right="219" w:bottom="0" w:gutter="0" w:footer="0" w:header="0"/>
        </w:sectPr>
      </w:pPr>
    </w:p>
    <w:bookmarkStart w:id="9" w:name="page10"/>
    <w:bookmarkEnd w:id="9"/>
    <w:p>
      <w:pPr>
        <w:ind w:left="720" w:right="3659"/>
        <w:spacing w:after="0" w:line="254" w:lineRule="auto"/>
        <w:rPr>
          <w:sz w:val="20"/>
          <w:szCs w:val="20"/>
          <w:color w:val="auto"/>
        </w:rPr>
      </w:pPr>
      <w:r>
        <w:rPr>
          <w:rFonts w:ascii="Courier New" w:cs="Courier New" w:eastAsia="Courier New" w:hAnsi="Courier New"/>
          <w:sz w:val="13"/>
          <w:szCs w:val="13"/>
          <w:b w:val="1"/>
          <w:bCs w:val="1"/>
          <w:i w:val="1"/>
          <w:iCs w:val="1"/>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0440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4405" cy="26035"/>
                    </a:xfrm>
                    <a:prstGeom prst="rect">
                      <a:avLst/>
                    </a:prstGeom>
                    <a:noFill/>
                  </pic:spPr>
                </pic:pic>
              </a:graphicData>
            </a:graphic>
          </wp:anchor>
        </w:drawing>
        <w:t>We depend on a very limited number of foreign sources for our primary raw material and are subject to risks of shortages and price fluctuation.</w:t>
      </w:r>
    </w:p>
    <w:p>
      <w:pPr>
        <w:spacing w:after="0" w:line="15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The steel that we use to manufacture precision balls and rollers is of an extremely high quality and is available from a limited number of producers on a global basis. Due to quality constraints in the U.S. steel industry, we obtain substantially all of the steel used in our U.S. ball and roller production from overseas suppliers. In addition, we obtain substantially all of the steel used in our European ball production from a single European source. If we had to obtain steel from sources other than our current suppliers, particularly in the case of our European operations, we could face higher prices and transportation costs, increased duties or taxes, and shortages of steel. Problems in obtaining steel, and particularly 52100 chrome steel, in the quantities that we require and on commercially reasonable terms, could increase our costs, negatively impact our ability to operate our business efficiently and have a material adverse effect on the operating and financial results of our Company.</w:t>
      </w:r>
    </w:p>
    <w:p>
      <w:pPr>
        <w:spacing w:after="0" w:line="157" w:lineRule="exact"/>
        <w:rPr>
          <w:sz w:val="20"/>
          <w:szCs w:val="20"/>
          <w:color w:val="auto"/>
        </w:rPr>
      </w:pPr>
    </w:p>
    <w:p>
      <w:pPr>
        <w:ind w:left="720" w:right="3979"/>
        <w:spacing w:after="0" w:line="254" w:lineRule="auto"/>
        <w:rPr>
          <w:sz w:val="20"/>
          <w:szCs w:val="20"/>
          <w:color w:val="auto"/>
        </w:rPr>
      </w:pPr>
      <w:r>
        <w:rPr>
          <w:rFonts w:ascii="Courier New" w:cs="Courier New" w:eastAsia="Courier New" w:hAnsi="Courier New"/>
          <w:sz w:val="13"/>
          <w:szCs w:val="13"/>
          <w:b w:val="1"/>
          <w:bCs w:val="1"/>
          <w:i w:val="1"/>
          <w:iCs w:val="1"/>
          <w:color w:val="auto"/>
        </w:rPr>
        <w:t>We operate in and sell products to customers outside the U.S. and are subject to several related risks.</w:t>
      </w:r>
    </w:p>
    <w:p>
      <w:pPr>
        <w:spacing w:after="0" w:line="151" w:lineRule="exact"/>
        <w:rPr>
          <w:sz w:val="20"/>
          <w:szCs w:val="20"/>
          <w:color w:val="auto"/>
        </w:rPr>
      </w:pPr>
    </w:p>
    <w:p>
      <w:pPr>
        <w:ind w:right="3819" w:firstLine="722"/>
        <w:spacing w:after="0" w:line="252" w:lineRule="auto"/>
        <w:rPr>
          <w:sz w:val="20"/>
          <w:szCs w:val="20"/>
          <w:color w:val="auto"/>
        </w:rPr>
      </w:pPr>
      <w:r>
        <w:rPr>
          <w:rFonts w:ascii="Courier New" w:cs="Courier New" w:eastAsia="Courier New" w:hAnsi="Courier New"/>
          <w:sz w:val="13"/>
          <w:szCs w:val="13"/>
          <w:color w:val="auto"/>
        </w:rPr>
        <w:t>Because we obtain a majority of our raw materials from overseas suppliers, actively participate in overseas manufacturing operations and sell to a large number of international customers, we face risks associated with the following:</w:t>
      </w:r>
    </w:p>
    <w:p>
      <w:pPr>
        <w:spacing w:after="0" w:line="153" w:lineRule="exact"/>
        <w:rPr>
          <w:sz w:val="20"/>
          <w:szCs w:val="20"/>
          <w:color w:val="auto"/>
        </w:rPr>
      </w:pPr>
    </w:p>
    <w:p>
      <w:pPr>
        <w:ind w:left="1200" w:hanging="396"/>
        <w:spacing w:after="0"/>
        <w:tabs>
          <w:tab w:leader="none" w:pos="1200" w:val="left"/>
        </w:tabs>
        <w:numPr>
          <w:ilvl w:val="0"/>
          <w:numId w:val="1"/>
        </w:numPr>
        <w:rPr>
          <w:rFonts w:ascii="Courier New" w:cs="Courier New" w:eastAsia="Courier New" w:hAnsi="Courier New"/>
          <w:sz w:val="13"/>
          <w:szCs w:val="13"/>
          <w:color w:val="auto"/>
        </w:rPr>
      </w:pPr>
      <w:r>
        <w:rPr>
          <w:rFonts w:ascii="Courier New" w:cs="Courier New" w:eastAsia="Courier New" w:hAnsi="Courier New"/>
          <w:sz w:val="13"/>
          <w:szCs w:val="13"/>
          <w:color w:val="auto"/>
        </w:rPr>
        <w:t>adverse foreign currency fluctuations;</w:t>
      </w:r>
    </w:p>
    <w:p>
      <w:pPr>
        <w:spacing w:after="0" w:line="161" w:lineRule="exact"/>
        <w:rPr>
          <w:rFonts w:ascii="Courier New" w:cs="Courier New" w:eastAsia="Courier New" w:hAnsi="Courier New"/>
          <w:sz w:val="13"/>
          <w:szCs w:val="13"/>
          <w:color w:val="auto"/>
        </w:rPr>
      </w:pPr>
    </w:p>
    <w:p>
      <w:pPr>
        <w:ind w:left="1200" w:right="4059" w:hanging="396"/>
        <w:spacing w:after="0" w:line="253" w:lineRule="auto"/>
        <w:tabs>
          <w:tab w:leader="none" w:pos="1200" w:val="left"/>
        </w:tabs>
        <w:numPr>
          <w:ilvl w:val="0"/>
          <w:numId w:val="1"/>
        </w:numPr>
        <w:rPr>
          <w:rFonts w:ascii="Courier New" w:cs="Courier New" w:eastAsia="Courier New" w:hAnsi="Courier New"/>
          <w:sz w:val="13"/>
          <w:szCs w:val="13"/>
          <w:color w:val="auto"/>
        </w:rPr>
      </w:pPr>
      <w:r>
        <w:rPr>
          <w:rFonts w:ascii="Courier New" w:cs="Courier New" w:eastAsia="Courier New" w:hAnsi="Courier New"/>
          <w:sz w:val="13"/>
          <w:szCs w:val="13"/>
          <w:color w:val="auto"/>
        </w:rPr>
        <w:t>changes in trade, monetary and fiscal policies, laws and regulations, and other activities of governments, agencies and similar organizations;</w:t>
      </w:r>
    </w:p>
    <w:p>
      <w:pPr>
        <w:spacing w:after="0" w:line="151" w:lineRule="exact"/>
        <w:rPr>
          <w:rFonts w:ascii="Courier New" w:cs="Courier New" w:eastAsia="Courier New" w:hAnsi="Courier New"/>
          <w:sz w:val="13"/>
          <w:szCs w:val="13"/>
          <w:color w:val="auto"/>
        </w:rPr>
      </w:pPr>
    </w:p>
    <w:p>
      <w:pPr>
        <w:ind w:left="1200" w:hanging="396"/>
        <w:spacing w:after="0"/>
        <w:tabs>
          <w:tab w:leader="none" w:pos="1200" w:val="left"/>
        </w:tabs>
        <w:numPr>
          <w:ilvl w:val="0"/>
          <w:numId w:val="1"/>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imposition of trade restrictions or prohibitions;</w:t>
      </w:r>
    </w:p>
    <w:p>
      <w:pPr>
        <w:spacing w:after="0" w:line="161" w:lineRule="exact"/>
        <w:rPr>
          <w:rFonts w:ascii="Courier New" w:cs="Courier New" w:eastAsia="Courier New" w:hAnsi="Courier New"/>
          <w:sz w:val="13"/>
          <w:szCs w:val="13"/>
          <w:color w:val="auto"/>
        </w:rPr>
      </w:pPr>
    </w:p>
    <w:p>
      <w:pPr>
        <w:ind w:left="1200" w:right="3979" w:hanging="396"/>
        <w:spacing w:after="0" w:line="254" w:lineRule="auto"/>
        <w:tabs>
          <w:tab w:leader="none" w:pos="1200" w:val="left"/>
        </w:tabs>
        <w:numPr>
          <w:ilvl w:val="0"/>
          <w:numId w:val="1"/>
        </w:numPr>
        <w:rPr>
          <w:rFonts w:ascii="Courier New" w:cs="Courier New" w:eastAsia="Courier New" w:hAnsi="Courier New"/>
          <w:sz w:val="13"/>
          <w:szCs w:val="13"/>
          <w:color w:val="auto"/>
        </w:rPr>
      </w:pPr>
      <w:r>
        <w:rPr>
          <w:rFonts w:ascii="Courier New" w:cs="Courier New" w:eastAsia="Courier New" w:hAnsi="Courier New"/>
          <w:sz w:val="13"/>
          <w:szCs w:val="13"/>
          <w:color w:val="auto"/>
        </w:rPr>
        <w:t>high tax rates that discourage the repatriation of funds to the U.S.;</w:t>
      </w:r>
    </w:p>
    <w:p>
      <w:pPr>
        <w:spacing w:after="0" w:line="150" w:lineRule="exact"/>
        <w:rPr>
          <w:rFonts w:ascii="Courier New" w:cs="Courier New" w:eastAsia="Courier New" w:hAnsi="Courier New"/>
          <w:sz w:val="13"/>
          <w:szCs w:val="13"/>
          <w:color w:val="auto"/>
        </w:rPr>
      </w:pPr>
    </w:p>
    <w:p>
      <w:pPr>
        <w:ind w:left="1200" w:hanging="396"/>
        <w:spacing w:after="0"/>
        <w:tabs>
          <w:tab w:leader="none" w:pos="1200" w:val="left"/>
        </w:tabs>
        <w:numPr>
          <w:ilvl w:val="0"/>
          <w:numId w:val="1"/>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imposition of import or other duties or taxes; and</w:t>
      </w:r>
    </w:p>
    <w:p>
      <w:pPr>
        <w:spacing w:after="0" w:line="161" w:lineRule="exact"/>
        <w:rPr>
          <w:rFonts w:ascii="Courier New" w:cs="Courier New" w:eastAsia="Courier New" w:hAnsi="Courier New"/>
          <w:sz w:val="13"/>
          <w:szCs w:val="13"/>
          <w:color w:val="auto"/>
        </w:rPr>
      </w:pPr>
    </w:p>
    <w:p>
      <w:pPr>
        <w:jc w:val="both"/>
        <w:ind w:left="1200" w:right="3979" w:hanging="396"/>
        <w:spacing w:after="0" w:line="254" w:lineRule="auto"/>
        <w:tabs>
          <w:tab w:leader="none" w:pos="1200" w:val="left"/>
        </w:tabs>
        <w:numPr>
          <w:ilvl w:val="0"/>
          <w:numId w:val="1"/>
        </w:numPr>
        <w:rPr>
          <w:rFonts w:ascii="Courier New" w:cs="Courier New" w:eastAsia="Courier New" w:hAnsi="Courier New"/>
          <w:sz w:val="13"/>
          <w:szCs w:val="13"/>
          <w:color w:val="auto"/>
        </w:rPr>
      </w:pPr>
      <w:r>
        <w:rPr>
          <w:rFonts w:ascii="Courier New" w:cs="Courier New" w:eastAsia="Courier New" w:hAnsi="Courier New"/>
          <w:sz w:val="13"/>
          <w:szCs w:val="13"/>
          <w:color w:val="auto"/>
        </w:rPr>
        <w:t>unstable governments or legal systems in countries in which our suppliers, manufacturing operations, and customers are located.</w:t>
      </w:r>
    </w:p>
    <w:p>
      <w:pPr>
        <w:spacing w:after="0" w:line="151" w:lineRule="exact"/>
        <w:rPr>
          <w:sz w:val="20"/>
          <w:szCs w:val="20"/>
          <w:color w:val="auto"/>
        </w:rPr>
      </w:pPr>
    </w:p>
    <w:p>
      <w:pPr>
        <w:ind w:right="3979"/>
        <w:spacing w:after="0" w:line="251" w:lineRule="auto"/>
        <w:rPr>
          <w:sz w:val="20"/>
          <w:szCs w:val="20"/>
          <w:color w:val="auto"/>
        </w:rPr>
      </w:pPr>
      <w:r>
        <w:rPr>
          <w:rFonts w:ascii="Courier New" w:cs="Courier New" w:eastAsia="Courier New" w:hAnsi="Courier New"/>
          <w:sz w:val="13"/>
          <w:szCs w:val="13"/>
          <w:color w:val="auto"/>
        </w:rPr>
        <w:t>We do not have a hedging program in place associated with consolidating the operating results of our foreign businesses into U.S. dollars. An increase in the value of the U.S. dollar and/or the Euro relative to other currencies may adversely affect our ability to compete with our foreign-based competitors for international, as well as domestic, sales. Also, a decline in the value of the Euro relative to the U.S. dollar will negatively impact our consolidated financial results, which are denominated in U.S. dollars.</w:t>
      </w:r>
    </w:p>
    <w:p>
      <w:pPr>
        <w:spacing w:after="0" w:line="156" w:lineRule="exact"/>
        <w:rPr>
          <w:sz w:val="20"/>
          <w:szCs w:val="20"/>
          <w:color w:val="auto"/>
        </w:rPr>
      </w:pPr>
    </w:p>
    <w:p>
      <w:pPr>
        <w:ind w:right="3899" w:firstLine="722"/>
        <w:spacing w:after="0" w:line="252" w:lineRule="auto"/>
        <w:rPr>
          <w:sz w:val="20"/>
          <w:szCs w:val="20"/>
          <w:color w:val="auto"/>
        </w:rPr>
      </w:pPr>
      <w:r>
        <w:rPr>
          <w:rFonts w:ascii="Courier New" w:cs="Courier New" w:eastAsia="Courier New" w:hAnsi="Courier New"/>
          <w:sz w:val="13"/>
          <w:szCs w:val="13"/>
          <w:color w:val="auto"/>
        </w:rPr>
        <w:t>In addition, due to the typical slower summer manufacturing season in Europe, we expect that revenues in the third fiscal quarter will reflect lower sales, as our sales to European customers have increased as a percentage of net sales.</w:t>
      </w:r>
    </w:p>
    <w:p>
      <w:pPr>
        <w:spacing w:after="0" w:line="153" w:lineRule="exact"/>
        <w:rPr>
          <w:sz w:val="20"/>
          <w:szCs w:val="20"/>
          <w:color w:val="auto"/>
        </w:rPr>
      </w:pPr>
    </w:p>
    <w:p>
      <w:pPr>
        <w:jc w:val="both"/>
        <w:ind w:left="720" w:right="3899"/>
        <w:spacing w:after="0" w:line="253" w:lineRule="auto"/>
        <w:rPr>
          <w:sz w:val="20"/>
          <w:szCs w:val="20"/>
          <w:color w:val="auto"/>
        </w:rPr>
      </w:pPr>
      <w:r>
        <w:rPr>
          <w:rFonts w:ascii="Courier New" w:cs="Courier New" w:eastAsia="Courier New" w:hAnsi="Courier New"/>
          <w:sz w:val="13"/>
          <w:szCs w:val="13"/>
          <w:b w:val="1"/>
          <w:bCs w:val="1"/>
          <w:i w:val="1"/>
          <w:iCs w:val="1"/>
          <w:color w:val="auto"/>
        </w:rPr>
        <w:t>We depend heavily on a relatively limited number of customers, and the loss of any major customer would have a material adverse effect on our business.</w:t>
      </w:r>
    </w:p>
    <w:p>
      <w:pPr>
        <w:spacing w:after="0" w:line="15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Sales to various U.S. and foreign divisions of SKF, which is one of the largest bearing manufacturers in the world, accounted for approximately 33% of consolidated net sales in 2002, and sales to INA/FAG accounted for approximately 19% of consolidated net sales in 2002. During 2002, our ten largest customers accounted for approximately 73% of our consolidated net sales. None of our other customers individually accounted for more than 5% of our consolidated net sales for 2002. The loss of all or a substantial portion of sales to these customers would cause us to lose a substantial portion of our revenue and would lower our profit margin and cash flows from operations.</w:t>
      </w:r>
    </w:p>
    <w:p>
      <w:pPr>
        <w:spacing w:after="0" w:line="156" w:lineRule="exact"/>
        <w:rPr>
          <w:sz w:val="20"/>
          <w:szCs w:val="20"/>
          <w:color w:val="auto"/>
        </w:rPr>
      </w:pPr>
    </w:p>
    <w:p>
      <w:pPr>
        <w:ind w:left="720" w:right="4299"/>
        <w:spacing w:after="0" w:line="254" w:lineRule="auto"/>
        <w:rPr>
          <w:sz w:val="20"/>
          <w:szCs w:val="20"/>
          <w:color w:val="auto"/>
        </w:rPr>
      </w:pPr>
      <w:r>
        <w:rPr>
          <w:rFonts w:ascii="Courier New" w:cs="Courier New" w:eastAsia="Courier New" w:hAnsi="Courier New"/>
          <w:sz w:val="13"/>
          <w:szCs w:val="13"/>
          <w:b w:val="1"/>
          <w:bCs w:val="1"/>
          <w:i w:val="1"/>
          <w:iCs w:val="1"/>
          <w:color w:val="auto"/>
        </w:rPr>
        <w:t>The costs and difficulties of integrating acquired business could impede our future growth.</w:t>
      </w:r>
    </w:p>
    <w:p>
      <w:pPr>
        <w:spacing w:after="0" w:line="151" w:lineRule="exact"/>
        <w:rPr>
          <w:sz w:val="20"/>
          <w:szCs w:val="20"/>
          <w:color w:val="auto"/>
        </w:rPr>
      </w:pPr>
    </w:p>
    <w:p>
      <w:pPr>
        <w:ind w:right="3819" w:firstLine="802"/>
        <w:spacing w:after="0" w:line="251" w:lineRule="auto"/>
        <w:rPr>
          <w:sz w:val="20"/>
          <w:szCs w:val="20"/>
          <w:color w:val="auto"/>
        </w:rPr>
      </w:pPr>
      <w:r>
        <w:rPr>
          <w:rFonts w:ascii="Courier New" w:cs="Courier New" w:eastAsia="Courier New" w:hAnsi="Courier New"/>
          <w:sz w:val="13"/>
          <w:szCs w:val="13"/>
          <w:color w:val="auto"/>
        </w:rPr>
        <w:t>We cannot assure you that any future acquisition will enhance our financial performance. Our ability to effectively integrate any future acquisitions will depend on, among other things, the adequacy of our implementation plans, the ability of our management to oversee and operate effectively the combined operations and our ability to achieve desired operating efficiencies and sales goals. The integration of any acquired businesses might cause us to incur unforeseen costs, which would lower our profit margin and future earnings and would prevent us from realizing the expected benefits of these acquisitions.</w:t>
      </w:r>
    </w:p>
    <w:p>
      <w:pPr>
        <w:spacing w:after="0" w:line="310"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720" w:right="3979"/>
        <w:spacing w:after="0" w:line="254" w:lineRule="auto"/>
        <w:rPr>
          <w:sz w:val="20"/>
          <w:szCs w:val="20"/>
          <w:color w:val="auto"/>
        </w:rPr>
      </w:pPr>
      <w:r>
        <w:rPr>
          <w:rFonts w:ascii="Courier New" w:cs="Courier New" w:eastAsia="Courier New" w:hAnsi="Courier New"/>
          <w:sz w:val="13"/>
          <w:szCs w:val="13"/>
          <w:b w:val="1"/>
          <w:bCs w:val="1"/>
          <w:i w:val="1"/>
          <w:iCs w:val="1"/>
          <w:color w:val="auto"/>
        </w:rPr>
        <w:t>We may not be able to continue to make the acquisitions necessary for us to realize our growth strategy.</w:t>
      </w:r>
    </w:p>
    <w:p>
      <w:pPr>
        <w:spacing w:after="0" w:line="15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Acquiring businesses that complement or expand our operations has been and continues to be an important element of our business strategy. This strategy calls for growth through acquisitions constituting approximately two-thirds of our future growth, with the remainder resulting from internal growth and market penetration. We bought our plastic bearing component business in 1999, formed Euroball with our two largest bearing customers, SKF and INA/FAG, in 2000 and acquired our bearing seal operations in 2001. During 2002, we purchased INA/FAG's minority interest in Euroball. See Note 2 of the Notes to Consolidated Financial Statements. We cannot assure you that we will be successful in identifying attractive acquisition candidates or completing acquisitions on favorable terms in the future. In addition, we may borrow funds to acquire other businesses, increasing our interest expense and debt levels. Our inability to acquire businesses, or to operate them profitably once acquired, could have a</w:t>
      </w:r>
    </w:p>
    <w:p>
      <w:pPr>
        <w:sectPr>
          <w:pgSz w:w="11900" w:h="16838" w:orient="portrait"/>
          <w:cols w:equalWidth="0" w:num="1">
            <w:col w:w="10239"/>
          </w:cols>
          <w:pgMar w:left="220" w:top="604" w:right="1440" w:bottom="0" w:gutter="0" w:footer="0" w:header="0"/>
        </w:sectPr>
      </w:pPr>
    </w:p>
    <w:bookmarkStart w:id="10" w:name="page11"/>
    <w:bookmarkEnd w:id="10"/>
    <w:p>
      <w:pPr>
        <w:ind w:right="4539"/>
        <w:spacing w:after="0" w:line="254" w:lineRule="auto"/>
        <w:rPr>
          <w:sz w:val="20"/>
          <w:szCs w:val="20"/>
          <w:color w:val="auto"/>
        </w:rPr>
      </w:pPr>
      <w:r>
        <w:rPr>
          <w:rFonts w:ascii="Courier New" w:cs="Courier New" w:eastAsia="Courier New" w:hAnsi="Courier New"/>
          <w:sz w:val="13"/>
          <w:szCs w:val="13"/>
          <w:color w:val="auto"/>
        </w:rPr>
        <w:t>material adverse effect on our business, financial position, results of operations and cash flows.</w:t>
      </w:r>
    </w:p>
    <w:p>
      <w:pPr>
        <w:spacing w:after="0" w:line="151" w:lineRule="exact"/>
        <w:rPr>
          <w:sz w:val="20"/>
          <w:szCs w:val="20"/>
          <w:color w:val="auto"/>
        </w:rPr>
      </w:pPr>
    </w:p>
    <w:p>
      <w:pPr>
        <w:ind w:right="3819" w:firstLine="802"/>
        <w:spacing w:after="0" w:line="251" w:lineRule="auto"/>
        <w:rPr>
          <w:sz w:val="20"/>
          <w:szCs w:val="20"/>
          <w:color w:val="auto"/>
        </w:rPr>
      </w:pPr>
      <w:r>
        <w:rPr>
          <w:rFonts w:ascii="Courier New" w:cs="Courier New" w:eastAsia="Courier New" w:hAnsi="Courier New"/>
          <w:sz w:val="13"/>
          <w:szCs w:val="13"/>
          <w:color w:val="auto"/>
        </w:rPr>
        <w:t>Additionally, SKF, the minority shareholder in Euroball, has the right to require us to purchase its interest beginning in January 2003. SKF has informed us that it intends to exercise its right and we expectt to purchase its interest in the second quarter of 2003. The Company may need to borrow funds to pay for all or a portion of the purchase of SKF's interest or may be required to make a purchase at a time that is less favorable to the Company.</w:t>
      </w:r>
    </w:p>
    <w:p>
      <w:pPr>
        <w:spacing w:after="0" w:line="155" w:lineRule="exact"/>
        <w:rPr>
          <w:sz w:val="20"/>
          <w:szCs w:val="20"/>
          <w:color w:val="auto"/>
        </w:rPr>
      </w:pPr>
    </w:p>
    <w:p>
      <w:pPr>
        <w:jc w:val="both"/>
        <w:ind w:left="720" w:right="3979"/>
        <w:spacing w:after="0" w:line="253" w:lineRule="auto"/>
        <w:rPr>
          <w:sz w:val="20"/>
          <w:szCs w:val="20"/>
          <w:color w:val="auto"/>
        </w:rPr>
      </w:pPr>
      <w:r>
        <w:rPr>
          <w:rFonts w:ascii="Courier New" w:cs="Courier New" w:eastAsia="Courier New" w:hAnsi="Courier New"/>
          <w:sz w:val="13"/>
          <w:szCs w:val="13"/>
          <w:b w:val="1"/>
          <w:bCs w:val="1"/>
          <w:i w:val="1"/>
          <w:iCs w:val="1"/>
          <w:color w:val="auto"/>
        </w:rPr>
        <w:t>Our growth strategy depends on outsourcing, and if the industry trend toward outsourcing does not continue, our business could be adversely affected.</w:t>
      </w:r>
    </w:p>
    <w:p>
      <w:pPr>
        <w:spacing w:after="0" w:line="15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Our growth strategy depends in significant part on major bearing manufacturers continuing to outsource components, and expanding the number of components being outsourced. This requires manufacturers to depart significantly from their traditional methods of operations. If major bearing manufacturers do not continue to expand outsourcing efforts or determine to reduce their use of outsourcing, our ability to grow our business could be materially adversely affected.</w:t>
      </w:r>
    </w:p>
    <w:p>
      <w:pPr>
        <w:spacing w:after="0" w:line="156" w:lineRule="exact"/>
        <w:rPr>
          <w:sz w:val="20"/>
          <w:szCs w:val="20"/>
          <w:color w:val="auto"/>
        </w:rPr>
      </w:pPr>
    </w:p>
    <w:p>
      <w:pPr>
        <w:ind w:left="720" w:right="4299"/>
        <w:spacing w:after="0" w:line="254" w:lineRule="auto"/>
        <w:rPr>
          <w:sz w:val="20"/>
          <w:szCs w:val="20"/>
          <w:color w:val="auto"/>
        </w:rPr>
      </w:pPr>
      <w:r>
        <w:rPr>
          <w:rFonts w:ascii="Courier New" w:cs="Courier New" w:eastAsia="Courier New" w:hAnsi="Courier New"/>
          <w:sz w:val="13"/>
          <w:szCs w:val="13"/>
          <w:b w:val="1"/>
          <w:bCs w:val="1"/>
          <w:i w:val="1"/>
          <w:iCs w:val="1"/>
          <w:color w:val="auto"/>
        </w:rPr>
        <w:t>Our market is highly competitive and many of our competitors have significant advantages that could adversely affect our business.</w:t>
      </w:r>
    </w:p>
    <w:p>
      <w:pPr>
        <w:spacing w:after="0" w:line="15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The global market for bearing components is highly competitive, with a majority of production represented by the captive production operations of certain large bearing manufacturers and the balance represented by independent manufacturers. Captive manufacturers make components for internal use and for sale to third parties. All of the captive manufacturers, and many independent manufacturers, are significantly larger and have greater resources than do we.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 effective manner.</w:t>
      </w:r>
    </w:p>
    <w:p>
      <w:pPr>
        <w:spacing w:after="0" w:line="156" w:lineRule="exact"/>
        <w:rPr>
          <w:sz w:val="20"/>
          <w:szCs w:val="20"/>
          <w:color w:val="auto"/>
        </w:rPr>
      </w:pPr>
    </w:p>
    <w:p>
      <w:pPr>
        <w:ind w:left="720" w:right="3979"/>
        <w:spacing w:after="0" w:line="253" w:lineRule="auto"/>
        <w:rPr>
          <w:sz w:val="20"/>
          <w:szCs w:val="20"/>
          <w:color w:val="auto"/>
        </w:rPr>
      </w:pPr>
      <w:r>
        <w:rPr>
          <w:rFonts w:ascii="Courier New" w:cs="Courier New" w:eastAsia="Courier New" w:hAnsi="Courier New"/>
          <w:sz w:val="13"/>
          <w:szCs w:val="13"/>
          <w:b w:val="1"/>
          <w:bCs w:val="1"/>
          <w:i w:val="1"/>
          <w:iCs w:val="1"/>
          <w:color w:val="auto"/>
        </w:rPr>
        <w:t>The production capacity we have added over the last several years has at times resulted in our having more capacity than we need, causing our operating costs to be higher than expected.</w:t>
      </w:r>
    </w:p>
    <w:p>
      <w:pPr>
        <w:spacing w:after="0" w:line="151" w:lineRule="exact"/>
        <w:rPr>
          <w:sz w:val="20"/>
          <w:szCs w:val="20"/>
          <w:color w:val="auto"/>
        </w:rPr>
      </w:pPr>
    </w:p>
    <w:p>
      <w:pPr>
        <w:ind w:right="3819" w:firstLine="802"/>
        <w:spacing w:after="0" w:line="251" w:lineRule="auto"/>
        <w:rPr>
          <w:sz w:val="20"/>
          <w:szCs w:val="20"/>
          <w:color w:val="auto"/>
        </w:rPr>
      </w:pPr>
      <w:r>
        <w:rPr>
          <w:rFonts w:ascii="Courier New" w:cs="Courier New" w:eastAsia="Courier New" w:hAnsi="Courier New"/>
          <w:sz w:val="13"/>
          <w:szCs w:val="13"/>
          <w:color w:val="auto"/>
        </w:rPr>
        <w:t>We have expanded our ball and roller production facilities and capacity over the last several years. During 1997, we built an additional manufacturing plant in Kilkenny, Ireland, and we continued this expansion in 2000 through the formation of Euroball with SKF and INA/FAG. Our ball and roller facilities have not always operated at full capacity and from time to time our results of operations have been adversely affected by the under-utilization of our production facilities, and we face risks of further under-utilization or inefficient utilization of our production facilities in future years.</w:t>
      </w:r>
    </w:p>
    <w:p>
      <w:pPr>
        <w:spacing w:after="0" w:line="156" w:lineRule="exact"/>
        <w:rPr>
          <w:sz w:val="20"/>
          <w:szCs w:val="20"/>
          <w:color w:val="auto"/>
        </w:rPr>
      </w:pPr>
    </w:p>
    <w:p>
      <w:pPr>
        <w:ind w:left="720"/>
        <w:spacing w:after="0"/>
        <w:rPr>
          <w:sz w:val="20"/>
          <w:szCs w:val="20"/>
          <w:color w:val="auto"/>
        </w:rPr>
      </w:pPr>
      <w:r>
        <w:rPr>
          <w:rFonts w:ascii="Courier New" w:cs="Courier New" w:eastAsia="Courier New" w:hAnsi="Courier New"/>
          <w:sz w:val="13"/>
          <w:szCs w:val="13"/>
          <w:b w:val="1"/>
          <w:bCs w:val="1"/>
          <w:i w:val="1"/>
          <w:iCs w:val="1"/>
          <w:color w:val="auto"/>
        </w:rPr>
        <w:t>The price of our common stock may be volatile.</w:t>
      </w:r>
    </w:p>
    <w:p>
      <w:pPr>
        <w:spacing w:after="0" w:line="161" w:lineRule="exact"/>
        <w:rPr>
          <w:sz w:val="20"/>
          <w:szCs w:val="20"/>
          <w:color w:val="auto"/>
        </w:rPr>
      </w:pPr>
    </w:p>
    <w:p>
      <w:pPr>
        <w:ind w:right="4059" w:firstLine="722"/>
        <w:spacing w:after="0" w:line="253" w:lineRule="auto"/>
        <w:rPr>
          <w:sz w:val="20"/>
          <w:szCs w:val="20"/>
          <w:color w:val="auto"/>
        </w:rPr>
      </w:pPr>
      <w:r>
        <w:rPr>
          <w:rFonts w:ascii="Courier New" w:cs="Courier New" w:eastAsia="Courier New" w:hAnsi="Courier New"/>
          <w:sz w:val="13"/>
          <w:szCs w:val="13"/>
          <w:color w:val="auto"/>
        </w:rPr>
        <w:t>The market price of our common stock could be subject to significant fluctuations and may decline. Among the factors that could affect our stock price are:</w:t>
      </w:r>
    </w:p>
    <w:p>
      <w:pPr>
        <w:spacing w:after="0" w:line="151" w:lineRule="exact"/>
        <w:rPr>
          <w:sz w:val="20"/>
          <w:szCs w:val="20"/>
          <w:color w:val="auto"/>
        </w:rPr>
      </w:pPr>
    </w:p>
    <w:p>
      <w:pPr>
        <w:ind w:left="1200" w:hanging="396"/>
        <w:spacing w:after="0"/>
        <w:tabs>
          <w:tab w:leader="none" w:pos="120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our operating and financial performance and prospects;</w:t>
      </w:r>
    </w:p>
    <w:p>
      <w:pPr>
        <w:spacing w:after="0" w:line="161" w:lineRule="exact"/>
        <w:rPr>
          <w:rFonts w:ascii="Courier New" w:cs="Courier New" w:eastAsia="Courier New" w:hAnsi="Courier New"/>
          <w:sz w:val="13"/>
          <w:szCs w:val="13"/>
          <w:color w:val="auto"/>
        </w:rPr>
      </w:pPr>
    </w:p>
    <w:p>
      <w:pPr>
        <w:ind w:left="1200" w:right="3899" w:hanging="396"/>
        <w:spacing w:after="0" w:line="254" w:lineRule="auto"/>
        <w:tabs>
          <w:tab w:leader="none" w:pos="120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quarterly variations in the rate of growth of our financial indicators, such as earnings per share, net income and revenues;</w:t>
      </w:r>
    </w:p>
    <w:p>
      <w:pPr>
        <w:spacing w:after="0" w:line="150" w:lineRule="exact"/>
        <w:rPr>
          <w:rFonts w:ascii="Courier New" w:cs="Courier New" w:eastAsia="Courier New" w:hAnsi="Courier New"/>
          <w:sz w:val="13"/>
          <w:szCs w:val="13"/>
          <w:color w:val="auto"/>
        </w:rPr>
      </w:pPr>
    </w:p>
    <w:p>
      <w:pPr>
        <w:ind w:left="1200" w:right="4379" w:hanging="396"/>
        <w:spacing w:after="0" w:line="254" w:lineRule="auto"/>
        <w:tabs>
          <w:tab w:leader="none" w:pos="120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changes in revenue or earnings estimates or publication of research reports by analysts;</w:t>
      </w:r>
    </w:p>
    <w:p>
      <w:pPr>
        <w:spacing w:after="0" w:line="305"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200" w:hanging="396"/>
        <w:spacing w:after="0"/>
        <w:tabs>
          <w:tab w:leader="none" w:pos="120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loss of any member of our senior management team;</w:t>
      </w:r>
    </w:p>
    <w:p>
      <w:pPr>
        <w:spacing w:after="0" w:line="161" w:lineRule="exact"/>
        <w:rPr>
          <w:rFonts w:ascii="Courier New" w:cs="Courier New" w:eastAsia="Courier New" w:hAnsi="Courier New"/>
          <w:sz w:val="13"/>
          <w:szCs w:val="13"/>
          <w:color w:val="auto"/>
        </w:rPr>
      </w:pPr>
    </w:p>
    <w:p>
      <w:pPr>
        <w:ind w:left="1200" w:hanging="396"/>
        <w:spacing w:after="0"/>
        <w:tabs>
          <w:tab w:leader="none" w:pos="120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speculation in the press or investment community;</w:t>
      </w:r>
    </w:p>
    <w:p>
      <w:pPr>
        <w:spacing w:after="0" w:line="161" w:lineRule="exact"/>
        <w:rPr>
          <w:rFonts w:ascii="Courier New" w:cs="Courier New" w:eastAsia="Courier New" w:hAnsi="Courier New"/>
          <w:sz w:val="13"/>
          <w:szCs w:val="13"/>
          <w:color w:val="auto"/>
        </w:rPr>
      </w:pPr>
    </w:p>
    <w:p>
      <w:pPr>
        <w:ind w:left="1200" w:right="3899" w:hanging="396"/>
        <w:spacing w:after="0" w:line="254" w:lineRule="auto"/>
        <w:tabs>
          <w:tab w:leader="none" w:pos="120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strategic actions by us or our competitors, such as acquisitions or restructurings;</w:t>
      </w:r>
    </w:p>
    <w:p>
      <w:pPr>
        <w:spacing w:after="0" w:line="150" w:lineRule="exact"/>
        <w:rPr>
          <w:rFonts w:ascii="Courier New" w:cs="Courier New" w:eastAsia="Courier New" w:hAnsi="Courier New"/>
          <w:sz w:val="13"/>
          <w:szCs w:val="13"/>
          <w:color w:val="auto"/>
        </w:rPr>
      </w:pPr>
    </w:p>
    <w:p>
      <w:pPr>
        <w:ind w:left="1200" w:hanging="396"/>
        <w:spacing w:after="0"/>
        <w:tabs>
          <w:tab w:leader="none" w:pos="120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sales of our common stock by stockholders;</w:t>
      </w:r>
    </w:p>
    <w:p>
      <w:pPr>
        <w:spacing w:after="0" w:line="161" w:lineRule="exact"/>
        <w:rPr>
          <w:rFonts w:ascii="Courier New" w:cs="Courier New" w:eastAsia="Courier New" w:hAnsi="Courier New"/>
          <w:sz w:val="13"/>
          <w:szCs w:val="13"/>
          <w:color w:val="auto"/>
        </w:rPr>
      </w:pPr>
    </w:p>
    <w:p>
      <w:pPr>
        <w:ind w:left="1200" w:hanging="396"/>
        <w:spacing w:after="0"/>
        <w:tabs>
          <w:tab w:leader="none" w:pos="120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general market conditions; and</w:t>
      </w:r>
    </w:p>
    <w:p>
      <w:pPr>
        <w:spacing w:after="0" w:line="161" w:lineRule="exact"/>
        <w:rPr>
          <w:rFonts w:ascii="Courier New" w:cs="Courier New" w:eastAsia="Courier New" w:hAnsi="Courier New"/>
          <w:sz w:val="13"/>
          <w:szCs w:val="13"/>
          <w:color w:val="auto"/>
        </w:rPr>
      </w:pPr>
    </w:p>
    <w:p>
      <w:pPr>
        <w:ind w:left="1200" w:right="3819" w:hanging="396"/>
        <w:spacing w:after="0" w:line="254" w:lineRule="auto"/>
        <w:tabs>
          <w:tab w:leader="none" w:pos="120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domestic and international economic, legal and regulatory factors unrelated to our performance.</w:t>
      </w:r>
    </w:p>
    <w:p>
      <w:pPr>
        <w:spacing w:after="0" w:line="151" w:lineRule="exact"/>
        <w:rPr>
          <w:sz w:val="20"/>
          <w:szCs w:val="20"/>
          <w:color w:val="auto"/>
        </w:rPr>
      </w:pPr>
    </w:p>
    <w:p>
      <w:pPr>
        <w:ind w:right="3979" w:firstLine="722"/>
        <w:spacing w:after="0" w:line="252" w:lineRule="auto"/>
        <w:rPr>
          <w:sz w:val="20"/>
          <w:szCs w:val="20"/>
          <w:color w:val="auto"/>
        </w:rPr>
      </w:pPr>
      <w:r>
        <w:rPr>
          <w:rFonts w:ascii="Courier New" w:cs="Courier New" w:eastAsia="Courier New" w:hAnsi="Courier New"/>
          <w:sz w:val="13"/>
          <w:szCs w:val="13"/>
          <w:color w:val="auto"/>
        </w:rPr>
        <w:t>The stock markets in general have experienced extreme volatility that has often been unrelated to the operating performance of particular companies. These broad market fluctuations may adversely affect the trading price of our common stock.</w:t>
      </w:r>
    </w:p>
    <w:p>
      <w:pPr>
        <w:spacing w:after="0" w:line="153" w:lineRule="exact"/>
        <w:rPr>
          <w:sz w:val="20"/>
          <w:szCs w:val="20"/>
          <w:color w:val="auto"/>
        </w:rPr>
      </w:pPr>
    </w:p>
    <w:p>
      <w:pPr>
        <w:ind w:left="720" w:right="3979"/>
        <w:spacing w:after="0" w:line="254" w:lineRule="auto"/>
        <w:rPr>
          <w:sz w:val="20"/>
          <w:szCs w:val="20"/>
          <w:color w:val="auto"/>
        </w:rPr>
      </w:pPr>
      <w:r>
        <w:rPr>
          <w:rFonts w:ascii="Courier New" w:cs="Courier New" w:eastAsia="Courier New" w:hAnsi="Courier New"/>
          <w:sz w:val="13"/>
          <w:szCs w:val="13"/>
          <w:b w:val="1"/>
          <w:bCs w:val="1"/>
          <w:i w:val="1"/>
          <w:iCs w:val="1"/>
          <w:color w:val="auto"/>
        </w:rPr>
        <w:t>Provisions in our charter documents and Delaware law may inhibit a takeover, which could adversely affect the value of our common stock.</w:t>
      </w:r>
    </w:p>
    <w:p>
      <w:pPr>
        <w:spacing w:after="0" w:line="15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Our certificate of incorporation and bylaws, as well as Delaware corporate law, contain provisions that could delay or prevent a change of control or changes in our management that a stockholder might consider favorable and may prevent you from receiving a takeover premium for your shares. These provisions include, for example, a classified board of directors and the authorization of our board of directors to issue up to 5,000,000 preferred shares without a stockholder vote. In addition, our restated certificate of incorporation provides that stockholders may not call a special meeting.</w:t>
      </w:r>
    </w:p>
    <w:p>
      <w:pPr>
        <w:spacing w:after="0" w:line="156"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We are a Delaware corporation subject to the provisions of Section 203 of the Delaware General Corporation Law, an anti-takeover law. Generally, this statute prohibits a publicly-held Delaware corporation from engaging in a business combination with an interested stockholder for a period of three years after the date of the transaction in which such person became an interested stockholder, unless the business combination is approved in a prescribed manner.</w:t>
      </w:r>
    </w:p>
    <w:p>
      <w:pPr>
        <w:sectPr>
          <w:pgSz w:w="11900" w:h="16838" w:orient="portrait"/>
          <w:cols w:equalWidth="0" w:num="1">
            <w:col w:w="10239"/>
          </w:cols>
          <w:pgMar w:left="220" w:top="141" w:right="1440" w:bottom="0" w:gutter="0" w:footer="0" w:header="0"/>
        </w:sectPr>
      </w:pPr>
    </w:p>
    <w:bookmarkStart w:id="11" w:name="page12"/>
    <w:bookmarkEnd w:id="11"/>
    <w:p>
      <w:pPr>
        <w:ind w:right="3979"/>
        <w:spacing w:after="0" w:line="251" w:lineRule="auto"/>
        <w:rPr>
          <w:sz w:val="20"/>
          <w:szCs w:val="20"/>
          <w:color w:val="auto"/>
        </w:rPr>
      </w:pPr>
      <w:r>
        <w:rPr>
          <w:rFonts w:ascii="Courier New" w:cs="Courier New" w:eastAsia="Courier New" w:hAnsi="Courier New"/>
          <w:sz w:val="13"/>
          <w:szCs w:val="13"/>
          <w:color w:val="auto"/>
        </w:rPr>
        <w:t>A business combination includes a merger, asset sale or other transaction resulting in a financial benefit to the stockholder. We anticipate that the provisions of Section 203 may encourage parties interested in acquiring us to negotiate in advance with our board of directors, because the stockholder approval requirement would be avoided if a majority of the directors then in office approve either the business combination or the transaction that results in the stockholder becoming an interested stockholder.</w:t>
      </w:r>
    </w:p>
    <w:p>
      <w:pPr>
        <w:spacing w:after="0" w:line="156" w:lineRule="exact"/>
        <w:rPr>
          <w:sz w:val="20"/>
          <w:szCs w:val="20"/>
          <w:color w:val="auto"/>
        </w:rPr>
      </w:pPr>
    </w:p>
    <w:p>
      <w:pPr>
        <w:jc w:val="both"/>
        <w:ind w:right="3979" w:firstLine="722"/>
        <w:spacing w:after="0" w:line="253" w:lineRule="auto"/>
        <w:rPr>
          <w:sz w:val="20"/>
          <w:szCs w:val="20"/>
          <w:color w:val="auto"/>
        </w:rPr>
      </w:pPr>
      <w:r>
        <w:rPr>
          <w:rFonts w:ascii="Courier New" w:cs="Courier New" w:eastAsia="Courier New" w:hAnsi="Courier New"/>
          <w:sz w:val="13"/>
          <w:szCs w:val="13"/>
          <w:color w:val="auto"/>
        </w:rPr>
        <w:t>These provisions apply even if the offer may be considered beneficial by some of our stockholders. If a change of control or change in management is delayed or prevented, the market price of our common stock could decline.</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Overview</w:t>
      </w:r>
    </w:p>
    <w:p>
      <w:pPr>
        <w:spacing w:after="0" w:line="16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The Company's core business is the manufacture and sale of high quality, precision steel balls and rollers. In 2002, sales of balls and rollers accounted for approximately 74% of the Company's total net sales with 71% and 3% of sales from balls and rollers, respectively. Sales of precision molded plastic and rubber parts accounted for the remaining 26%. See Note 11 of the Notes to Consolidated Financial Statements.</w:t>
      </w:r>
    </w:p>
    <w:p>
      <w:pPr>
        <w:spacing w:after="0" w:line="155"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Since the Company was formed in 1980 it has grown primarily through the displacement of captive ball manufacturing operations of domestic and international bearing manufacturers resulting in increased sales of high precision balls for quiet bearing applications. Management believes that the Company's core business sales growth since its formation has been due to its ability to capitalize on opportunities in global markets and provide precision products at competitive prices, as well as its emphasis on product quality and customer service.</w:t>
      </w:r>
    </w:p>
    <w:p>
      <w:pPr>
        <w:spacing w:after="0" w:line="156" w:lineRule="exact"/>
        <w:rPr>
          <w:sz w:val="20"/>
          <w:szCs w:val="20"/>
          <w:color w:val="auto"/>
        </w:rPr>
      </w:pPr>
    </w:p>
    <w:p>
      <w:pPr>
        <w:ind w:right="3899" w:firstLine="802"/>
        <w:spacing w:after="0" w:line="251" w:lineRule="auto"/>
        <w:rPr>
          <w:sz w:val="20"/>
          <w:szCs w:val="20"/>
          <w:color w:val="auto"/>
        </w:rPr>
      </w:pPr>
      <w:r>
        <w:rPr>
          <w:rFonts w:ascii="Courier New" w:cs="Courier New" w:eastAsia="Courier New" w:hAnsi="Courier New"/>
          <w:sz w:val="13"/>
          <w:szCs w:val="13"/>
          <w:color w:val="auto"/>
        </w:rPr>
        <w:t>In 1997, the Company recognized changing dynamics in the marketplace, and as a result, developed and began implementing an extensive long-term growth strategy building upon its core business and leveraging its inherent strengths to better serve its global customer base. As part of this strategy, the Company sought to augment its intrinsic growth with complementary acquisitions that fit specific criteria.</w:t>
      </w:r>
    </w:p>
    <w:p>
      <w:pPr>
        <w:spacing w:after="0" w:line="155" w:lineRule="exact"/>
        <w:rPr>
          <w:sz w:val="20"/>
          <w:szCs w:val="20"/>
          <w:color w:val="auto"/>
        </w:rPr>
      </w:pPr>
    </w:p>
    <w:p>
      <w:pPr>
        <w:ind w:right="3819" w:firstLine="722"/>
        <w:spacing w:after="0" w:line="253" w:lineRule="auto"/>
        <w:rPr>
          <w:sz w:val="20"/>
          <w:szCs w:val="20"/>
          <w:color w:val="auto"/>
        </w:rPr>
      </w:pPr>
      <w:r>
        <w:rPr>
          <w:rFonts w:ascii="Courier New" w:cs="Courier New" w:eastAsia="Courier New" w:hAnsi="Courier New"/>
          <w:sz w:val="13"/>
          <w:szCs w:val="13"/>
          <w:color w:val="auto"/>
        </w:rPr>
        <w:t>On July 4, 1999, the Company acquired substantially all of the assets of Earsley Capital Corporation, formerly known as Industrial Molding Corporation ("IMC"). Formed in 1947, IMC provides full-service design and manufacture of</w:t>
      </w:r>
    </w:p>
    <w:p>
      <w:pPr>
        <w:spacing w:after="0" w:line="151"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3899"/>
        <w:spacing w:after="0" w:line="251" w:lineRule="auto"/>
        <w:rPr>
          <w:sz w:val="20"/>
          <w:szCs w:val="20"/>
          <w:color w:val="auto"/>
        </w:rPr>
      </w:pPr>
      <w:r>
        <w:rPr>
          <w:rFonts w:ascii="Courier New" w:cs="Courier New" w:eastAsia="Courier New" w:hAnsi="Courier New"/>
          <w:sz w:val="13"/>
          <w:szCs w:val="13"/>
          <w:color w:val="auto"/>
        </w:rPr>
        <w:t>plastic injection molded components to the bearing, automotive, electronic, leisure and consumer markets with an emphasis on value-added products that take advantage of its capabilities in product development, tool design and tight tolerance molding processes. IMC operates two manufacturing facilities in Lubbock, Texas. During 2002, IMC sold its products to more than 60 customers in 12 different countries.</w:t>
      </w:r>
    </w:p>
    <w:p>
      <w:pPr>
        <w:spacing w:after="0" w:line="155" w:lineRule="exact"/>
        <w:rPr>
          <w:sz w:val="20"/>
          <w:szCs w:val="20"/>
          <w:color w:val="auto"/>
        </w:rPr>
      </w:pPr>
    </w:p>
    <w:p>
      <w:pPr>
        <w:ind w:right="3819" w:firstLine="802"/>
        <w:spacing w:after="0" w:line="251" w:lineRule="auto"/>
        <w:rPr>
          <w:sz w:val="20"/>
          <w:szCs w:val="20"/>
          <w:color w:val="auto"/>
        </w:rPr>
      </w:pPr>
      <w:r>
        <w:rPr>
          <w:rFonts w:ascii="Courier New" w:cs="Courier New" w:eastAsia="Courier New" w:hAnsi="Courier New"/>
          <w:sz w:val="13"/>
          <w:szCs w:val="13"/>
          <w:color w:val="auto"/>
        </w:rPr>
        <w:t>On July 31, 2000, the Company formed a majority owned stand-alone company in Europe, NN Euroball ApS ("Euroball"), for the manufacture and sale of chrome steel balls used for ball bearings and other products. As a result of this transaction, the Company owned 54% of Euroball. AB SKF and FAG Kugelfisher Georg Shafer AG, the parent companies of SKF and FAG respectively each owned 23% of Euroball. As part of the transaction, Euroball acquired the ball factories located in Pinerolo, Italy (previously owned by SKF), Eltmann, Germany (previously owned by FAG), and Kilkenny, Ireland (previously owned by the Company). Acquisition financing of approximately 31.5 million euro (approximately $29.7 million) was drawn at closing, and the credit facility provides for additional working capital expenditure financing. The Company is required to consolidate Euroball due to its majority ownership and has accounted for the acquisitions of the Pinerolo, Italy and Eltmann, Germany ball factories using the purchase method of accounting. On December 20, 2002 the Company completed the purchase of the 23% interest held by INA/FAG. The Company paid approximately 13.4 million Euros ($13.8 million) for INA/FAG's interest in Euroball. The excess of minority interest in consolidated subsidiaries related to INA/FAG's 23% interest over the purchase price has been recorded as a non-taxable gain in the amount of approximately $5.9 million. Following the closing of the transaction, the Company owns 77% of the outstanding shares of Euroball and SKF owns the remaining 23%. SKF consented to our purchase of INA/FAG's interest pursuant to the terms of the Euroball Shareholder Agreement. Under the terms of the Shareholder Agreement with SKF, SKF has the right, beginning January 2003, to exercise its put option regarding its interest in Euroball to the Company on a formula buy-out. SKF has informed us that it intends to exercise its right and we expect to purchase its interest during the second quarter of 2003. However, if exercised at December 31, 2002, the purchase price would have been approximately $14.0 million versus minority interest in consolidated subsidiaries of $19.7 million.</w:t>
      </w:r>
    </w:p>
    <w:p>
      <w:pPr>
        <w:spacing w:after="0" w:line="314" w:lineRule="exact"/>
        <w:rPr>
          <w:sz w:val="20"/>
          <w:szCs w:val="20"/>
          <w:color w:val="auto"/>
        </w:rPr>
      </w:pPr>
    </w:p>
    <w:p>
      <w:pPr>
        <w:ind w:left="800"/>
        <w:spacing w:after="0"/>
        <w:rPr>
          <w:sz w:val="20"/>
          <w:szCs w:val="20"/>
          <w:color w:val="auto"/>
        </w:rPr>
      </w:pPr>
      <w:r>
        <w:rPr>
          <w:rFonts w:ascii="Courier New" w:cs="Courier New" w:eastAsia="Courier New" w:hAnsi="Courier New"/>
          <w:sz w:val="13"/>
          <w:szCs w:val="13"/>
          <w:color w:val="auto"/>
        </w:rPr>
        <w:t>On August 31, 2000, the Company acquired a 51% ownership interest in</w:t>
      </w:r>
    </w:p>
    <w:p>
      <w:pPr>
        <w:spacing w:after="0" w:line="7" w:lineRule="exact"/>
        <w:rPr>
          <w:sz w:val="20"/>
          <w:szCs w:val="20"/>
          <w:color w:val="auto"/>
        </w:rPr>
      </w:pPr>
    </w:p>
    <w:p>
      <w:pPr>
        <w:ind w:right="3819" w:firstLine="2"/>
        <w:spacing w:after="0" w:line="251" w:lineRule="auto"/>
        <w:tabs>
          <w:tab w:leader="none" w:pos="241"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Mexico, LLC ("NN Mexico"), a Delaware limited liability company. NN Mexico holds as its sole investment a 100% ownership interest in NN Arte, a manufacturer of plastic components located in Guadalajara, Mexico. The Company is required to consolidate NN Mexico due to its majority ownership and has accounted for this acquisition using the purchase method of accounting. On January 24, 2003, we exercised our Call Right to purchase the remaining 49% interest in NN Mexico, LLC. The transaction, which is expected to close in the second quarter of 2003, is subject to a number of conditions, including the approval of NN's board of directors. The transaction is not expected to materially impact our financial condition or results of operations. Based on the purchase priceformula ontained in the principal agreement between the parties, the purchase price for such interest is anticipated to be zero.</w:t>
      </w:r>
    </w:p>
    <w:p>
      <w:pPr>
        <w:spacing w:after="0" w:line="157"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On February 16, 2001, the Company completed the acquisition of all of the outstanding stock of The Delta Rubber Company, a Connecticut corporation ("Delta") for $22.5 million in cash. Delta provides high quality engineered bearing seals and other precision-molded rubber products to original equipment manufacturers. Delta operates two manufacturing facilities in Danielson, Connecticut. The Company's credit facility with AmSouth Bank was renegotiated to provide financing for the transaction. The Company has accounted for this acquisition using the purchase method of accounting.</w:t>
      </w:r>
    </w:p>
    <w:p>
      <w:pPr>
        <w:spacing w:after="0" w:line="156" w:lineRule="exact"/>
        <w:rPr>
          <w:sz w:val="20"/>
          <w:szCs w:val="20"/>
          <w:color w:val="auto"/>
        </w:rPr>
      </w:pPr>
    </w:p>
    <w:p>
      <w:pPr>
        <w:ind w:left="720"/>
        <w:spacing w:after="0"/>
        <w:rPr>
          <w:sz w:val="20"/>
          <w:szCs w:val="20"/>
          <w:color w:val="auto"/>
        </w:rPr>
      </w:pPr>
      <w:r>
        <w:rPr>
          <w:rFonts w:ascii="Courier New" w:cs="Courier New" w:eastAsia="Courier New" w:hAnsi="Courier New"/>
          <w:sz w:val="13"/>
          <w:szCs w:val="13"/>
          <w:color w:val="auto"/>
        </w:rPr>
        <w:t>On September 11, 2001, the Company announced the closing of its</w:t>
      </w:r>
    </w:p>
    <w:p>
      <w:pPr>
        <w:sectPr>
          <w:pgSz w:w="11900" w:h="16838" w:orient="portrait"/>
          <w:cols w:equalWidth="0" w:num="1">
            <w:col w:w="10239"/>
          </w:cols>
          <w:pgMar w:left="220" w:top="141" w:right="1440" w:bottom="0" w:gutter="0" w:footer="0" w:header="0"/>
        </w:sectPr>
      </w:pPr>
    </w:p>
    <w:bookmarkStart w:id="12" w:name="page13"/>
    <w:bookmarkEnd w:id="12"/>
    <w:p>
      <w:pPr>
        <w:spacing w:after="0"/>
        <w:rPr>
          <w:sz w:val="20"/>
          <w:szCs w:val="20"/>
          <w:color w:val="auto"/>
        </w:rPr>
      </w:pPr>
      <w:r>
        <w:rPr>
          <w:rFonts w:ascii="Courier New" w:cs="Courier New" w:eastAsia="Courier New" w:hAnsi="Courier New"/>
          <w:sz w:val="13"/>
          <w:szCs w:val="13"/>
          <w:color w:val="auto"/>
        </w:rPr>
        <w:t>Walterboro, South Carolina ball manufacturing facility effective December 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closing was made as part of the Company's strategy to redistribute 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global production in order to better utilize capacity and serve the needs of 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worldwide customers. The precision ball production of the Walterboro facility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has been fully absorbed by the Company's remaining U.S. ball &amp; roller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manufacturing facilities located in Erwin and Mountain City, Tennessee. In 2002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and 2001 the Company recorded before tax charges associated with the closing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$1.3 million and $1.9 million, respectively. In 2001, this amount includes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 million before-tax charge for the recording of impairment on the Company's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manufacturing facility located in Walterboro, South Carolina and $0.8 million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related to employee severance costs. In 2002, this amount includes a $0.6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million before-tax charge for the recording of an additional impairment on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facility, a $0.6 million before-tax charge for the recording of impairment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machinery and equipment and a $0.1 million charge related to employee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severance costs. These amounts are reflected as restructuring and impairment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costs in the accompanying Consolidated Statements of Income. The building along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with certain machinery and equipment are held for sale as of December 31, 2002.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These assets have an aggregate carrying value of $2.2 million. The financial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results of this operation have been reflected in the Domestic Ball and Roller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Segment. See Note 11 of the Notes to Consolidated Financial Statements.</w:t>
      </w:r>
    </w:p>
    <w:p>
      <w:pPr>
        <w:spacing w:after="0" w:line="161" w:lineRule="exact"/>
        <w:rPr>
          <w:sz w:val="20"/>
          <w:szCs w:val="20"/>
          <w:color w:val="auto"/>
        </w:rPr>
      </w:pPr>
    </w:p>
    <w:p>
      <w:pPr>
        <w:ind w:right="3819" w:firstLine="722"/>
        <w:spacing w:after="0" w:line="252" w:lineRule="auto"/>
        <w:rPr>
          <w:sz w:val="20"/>
          <w:szCs w:val="20"/>
          <w:color w:val="auto"/>
        </w:rPr>
      </w:pPr>
      <w:r>
        <w:rPr>
          <w:rFonts w:ascii="Courier New" w:cs="Courier New" w:eastAsia="Courier New" w:hAnsi="Courier New"/>
          <w:sz w:val="13"/>
          <w:szCs w:val="13"/>
          <w:color w:val="auto"/>
        </w:rPr>
        <w:t>Effective December 21, 2001, the Company sold its minority interest in Jiangsu General Ball &amp; Roller Company, LTD, a Chinese ball and roller manufacturer located in Rugao City, Jiangsu Province, China. To effect the transaction, the Company sold its 50% ownership in NN General, LLC, which owns a 60% interest in the Jiangsu joint venture to its partner,</w:t>
      </w:r>
    </w:p>
    <w:p>
      <w:pPr>
        <w:spacing w:after="0" w:line="152"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3899"/>
        <w:spacing w:after="0" w:line="253" w:lineRule="auto"/>
        <w:rPr>
          <w:sz w:val="20"/>
          <w:szCs w:val="20"/>
          <w:color w:val="auto"/>
        </w:rPr>
      </w:pPr>
      <w:r>
        <w:rPr>
          <w:rFonts w:ascii="Courier New" w:cs="Courier New" w:eastAsia="Courier New" w:hAnsi="Courier New"/>
          <w:sz w:val="13"/>
          <w:szCs w:val="13"/>
          <w:color w:val="auto"/>
        </w:rPr>
        <w:t>General Bearing Corporation for cash of $0.6 million and notes of $3.3 million. In 2001, the Company recorded a non-cash after-tax loss on sale of the investments in this joint venture of $0.2 million.</w:t>
      </w:r>
    </w:p>
    <w:p>
      <w:pPr>
        <w:spacing w:after="0" w:line="151" w:lineRule="exact"/>
        <w:rPr>
          <w:sz w:val="20"/>
          <w:szCs w:val="20"/>
          <w:color w:val="auto"/>
        </w:rPr>
      </w:pPr>
    </w:p>
    <w:p>
      <w:pPr>
        <w:ind w:right="3819" w:firstLine="722"/>
        <w:spacing w:after="0" w:line="254" w:lineRule="auto"/>
        <w:rPr>
          <w:sz w:val="20"/>
          <w:szCs w:val="20"/>
          <w:color w:val="auto"/>
        </w:rPr>
      </w:pPr>
      <w:r>
        <w:rPr>
          <w:rFonts w:ascii="Courier New" w:cs="Courier New" w:eastAsia="Courier New" w:hAnsi="Courier New"/>
          <w:sz w:val="13"/>
          <w:szCs w:val="13"/>
          <w:color w:val="auto"/>
        </w:rPr>
        <w:t>The implementation and successful execution of this acquisition strategy to date has allowed the Company to expand its global presence and positions the Company for continued global growth and expansion into core served markets.</w:t>
      </w: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Critical Accounting Policies</w:t>
      </w:r>
    </w:p>
    <w:p>
      <w:pPr>
        <w:spacing w:after="0" w:line="161" w:lineRule="exact"/>
        <w:rPr>
          <w:sz w:val="20"/>
          <w:szCs w:val="20"/>
          <w:color w:val="auto"/>
        </w:rPr>
      </w:pPr>
    </w:p>
    <w:p>
      <w:pPr>
        <w:ind w:right="3979" w:firstLine="802"/>
        <w:spacing w:after="0" w:line="251" w:lineRule="auto"/>
        <w:rPr>
          <w:sz w:val="20"/>
          <w:szCs w:val="20"/>
          <w:color w:val="auto"/>
        </w:rPr>
      </w:pPr>
      <w:r>
        <w:rPr>
          <w:rFonts w:ascii="Courier New" w:cs="Courier New" w:eastAsia="Courier New" w:hAnsi="Courier New"/>
          <w:sz w:val="13"/>
          <w:szCs w:val="13"/>
          <w:color w:val="auto"/>
        </w:rPr>
        <w:t>Our significant accounting policies, including the assumptions and judgment underlying them, are disclosed in Note (1) to the Consolidated Financial Statements. These policies have been consistently applied in all material respects and address such matters as revenue recognition, inventory valuation, asset impairment recognition, business combination accounting and pension and postretirement benefits. Due to the estimation processes involved, management considers the following summarized accounting policies and their application to be critical to understanding the Company's business operations, financial condition and results of operations. There can be no assurance that actual results will not significantly differ from the estimates used in these critical accounting policies.</w:t>
      </w:r>
    </w:p>
    <w:p>
      <w:pPr>
        <w:spacing w:after="0" w:line="156" w:lineRule="exact"/>
        <w:rPr>
          <w:sz w:val="20"/>
          <w:szCs w:val="20"/>
          <w:color w:val="auto"/>
        </w:rPr>
      </w:pPr>
    </w:p>
    <w:p>
      <w:pPr>
        <w:ind w:right="3819"/>
        <w:spacing w:after="0" w:line="251" w:lineRule="auto"/>
        <w:rPr>
          <w:sz w:val="20"/>
          <w:szCs w:val="20"/>
          <w:color w:val="auto"/>
        </w:rPr>
      </w:pPr>
      <w:r>
        <w:rPr>
          <w:rFonts w:ascii="Courier New" w:cs="Courier New" w:eastAsia="Courier New" w:hAnsi="Courier New"/>
          <w:sz w:val="13"/>
          <w:szCs w:val="13"/>
          <w:b w:val="1"/>
          <w:bCs w:val="1"/>
          <w:color w:val="auto"/>
        </w:rPr>
        <w:t xml:space="preserve">Accounts Receivable. </w:t>
      </w:r>
      <w:r>
        <w:rPr>
          <w:rFonts w:ascii="Courier New" w:cs="Courier New" w:eastAsia="Courier New" w:hAnsi="Courier New"/>
          <w:sz w:val="13"/>
          <w:szCs w:val="13"/>
          <w:color w:val="auto"/>
        </w:rPr>
        <w:t>Substantially all of the Company's accounts receivable are</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due primarily from the core served markets: bearing manufacturers, automotive industry, electronics, industrial, agricultural and aerospace. Due to the Chapter 7 voluntary bankruptcy of one IMC customer and other write-offs, the Company experienced $1.7 million of bad debt expense during 2001 versus $0.1 million during 2002. In establishing allowances for doubtful accounts, the Company continuously performs credit evaluations of its customers, considering numerous inputs when available including the customers' financial position, past payment history, relevant industry trends, cash flows, management capability, historical loss experience and economic conditions and prospects. While management believes that adequate allowances for doubtful accounts have been provided in the Consolidated Financial Statements, it is possible that the Company could experience additional unexpected credit losses.</w:t>
      </w:r>
    </w:p>
    <w:p>
      <w:pPr>
        <w:spacing w:after="0" w:line="157" w:lineRule="exact"/>
        <w:rPr>
          <w:sz w:val="20"/>
          <w:szCs w:val="20"/>
          <w:color w:val="auto"/>
        </w:rPr>
      </w:pPr>
    </w:p>
    <w:p>
      <w:pPr>
        <w:ind w:right="3819"/>
        <w:spacing w:after="0" w:line="251" w:lineRule="auto"/>
        <w:rPr>
          <w:sz w:val="20"/>
          <w:szCs w:val="20"/>
          <w:color w:val="auto"/>
        </w:rPr>
      </w:pPr>
      <w:r>
        <w:rPr>
          <w:rFonts w:ascii="Courier New" w:cs="Courier New" w:eastAsia="Courier New" w:hAnsi="Courier New"/>
          <w:sz w:val="13"/>
          <w:szCs w:val="13"/>
          <w:b w:val="1"/>
          <w:bCs w:val="1"/>
          <w:color w:val="auto"/>
        </w:rPr>
        <w:t xml:space="preserve">Inventories. </w:t>
      </w:r>
      <w:r>
        <w:rPr>
          <w:rFonts w:ascii="Courier New" w:cs="Courier New" w:eastAsia="Courier New" w:hAnsi="Courier New"/>
          <w:sz w:val="13"/>
          <w:szCs w:val="13"/>
          <w:color w:val="auto"/>
        </w:rPr>
        <w:t>Inventories are stated at the lower of cost or market. Cost is</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determined using the first-in, first-out method. The Company's inventories are not generally subject to obsolescence due to spoilage or expiring product life cycles. The Company operates generally as a make-to-order business; however, the Company also stocks products for certain customers in order to meet delivery schedules. While management believes that adequate write-downs for inventory obsolescence have been made in the Consolidated Financial Statements, the Company could experience additional inventory write-downs in the future.</w:t>
      </w:r>
    </w:p>
    <w:p>
      <w:pPr>
        <w:spacing w:after="0" w:line="156" w:lineRule="exact"/>
        <w:rPr>
          <w:sz w:val="20"/>
          <w:szCs w:val="20"/>
          <w:color w:val="auto"/>
        </w:rPr>
      </w:pPr>
    </w:p>
    <w:p>
      <w:pPr>
        <w:ind w:right="3819"/>
        <w:spacing w:after="0" w:line="251" w:lineRule="auto"/>
        <w:rPr>
          <w:sz w:val="20"/>
          <w:szCs w:val="20"/>
          <w:color w:val="auto"/>
        </w:rPr>
      </w:pPr>
      <w:r>
        <w:rPr>
          <w:rFonts w:ascii="Courier New" w:cs="Courier New" w:eastAsia="Courier New" w:hAnsi="Courier New"/>
          <w:sz w:val="13"/>
          <w:szCs w:val="13"/>
          <w:b w:val="1"/>
          <w:bCs w:val="1"/>
          <w:color w:val="auto"/>
        </w:rPr>
        <w:t xml:space="preserve">Acquisitions and Acquired Intangibles. </w:t>
      </w:r>
      <w:r>
        <w:rPr>
          <w:rFonts w:ascii="Courier New" w:cs="Courier New" w:eastAsia="Courier New" w:hAnsi="Courier New"/>
          <w:sz w:val="13"/>
          <w:szCs w:val="13"/>
          <w:color w:val="auto"/>
        </w:rPr>
        <w:t>For new acquisitions, the Company uses</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estimates, assumptions and appraisals to allocate the purchase price to the assets acquired and to determine the amount of goodwill. These estimates are based on market analyses and comparisons to similar assets. Annual tests are required to be performed to assess whether recorded goodwill is impaired. The annual tests require management to make estimates and assumptions with regard to the future operations of its reporting units, the expected cash flows that they will generate, and their market value. These estimates and assumptions therefore impact the recorded value of assets acquired in a business combination, including goodwill, and whether or not there is any subsequent impairment of the recorded goodwill and the amount of such impairment.</w:t>
      </w:r>
    </w:p>
    <w:p>
      <w:pPr>
        <w:spacing w:after="0" w:line="156" w:lineRule="exact"/>
        <w:rPr>
          <w:sz w:val="20"/>
          <w:szCs w:val="20"/>
          <w:color w:val="auto"/>
        </w:rPr>
      </w:pPr>
    </w:p>
    <w:p>
      <w:pPr>
        <w:ind w:right="3819"/>
        <w:spacing w:after="0" w:line="251" w:lineRule="auto"/>
        <w:rPr>
          <w:sz w:val="20"/>
          <w:szCs w:val="20"/>
          <w:color w:val="auto"/>
        </w:rPr>
      </w:pPr>
      <w:r>
        <w:rPr>
          <w:rFonts w:ascii="Courier New" w:cs="Courier New" w:eastAsia="Courier New" w:hAnsi="Courier New"/>
          <w:sz w:val="13"/>
          <w:szCs w:val="13"/>
          <w:b w:val="1"/>
          <w:bCs w:val="1"/>
          <w:color w:val="auto"/>
        </w:rPr>
        <w:t xml:space="preserve">Impairment of Long-Lived Assets. </w:t>
      </w:r>
      <w:r>
        <w:rPr>
          <w:rFonts w:ascii="Courier New" w:cs="Courier New" w:eastAsia="Courier New" w:hAnsi="Courier New"/>
          <w:sz w:val="13"/>
          <w:szCs w:val="13"/>
          <w:color w:val="auto"/>
        </w:rPr>
        <w:t>The Company's long-lived assets include</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property, plant and equipment. The recoverability of the long-term assets is dependent on the performance of the companies which the Company has acquired, as well as volatility inherent in the external markets for these acquisitions. In assessing potential impairment for these assets the Company will consider these factors as well as forecasted financial performance. For assets held for sale, appraisals are relied upon to assess the fair market value of those assets. Future adverse changes in market conditions or adverse operating results of the underlying assets could result in the Company having to record additional impairment charges not previously recognized.</w:t>
      </w:r>
    </w:p>
    <w:p>
      <w:pPr>
        <w:spacing w:after="0" w:line="156" w:lineRule="exact"/>
        <w:rPr>
          <w:sz w:val="20"/>
          <w:szCs w:val="20"/>
          <w:color w:val="auto"/>
        </w:rPr>
      </w:pPr>
    </w:p>
    <w:p>
      <w:pPr>
        <w:ind w:right="3819"/>
        <w:spacing w:after="0" w:line="251" w:lineRule="auto"/>
        <w:rPr>
          <w:sz w:val="20"/>
          <w:szCs w:val="20"/>
          <w:color w:val="auto"/>
        </w:rPr>
      </w:pPr>
      <w:r>
        <w:rPr>
          <w:rFonts w:ascii="Courier New" w:cs="Courier New" w:eastAsia="Courier New" w:hAnsi="Courier New"/>
          <w:sz w:val="13"/>
          <w:szCs w:val="13"/>
          <w:b w:val="1"/>
          <w:bCs w:val="1"/>
          <w:color w:val="auto"/>
        </w:rPr>
        <w:t xml:space="preserve">Pension and Post-Retirement Obligations. </w:t>
      </w:r>
      <w:r>
        <w:rPr>
          <w:rFonts w:ascii="Courier New" w:cs="Courier New" w:eastAsia="Courier New" w:hAnsi="Courier New"/>
          <w:sz w:val="13"/>
          <w:szCs w:val="13"/>
          <w:color w:val="auto"/>
        </w:rPr>
        <w:t>The Company uses several assumptions in</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determining its periodic pension and post-retirement expense and obligations which are included in the Consolidated Financial Statements. These assumptions include determining an appropriate discount rate, rate of compensation increase as well as the remaining service period of active employees. The Company uses an independent actuary to calculate the periodic pension and post-retirement</w:t>
      </w:r>
    </w:p>
    <w:p>
      <w:pPr>
        <w:sectPr>
          <w:pgSz w:w="11900" w:h="16838" w:orient="portrait"/>
          <w:cols w:equalWidth="0" w:num="1">
            <w:col w:w="10239"/>
          </w:cols>
          <w:pgMar w:left="220" w:top="141" w:right="1440" w:bottom="0" w:gutter="0" w:footer="0" w:header="0"/>
        </w:sectPr>
      </w:pPr>
    </w:p>
    <w:bookmarkStart w:id="13" w:name="page14"/>
    <w:bookmarkEnd w:id="13"/>
    <w:p>
      <w:pPr>
        <w:ind w:right="3899"/>
        <w:spacing w:after="0" w:line="254" w:lineRule="auto"/>
        <w:rPr>
          <w:sz w:val="20"/>
          <w:szCs w:val="20"/>
          <w:color w:val="auto"/>
        </w:rPr>
      </w:pPr>
      <w:r>
        <w:rPr>
          <w:rFonts w:ascii="Courier New" w:cs="Courier New" w:eastAsia="Courier New" w:hAnsi="Courier New"/>
          <w:sz w:val="13"/>
          <w:szCs w:val="13"/>
          <w:color w:val="auto"/>
        </w:rPr>
        <w:t>expense and obligations based upon these assumptions and actual employee census data.</w:t>
      </w:r>
    </w:p>
    <w:p>
      <w:pPr>
        <w:spacing w:after="0" w:line="305"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Results of Operations</w:t>
      </w:r>
    </w:p>
    <w:p>
      <w:pPr>
        <w:spacing w:after="0" w:line="161" w:lineRule="exact"/>
        <w:rPr>
          <w:sz w:val="20"/>
          <w:szCs w:val="20"/>
          <w:color w:val="auto"/>
        </w:rPr>
      </w:pPr>
    </w:p>
    <w:p>
      <w:pPr>
        <w:ind w:right="3819" w:firstLine="722"/>
        <w:spacing w:after="0" w:line="253" w:lineRule="auto"/>
        <w:rPr>
          <w:sz w:val="20"/>
          <w:szCs w:val="20"/>
          <w:color w:val="auto"/>
        </w:rPr>
      </w:pPr>
      <w:r>
        <w:rPr>
          <w:rFonts w:ascii="Courier New" w:cs="Courier New" w:eastAsia="Courier New" w:hAnsi="Courier New"/>
          <w:sz w:val="13"/>
          <w:szCs w:val="13"/>
          <w:color w:val="auto"/>
        </w:rPr>
        <w:t>The following table sets forth for the periods indicated selected financial data and the percentage of the Company's net sales represented by each income statement line item presented.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60" w:type="dxa"/>
            <w:vAlign w:val="bottom"/>
          </w:tcPr>
          <w:p>
            <w:pPr>
              <w:spacing w:after="0"/>
              <w:rPr>
                <w:sz w:val="12"/>
                <w:szCs w:val="12"/>
                <w:color w:val="auto"/>
              </w:rPr>
            </w:pPr>
          </w:p>
        </w:tc>
        <w:tc>
          <w:tcPr>
            <w:tcW w:w="3280" w:type="dxa"/>
            <w:vAlign w:val="bottom"/>
            <w:gridSpan w:val="3"/>
          </w:tcPr>
          <w:p>
            <w:pPr>
              <w:jc w:val="right"/>
              <w:ind w:right="413"/>
              <w:spacing w:after="0"/>
              <w:rPr>
                <w:sz w:val="20"/>
                <w:szCs w:val="20"/>
                <w:color w:val="auto"/>
              </w:rPr>
            </w:pPr>
            <w:r>
              <w:rPr>
                <w:rFonts w:ascii="Courier New" w:cs="Courier New" w:eastAsia="Courier New" w:hAnsi="Courier New"/>
                <w:sz w:val="13"/>
                <w:szCs w:val="13"/>
                <w:b w:val="1"/>
                <w:bCs w:val="1"/>
                <w:color w:val="auto"/>
              </w:rPr>
              <w:t>As a percentage of Net Sales</w:t>
            </w:r>
          </w:p>
        </w:tc>
      </w:tr>
      <w:tr>
        <w:trPr>
          <w:trHeight w:val="154"/>
        </w:trPr>
        <w:tc>
          <w:tcPr>
            <w:tcW w:w="4660" w:type="dxa"/>
            <w:vAlign w:val="bottom"/>
          </w:tcPr>
          <w:p>
            <w:pPr>
              <w:spacing w:after="0"/>
              <w:rPr>
                <w:sz w:val="13"/>
                <w:szCs w:val="13"/>
                <w:color w:val="auto"/>
              </w:rPr>
            </w:pPr>
          </w:p>
        </w:tc>
        <w:tc>
          <w:tcPr>
            <w:tcW w:w="3280" w:type="dxa"/>
            <w:vAlign w:val="bottom"/>
            <w:gridSpan w:val="3"/>
          </w:tcPr>
          <w:p>
            <w:pPr>
              <w:jc w:val="right"/>
              <w:ind w:right="653"/>
              <w:spacing w:after="0"/>
              <w:rPr>
                <w:sz w:val="20"/>
                <w:szCs w:val="20"/>
                <w:color w:val="auto"/>
              </w:rPr>
            </w:pPr>
            <w:r>
              <w:rPr>
                <w:rFonts w:ascii="Courier New" w:cs="Courier New" w:eastAsia="Courier New" w:hAnsi="Courier New"/>
                <w:sz w:val="13"/>
                <w:szCs w:val="13"/>
                <w:b w:val="1"/>
                <w:bCs w:val="1"/>
                <w:color w:val="auto"/>
              </w:rPr>
              <w:t>Year Ended December 31,</w:t>
            </w:r>
          </w:p>
        </w:tc>
      </w:tr>
      <w:tr>
        <w:trPr>
          <w:trHeight w:val="154"/>
        </w:trPr>
        <w:tc>
          <w:tcPr>
            <w:tcW w:w="4660" w:type="dxa"/>
            <w:vAlign w:val="bottom"/>
          </w:tcPr>
          <w:p>
            <w:pPr>
              <w:spacing w:after="0"/>
              <w:rPr>
                <w:sz w:val="13"/>
                <w:szCs w:val="13"/>
                <w:color w:val="auto"/>
              </w:rPr>
            </w:pPr>
          </w:p>
        </w:tc>
        <w:tc>
          <w:tcPr>
            <w:tcW w:w="1120" w:type="dxa"/>
            <w:vAlign w:val="bottom"/>
          </w:tcPr>
          <w:p>
            <w:pPr>
              <w:jc w:val="right"/>
              <w:ind w:right="413"/>
              <w:spacing w:after="0"/>
              <w:rPr>
                <w:sz w:val="20"/>
                <w:szCs w:val="20"/>
                <w:color w:val="auto"/>
              </w:rPr>
            </w:pPr>
            <w:r>
              <w:rPr>
                <w:rFonts w:ascii="Courier New" w:cs="Courier New" w:eastAsia="Courier New" w:hAnsi="Courier New"/>
                <w:sz w:val="13"/>
                <w:szCs w:val="13"/>
                <w:b w:val="1"/>
                <w:bCs w:val="1"/>
                <w:color w:val="auto"/>
              </w:rPr>
              <w:t>2002</w:t>
            </w:r>
          </w:p>
        </w:tc>
        <w:tc>
          <w:tcPr>
            <w:tcW w:w="1160" w:type="dxa"/>
            <w:vAlign w:val="bottom"/>
          </w:tcPr>
          <w:p>
            <w:pPr>
              <w:jc w:val="right"/>
              <w:ind w:right="453"/>
              <w:spacing w:after="0"/>
              <w:rPr>
                <w:sz w:val="20"/>
                <w:szCs w:val="20"/>
                <w:color w:val="auto"/>
              </w:rPr>
            </w:pPr>
            <w:r>
              <w:rPr>
                <w:rFonts w:ascii="Courier New" w:cs="Courier New" w:eastAsia="Courier New" w:hAnsi="Courier New"/>
                <w:sz w:val="13"/>
                <w:szCs w:val="13"/>
                <w:b w:val="1"/>
                <w:bCs w:val="1"/>
                <w:color w:val="auto"/>
              </w:rPr>
              <w:t>2001</w:t>
            </w:r>
          </w:p>
        </w:tc>
        <w:tc>
          <w:tcPr>
            <w:tcW w:w="1000" w:type="dxa"/>
            <w:vAlign w:val="bottom"/>
          </w:tcPr>
          <w:p>
            <w:pPr>
              <w:jc w:val="right"/>
              <w:ind w:right="253"/>
              <w:spacing w:after="0"/>
              <w:rPr>
                <w:sz w:val="20"/>
                <w:szCs w:val="20"/>
                <w:color w:val="auto"/>
              </w:rPr>
            </w:pPr>
            <w:r>
              <w:rPr>
                <w:rFonts w:ascii="Courier New" w:cs="Courier New" w:eastAsia="Courier New" w:hAnsi="Courier New"/>
                <w:sz w:val="13"/>
                <w:szCs w:val="13"/>
                <w:b w:val="1"/>
                <w:bCs w:val="1"/>
                <w:color w:val="auto"/>
              </w:rPr>
              <w:t>2000</w:t>
            </w:r>
          </w:p>
        </w:tc>
      </w:tr>
      <w:tr>
        <w:trPr>
          <w:trHeight w:val="154"/>
        </w:trPr>
        <w:tc>
          <w:tcPr>
            <w:tcW w:w="4660" w:type="dxa"/>
            <w:vAlign w:val="bottom"/>
          </w:tcPr>
          <w:p>
            <w:pPr>
              <w:spacing w:after="0"/>
              <w:rPr>
                <w:sz w:val="13"/>
                <w:szCs w:val="13"/>
                <w:color w:val="auto"/>
              </w:rPr>
            </w:pPr>
          </w:p>
        </w:tc>
        <w:tc>
          <w:tcPr>
            <w:tcW w:w="1120" w:type="dxa"/>
            <w:vAlign w:val="bottom"/>
          </w:tcPr>
          <w:p>
            <w:pPr>
              <w:jc w:val="right"/>
              <w:ind w:right="93"/>
              <w:spacing w:after="0"/>
              <w:rPr>
                <w:sz w:val="20"/>
                <w:szCs w:val="20"/>
                <w:color w:val="auto"/>
              </w:rPr>
            </w:pPr>
            <w:r>
              <w:rPr>
                <w:rFonts w:ascii="Courier New" w:cs="Courier New" w:eastAsia="Courier New" w:hAnsi="Courier New"/>
                <w:sz w:val="13"/>
                <w:szCs w:val="13"/>
                <w:b w:val="1"/>
                <w:bCs w:val="1"/>
                <w:color w:val="auto"/>
              </w:rPr>
              <w:t>----------</w:t>
            </w:r>
          </w:p>
        </w:tc>
        <w:tc>
          <w:tcPr>
            <w:tcW w:w="1160" w:type="dxa"/>
            <w:vAlign w:val="bottom"/>
          </w:tcPr>
          <w:p>
            <w:pPr>
              <w:jc w:val="right"/>
              <w:ind w:right="133"/>
              <w:spacing w:after="0"/>
              <w:rPr>
                <w:sz w:val="20"/>
                <w:szCs w:val="20"/>
                <w:color w:val="auto"/>
              </w:rPr>
            </w:pPr>
            <w:r>
              <w:rPr>
                <w:rFonts w:ascii="Courier New" w:cs="Courier New" w:eastAsia="Courier New" w:hAnsi="Courier New"/>
                <w:sz w:val="13"/>
                <w:szCs w:val="13"/>
                <w:b w:val="1"/>
                <w:bCs w:val="1"/>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w:t>
            </w:r>
          </w:p>
        </w:tc>
      </w:tr>
      <w:tr>
        <w:trPr>
          <w:trHeight w:val="154"/>
        </w:trPr>
        <w:tc>
          <w:tcPr>
            <w:tcW w:w="4660" w:type="dxa"/>
            <w:vAlign w:val="bottom"/>
          </w:tcPr>
          <w:p>
            <w:pPr>
              <w:spacing w:after="0"/>
              <w:rPr>
                <w:sz w:val="20"/>
                <w:szCs w:val="20"/>
                <w:color w:val="auto"/>
              </w:rPr>
            </w:pPr>
            <w:r>
              <w:rPr>
                <w:rFonts w:ascii="Courier New" w:cs="Courier New" w:eastAsia="Courier New" w:hAnsi="Courier New"/>
                <w:sz w:val="13"/>
                <w:szCs w:val="13"/>
                <w:color w:val="auto"/>
              </w:rPr>
              <w:t>Net sales</w:t>
            </w:r>
          </w:p>
        </w:tc>
        <w:tc>
          <w:tcPr>
            <w:tcW w:w="11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100.0%</w:t>
            </w:r>
          </w:p>
        </w:tc>
        <w:tc>
          <w:tcPr>
            <w:tcW w:w="116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100.0%</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100.0%</w:t>
            </w:r>
          </w:p>
        </w:tc>
      </w:tr>
      <w:tr>
        <w:trPr>
          <w:trHeight w:val="154"/>
        </w:trPr>
        <w:tc>
          <w:tcPr>
            <w:tcW w:w="4660" w:type="dxa"/>
            <w:vAlign w:val="bottom"/>
          </w:tcPr>
          <w:p>
            <w:pPr>
              <w:spacing w:after="0"/>
              <w:rPr>
                <w:sz w:val="20"/>
                <w:szCs w:val="20"/>
                <w:color w:val="auto"/>
              </w:rPr>
            </w:pPr>
            <w:r>
              <w:rPr>
                <w:rFonts w:ascii="Courier New" w:cs="Courier New" w:eastAsia="Courier New" w:hAnsi="Courier New"/>
                <w:sz w:val="13"/>
                <w:szCs w:val="13"/>
                <w:color w:val="auto"/>
              </w:rPr>
              <w:t>Cost of product sold</w:t>
            </w:r>
          </w:p>
        </w:tc>
        <w:tc>
          <w:tcPr>
            <w:tcW w:w="11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74.8</w:t>
            </w:r>
          </w:p>
        </w:tc>
        <w:tc>
          <w:tcPr>
            <w:tcW w:w="116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76.2</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71.1</w:t>
            </w:r>
          </w:p>
        </w:tc>
      </w:tr>
      <w:tr>
        <w:trPr>
          <w:trHeight w:val="154"/>
        </w:trPr>
        <w:tc>
          <w:tcPr>
            <w:tcW w:w="4660" w:type="dxa"/>
            <w:vAlign w:val="bottom"/>
          </w:tcPr>
          <w:p>
            <w:pPr>
              <w:spacing w:after="0"/>
              <w:rPr>
                <w:sz w:val="13"/>
                <w:szCs w:val="13"/>
                <w:color w:val="auto"/>
              </w:rPr>
            </w:pPr>
          </w:p>
        </w:tc>
        <w:tc>
          <w:tcPr>
            <w:tcW w:w="11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16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4660" w:type="dxa"/>
            <w:vAlign w:val="bottom"/>
          </w:tcPr>
          <w:p>
            <w:pPr>
              <w:spacing w:after="0"/>
              <w:rPr>
                <w:sz w:val="20"/>
                <w:szCs w:val="20"/>
                <w:color w:val="auto"/>
              </w:rPr>
            </w:pPr>
            <w:r>
              <w:rPr>
                <w:rFonts w:ascii="Courier New" w:cs="Courier New" w:eastAsia="Courier New" w:hAnsi="Courier New"/>
                <w:sz w:val="13"/>
                <w:szCs w:val="13"/>
                <w:color w:val="auto"/>
              </w:rPr>
              <w:t>Gross profit</w:t>
            </w:r>
          </w:p>
        </w:tc>
        <w:tc>
          <w:tcPr>
            <w:tcW w:w="11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25.2</w:t>
            </w:r>
          </w:p>
        </w:tc>
        <w:tc>
          <w:tcPr>
            <w:tcW w:w="116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23.8</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28.9</w:t>
            </w:r>
          </w:p>
        </w:tc>
      </w:tr>
      <w:tr>
        <w:trPr>
          <w:trHeight w:val="154"/>
        </w:trPr>
        <w:tc>
          <w:tcPr>
            <w:tcW w:w="4660" w:type="dxa"/>
            <w:vAlign w:val="bottom"/>
          </w:tcPr>
          <w:p>
            <w:pPr>
              <w:spacing w:after="0"/>
              <w:rPr>
                <w:sz w:val="20"/>
                <w:szCs w:val="20"/>
                <w:color w:val="auto"/>
              </w:rPr>
            </w:pPr>
            <w:r>
              <w:rPr>
                <w:rFonts w:ascii="Courier New" w:cs="Courier New" w:eastAsia="Courier New" w:hAnsi="Courier New"/>
                <w:sz w:val="13"/>
                <w:szCs w:val="13"/>
                <w:color w:val="auto"/>
              </w:rPr>
              <w:t>Selling, general and administrative expenses</w:t>
            </w:r>
          </w:p>
        </w:tc>
        <w:tc>
          <w:tcPr>
            <w:tcW w:w="11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8.9</w:t>
            </w:r>
          </w:p>
        </w:tc>
        <w:tc>
          <w:tcPr>
            <w:tcW w:w="116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9.3</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8.8</w:t>
            </w:r>
          </w:p>
        </w:tc>
      </w:tr>
      <w:tr>
        <w:trPr>
          <w:trHeight w:val="154"/>
        </w:trPr>
        <w:tc>
          <w:tcPr>
            <w:tcW w:w="4660" w:type="dxa"/>
            <w:vAlign w:val="bottom"/>
          </w:tcPr>
          <w:p>
            <w:pPr>
              <w:spacing w:after="0"/>
              <w:rPr>
                <w:sz w:val="20"/>
                <w:szCs w:val="20"/>
                <w:color w:val="auto"/>
              </w:rPr>
            </w:pPr>
            <w:r>
              <w:rPr>
                <w:rFonts w:ascii="Courier New" w:cs="Courier New" w:eastAsia="Courier New" w:hAnsi="Courier New"/>
                <w:sz w:val="13"/>
                <w:szCs w:val="13"/>
                <w:color w:val="auto"/>
              </w:rPr>
              <w:t>Depreciation and amortization</w:t>
            </w:r>
          </w:p>
        </w:tc>
        <w:tc>
          <w:tcPr>
            <w:tcW w:w="11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5.8</w:t>
            </w:r>
          </w:p>
        </w:tc>
        <w:tc>
          <w:tcPr>
            <w:tcW w:w="116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7.3</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6.9</w:t>
            </w:r>
          </w:p>
        </w:tc>
      </w:tr>
      <w:tr>
        <w:trPr>
          <w:trHeight w:val="154"/>
        </w:trPr>
        <w:tc>
          <w:tcPr>
            <w:tcW w:w="4660" w:type="dxa"/>
            <w:vAlign w:val="bottom"/>
          </w:tcPr>
          <w:p>
            <w:pPr>
              <w:spacing w:after="0"/>
              <w:rPr>
                <w:sz w:val="20"/>
                <w:szCs w:val="20"/>
                <w:color w:val="auto"/>
              </w:rPr>
            </w:pPr>
            <w:r>
              <w:rPr>
                <w:rFonts w:ascii="Courier New" w:cs="Courier New" w:eastAsia="Courier New" w:hAnsi="Courier New"/>
                <w:sz w:val="13"/>
                <w:szCs w:val="13"/>
                <w:color w:val="auto"/>
              </w:rPr>
              <w:t>Restructuring and impairment costs</w:t>
            </w:r>
          </w:p>
        </w:tc>
        <w:tc>
          <w:tcPr>
            <w:tcW w:w="11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0.7</w:t>
            </w:r>
          </w:p>
        </w:tc>
        <w:tc>
          <w:tcPr>
            <w:tcW w:w="116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1.3</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r>
      <w:tr>
        <w:trPr>
          <w:trHeight w:val="154"/>
        </w:trPr>
        <w:tc>
          <w:tcPr>
            <w:tcW w:w="4660" w:type="dxa"/>
            <w:vAlign w:val="bottom"/>
          </w:tcPr>
          <w:p>
            <w:pPr>
              <w:spacing w:after="0"/>
              <w:rPr>
                <w:sz w:val="13"/>
                <w:szCs w:val="13"/>
                <w:color w:val="auto"/>
              </w:rPr>
            </w:pPr>
          </w:p>
        </w:tc>
        <w:tc>
          <w:tcPr>
            <w:tcW w:w="11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16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4660" w:type="dxa"/>
            <w:vAlign w:val="bottom"/>
          </w:tcPr>
          <w:p>
            <w:pPr>
              <w:spacing w:after="0"/>
              <w:rPr>
                <w:sz w:val="20"/>
                <w:szCs w:val="20"/>
                <w:color w:val="auto"/>
              </w:rPr>
            </w:pPr>
            <w:r>
              <w:rPr>
                <w:rFonts w:ascii="Courier New" w:cs="Courier New" w:eastAsia="Courier New" w:hAnsi="Courier New"/>
                <w:sz w:val="13"/>
                <w:szCs w:val="13"/>
                <w:color w:val="auto"/>
              </w:rPr>
              <w:t>Income from operations</w:t>
            </w:r>
          </w:p>
        </w:tc>
        <w:tc>
          <w:tcPr>
            <w:tcW w:w="11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9.8</w:t>
            </w:r>
          </w:p>
        </w:tc>
        <w:tc>
          <w:tcPr>
            <w:tcW w:w="116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5.9</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13.2</w:t>
            </w:r>
          </w:p>
        </w:tc>
      </w:tr>
      <w:tr>
        <w:trPr>
          <w:trHeight w:val="154"/>
        </w:trPr>
        <w:tc>
          <w:tcPr>
            <w:tcW w:w="4660" w:type="dxa"/>
            <w:vAlign w:val="bottom"/>
          </w:tcPr>
          <w:p>
            <w:pPr>
              <w:spacing w:after="0"/>
              <w:rPr>
                <w:sz w:val="20"/>
                <w:szCs w:val="20"/>
                <w:color w:val="auto"/>
              </w:rPr>
            </w:pPr>
            <w:r>
              <w:rPr>
                <w:rFonts w:ascii="Courier New" w:cs="Courier New" w:eastAsia="Courier New" w:hAnsi="Courier New"/>
                <w:sz w:val="13"/>
                <w:szCs w:val="13"/>
                <w:color w:val="auto"/>
              </w:rPr>
              <w:t>Interest expense</w:t>
            </w:r>
          </w:p>
        </w:tc>
        <w:tc>
          <w:tcPr>
            <w:tcW w:w="11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1.3</w:t>
            </w:r>
          </w:p>
        </w:tc>
        <w:tc>
          <w:tcPr>
            <w:tcW w:w="116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2.3</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1.3</w:t>
            </w:r>
          </w:p>
        </w:tc>
      </w:tr>
      <w:tr>
        <w:trPr>
          <w:trHeight w:val="154"/>
        </w:trPr>
        <w:tc>
          <w:tcPr>
            <w:tcW w:w="4660" w:type="dxa"/>
            <w:vAlign w:val="bottom"/>
          </w:tcPr>
          <w:p>
            <w:pPr>
              <w:spacing w:after="0"/>
              <w:rPr>
                <w:sz w:val="20"/>
                <w:szCs w:val="20"/>
                <w:color w:val="auto"/>
              </w:rPr>
            </w:pPr>
            <w:r>
              <w:rPr>
                <w:rFonts w:ascii="Courier New" w:cs="Courier New" w:eastAsia="Courier New" w:hAnsi="Courier New"/>
                <w:sz w:val="13"/>
                <w:szCs w:val="13"/>
                <w:color w:val="auto"/>
              </w:rPr>
              <w:t>Equity in earnings of unconsolidated affiliates</w:t>
            </w:r>
          </w:p>
        </w:tc>
        <w:tc>
          <w:tcPr>
            <w:tcW w:w="11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116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r>
      <w:tr>
        <w:trPr>
          <w:trHeight w:val="154"/>
        </w:trPr>
        <w:tc>
          <w:tcPr>
            <w:tcW w:w="4660" w:type="dxa"/>
            <w:vAlign w:val="bottom"/>
          </w:tcPr>
          <w:p>
            <w:pPr>
              <w:spacing w:after="0"/>
              <w:rPr>
                <w:sz w:val="20"/>
                <w:szCs w:val="20"/>
                <w:color w:val="auto"/>
              </w:rPr>
            </w:pPr>
            <w:r>
              <w:rPr>
                <w:rFonts w:ascii="Courier New" w:cs="Courier New" w:eastAsia="Courier New" w:hAnsi="Courier New"/>
                <w:sz w:val="13"/>
                <w:szCs w:val="13"/>
                <w:color w:val="auto"/>
              </w:rPr>
              <w:t>Net gain on involuntary conversion</w:t>
            </w:r>
          </w:p>
        </w:tc>
        <w:tc>
          <w:tcPr>
            <w:tcW w:w="11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116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(2.2)</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(0.6)</w:t>
            </w:r>
          </w:p>
        </w:tc>
      </w:tr>
      <w:tr>
        <w:trPr>
          <w:trHeight w:val="154"/>
        </w:trPr>
        <w:tc>
          <w:tcPr>
            <w:tcW w:w="4660" w:type="dxa"/>
            <w:vAlign w:val="bottom"/>
          </w:tcPr>
          <w:p>
            <w:pPr>
              <w:spacing w:after="0"/>
              <w:rPr>
                <w:sz w:val="20"/>
                <w:szCs w:val="20"/>
                <w:color w:val="auto"/>
              </w:rPr>
            </w:pPr>
            <w:r>
              <w:rPr>
                <w:rFonts w:ascii="Courier New" w:cs="Courier New" w:eastAsia="Courier New" w:hAnsi="Courier New"/>
                <w:sz w:val="13"/>
                <w:szCs w:val="13"/>
                <w:color w:val="auto"/>
              </w:rPr>
              <w:t>Net gain on purchase of minority interest</w:t>
            </w:r>
          </w:p>
        </w:tc>
        <w:tc>
          <w:tcPr>
            <w:tcW w:w="11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(3.1)</w:t>
            </w:r>
          </w:p>
        </w:tc>
        <w:tc>
          <w:tcPr>
            <w:tcW w:w="116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r>
      <w:tr>
        <w:trPr>
          <w:trHeight w:val="154"/>
        </w:trPr>
        <w:tc>
          <w:tcPr>
            <w:tcW w:w="4660" w:type="dxa"/>
            <w:vAlign w:val="bottom"/>
          </w:tcPr>
          <w:p>
            <w:pPr>
              <w:spacing w:after="0"/>
              <w:rPr>
                <w:sz w:val="20"/>
                <w:szCs w:val="20"/>
                <w:color w:val="auto"/>
              </w:rPr>
            </w:pPr>
            <w:r>
              <w:rPr>
                <w:rFonts w:ascii="Courier New" w:cs="Courier New" w:eastAsia="Courier New" w:hAnsi="Courier New"/>
                <w:sz w:val="13"/>
                <w:szCs w:val="13"/>
                <w:color w:val="auto"/>
              </w:rPr>
              <w:t>Other income</w:t>
            </w:r>
          </w:p>
        </w:tc>
        <w:tc>
          <w:tcPr>
            <w:tcW w:w="11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(0.2)</w:t>
            </w:r>
          </w:p>
        </w:tc>
        <w:tc>
          <w:tcPr>
            <w:tcW w:w="116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(0.1)</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(0.1)</w:t>
            </w:r>
          </w:p>
        </w:tc>
      </w:tr>
      <w:tr>
        <w:trPr>
          <w:trHeight w:val="154"/>
        </w:trPr>
        <w:tc>
          <w:tcPr>
            <w:tcW w:w="4660" w:type="dxa"/>
            <w:vAlign w:val="bottom"/>
          </w:tcPr>
          <w:p>
            <w:pPr>
              <w:spacing w:after="0"/>
              <w:rPr>
                <w:sz w:val="13"/>
                <w:szCs w:val="13"/>
                <w:color w:val="auto"/>
              </w:rPr>
            </w:pPr>
          </w:p>
        </w:tc>
        <w:tc>
          <w:tcPr>
            <w:tcW w:w="11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16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4660" w:type="dxa"/>
            <w:vAlign w:val="bottom"/>
          </w:tcPr>
          <w:p>
            <w:pPr>
              <w:spacing w:after="0"/>
              <w:rPr>
                <w:sz w:val="20"/>
                <w:szCs w:val="20"/>
                <w:color w:val="auto"/>
              </w:rPr>
            </w:pPr>
            <w:r>
              <w:rPr>
                <w:rFonts w:ascii="Courier New" w:cs="Courier New" w:eastAsia="Courier New" w:hAnsi="Courier New"/>
                <w:sz w:val="13"/>
                <w:szCs w:val="13"/>
                <w:color w:val="auto"/>
              </w:rPr>
              <w:t>Income before provision for income taxes</w:t>
            </w:r>
          </w:p>
        </w:tc>
        <w:tc>
          <w:tcPr>
            <w:tcW w:w="11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11.9</w:t>
            </w:r>
          </w:p>
        </w:tc>
        <w:tc>
          <w:tcPr>
            <w:tcW w:w="116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5.9</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12.6</w:t>
            </w:r>
          </w:p>
        </w:tc>
      </w:tr>
      <w:tr>
        <w:trPr>
          <w:trHeight w:val="154"/>
        </w:trPr>
        <w:tc>
          <w:tcPr>
            <w:tcW w:w="4660" w:type="dxa"/>
            <w:vAlign w:val="bottom"/>
          </w:tcPr>
          <w:p>
            <w:pPr>
              <w:spacing w:after="0"/>
              <w:rPr>
                <w:sz w:val="20"/>
                <w:szCs w:val="20"/>
                <w:color w:val="auto"/>
              </w:rPr>
            </w:pPr>
            <w:r>
              <w:rPr>
                <w:rFonts w:ascii="Courier New" w:cs="Courier New" w:eastAsia="Courier New" w:hAnsi="Courier New"/>
                <w:sz w:val="13"/>
                <w:szCs w:val="13"/>
                <w:color w:val="auto"/>
              </w:rPr>
              <w:t>Provision for income taxes</w:t>
            </w:r>
          </w:p>
        </w:tc>
        <w:tc>
          <w:tcPr>
            <w:tcW w:w="11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3.4</w:t>
            </w:r>
          </w:p>
        </w:tc>
        <w:tc>
          <w:tcPr>
            <w:tcW w:w="116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2.3</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4.5</w:t>
            </w:r>
          </w:p>
        </w:tc>
      </w:tr>
      <w:tr>
        <w:trPr>
          <w:trHeight w:val="154"/>
        </w:trPr>
        <w:tc>
          <w:tcPr>
            <w:tcW w:w="4660" w:type="dxa"/>
            <w:vAlign w:val="bottom"/>
          </w:tcPr>
          <w:p>
            <w:pPr>
              <w:spacing w:after="0"/>
              <w:rPr>
                <w:sz w:val="20"/>
                <w:szCs w:val="20"/>
                <w:color w:val="auto"/>
              </w:rPr>
            </w:pPr>
            <w:r>
              <w:rPr>
                <w:rFonts w:ascii="Courier New" w:cs="Courier New" w:eastAsia="Courier New" w:hAnsi="Courier New"/>
                <w:sz w:val="13"/>
                <w:szCs w:val="13"/>
                <w:color w:val="auto"/>
              </w:rPr>
              <w:t>Minority interest in income of consolidated subsidiary</w:t>
            </w:r>
          </w:p>
        </w:tc>
        <w:tc>
          <w:tcPr>
            <w:tcW w:w="11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1.4</w:t>
            </w:r>
          </w:p>
        </w:tc>
        <w:tc>
          <w:tcPr>
            <w:tcW w:w="116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1.0</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0.5</w:t>
            </w:r>
          </w:p>
        </w:tc>
      </w:tr>
      <w:tr>
        <w:trPr>
          <w:trHeight w:val="154"/>
        </w:trPr>
        <w:tc>
          <w:tcPr>
            <w:tcW w:w="4660" w:type="dxa"/>
            <w:vAlign w:val="bottom"/>
          </w:tcPr>
          <w:p>
            <w:pPr>
              <w:spacing w:after="0"/>
              <w:rPr>
                <w:sz w:val="13"/>
                <w:szCs w:val="13"/>
                <w:color w:val="auto"/>
              </w:rPr>
            </w:pPr>
          </w:p>
        </w:tc>
        <w:tc>
          <w:tcPr>
            <w:tcW w:w="11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16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4660" w:type="dxa"/>
            <w:vAlign w:val="bottom"/>
          </w:tcPr>
          <w:p>
            <w:pPr>
              <w:spacing w:after="0"/>
              <w:rPr>
                <w:sz w:val="20"/>
                <w:szCs w:val="20"/>
                <w:color w:val="auto"/>
              </w:rPr>
            </w:pPr>
            <w:r>
              <w:rPr>
                <w:rFonts w:ascii="Courier New" w:cs="Courier New" w:eastAsia="Courier New" w:hAnsi="Courier New"/>
                <w:sz w:val="13"/>
                <w:szCs w:val="13"/>
                <w:color w:val="auto"/>
              </w:rPr>
              <w:t>Income before cumulative effect of change in accounting</w:t>
            </w:r>
          </w:p>
        </w:tc>
        <w:tc>
          <w:tcPr>
            <w:tcW w:w="11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7.1</w:t>
            </w:r>
          </w:p>
        </w:tc>
        <w:tc>
          <w:tcPr>
            <w:tcW w:w="116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2.6</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7.6</w:t>
            </w:r>
          </w:p>
        </w:tc>
      </w:tr>
      <w:tr>
        <w:trPr>
          <w:trHeight w:val="154"/>
        </w:trPr>
        <w:tc>
          <w:tcPr>
            <w:tcW w:w="4660" w:type="dxa"/>
            <w:vAlign w:val="bottom"/>
          </w:tcPr>
          <w:p>
            <w:pPr>
              <w:ind w:left="240"/>
              <w:spacing w:after="0"/>
              <w:rPr>
                <w:sz w:val="20"/>
                <w:szCs w:val="20"/>
                <w:color w:val="auto"/>
              </w:rPr>
            </w:pPr>
            <w:r>
              <w:rPr>
                <w:rFonts w:ascii="Courier New" w:cs="Courier New" w:eastAsia="Courier New" w:hAnsi="Courier New"/>
                <w:sz w:val="13"/>
                <w:szCs w:val="13"/>
                <w:color w:val="auto"/>
              </w:rPr>
              <w:t>principle</w:t>
            </w:r>
          </w:p>
        </w:tc>
        <w:tc>
          <w:tcPr>
            <w:tcW w:w="1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4"/>
        </w:trPr>
        <w:tc>
          <w:tcPr>
            <w:tcW w:w="4660" w:type="dxa"/>
            <w:vAlign w:val="bottom"/>
          </w:tcPr>
          <w:p>
            <w:pPr>
              <w:spacing w:after="0"/>
              <w:rPr>
                <w:sz w:val="20"/>
                <w:szCs w:val="20"/>
                <w:color w:val="auto"/>
              </w:rPr>
            </w:pPr>
            <w:r>
              <w:rPr>
                <w:rFonts w:ascii="Courier New" w:cs="Courier New" w:eastAsia="Courier New" w:hAnsi="Courier New"/>
                <w:sz w:val="13"/>
                <w:szCs w:val="13"/>
                <w:color w:val="auto"/>
              </w:rPr>
              <w:t>Cumulative effect of change in accounting principle, net</w:t>
            </w:r>
          </w:p>
        </w:tc>
        <w:tc>
          <w:tcPr>
            <w:tcW w:w="1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4"/>
        </w:trPr>
        <w:tc>
          <w:tcPr>
            <w:tcW w:w="4660" w:type="dxa"/>
            <w:vAlign w:val="bottom"/>
          </w:tcPr>
          <w:p>
            <w:pPr>
              <w:ind w:left="240"/>
              <w:spacing w:after="0"/>
              <w:rPr>
                <w:sz w:val="20"/>
                <w:szCs w:val="20"/>
                <w:color w:val="auto"/>
              </w:rPr>
            </w:pPr>
            <w:r>
              <w:rPr>
                <w:rFonts w:ascii="Courier New" w:cs="Courier New" w:eastAsia="Courier New" w:hAnsi="Courier New"/>
                <w:sz w:val="13"/>
                <w:szCs w:val="13"/>
                <w:color w:val="auto"/>
              </w:rPr>
              <w:t>of income tax benefit of $112 and related minority</w:t>
            </w:r>
          </w:p>
        </w:tc>
        <w:tc>
          <w:tcPr>
            <w:tcW w:w="1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4"/>
        </w:trPr>
        <w:tc>
          <w:tcPr>
            <w:tcW w:w="4660" w:type="dxa"/>
            <w:vAlign w:val="bottom"/>
          </w:tcPr>
          <w:p>
            <w:pPr>
              <w:ind w:left="240"/>
              <w:spacing w:after="0"/>
              <w:rPr>
                <w:sz w:val="20"/>
                <w:szCs w:val="20"/>
                <w:color w:val="auto"/>
              </w:rPr>
            </w:pPr>
            <w:r>
              <w:rPr>
                <w:rFonts w:ascii="Courier New" w:cs="Courier New" w:eastAsia="Courier New" w:hAnsi="Courier New"/>
                <w:sz w:val="13"/>
                <w:szCs w:val="13"/>
                <w:color w:val="auto"/>
              </w:rPr>
              <w:t>interest impact of $84</w:t>
            </w:r>
          </w:p>
        </w:tc>
        <w:tc>
          <w:tcPr>
            <w:tcW w:w="11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116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r>
      <w:tr>
        <w:trPr>
          <w:trHeight w:val="154"/>
        </w:trPr>
        <w:tc>
          <w:tcPr>
            <w:tcW w:w="4660" w:type="dxa"/>
            <w:vAlign w:val="bottom"/>
          </w:tcPr>
          <w:p>
            <w:pPr>
              <w:spacing w:after="0"/>
              <w:rPr>
                <w:sz w:val="13"/>
                <w:szCs w:val="13"/>
                <w:color w:val="auto"/>
              </w:rPr>
            </w:pPr>
          </w:p>
        </w:tc>
        <w:tc>
          <w:tcPr>
            <w:tcW w:w="11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16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4660" w:type="dxa"/>
            <w:vAlign w:val="bottom"/>
          </w:tcPr>
          <w:p>
            <w:pPr>
              <w:spacing w:after="0"/>
              <w:rPr>
                <w:sz w:val="20"/>
                <w:szCs w:val="20"/>
                <w:color w:val="auto"/>
              </w:rPr>
            </w:pPr>
            <w:r>
              <w:rPr>
                <w:rFonts w:ascii="Courier New" w:cs="Courier New" w:eastAsia="Courier New" w:hAnsi="Courier New"/>
                <w:sz w:val="13"/>
                <w:szCs w:val="13"/>
                <w:color w:val="auto"/>
              </w:rPr>
              <w:t>Net income</w:t>
            </w:r>
          </w:p>
        </w:tc>
        <w:tc>
          <w:tcPr>
            <w:tcW w:w="11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7.1%</w:t>
            </w:r>
          </w:p>
        </w:tc>
        <w:tc>
          <w:tcPr>
            <w:tcW w:w="116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2.6%</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7.6%</w:t>
            </w:r>
          </w:p>
        </w:tc>
      </w:tr>
      <w:tr>
        <w:trPr>
          <w:trHeight w:val="154"/>
        </w:trPr>
        <w:tc>
          <w:tcPr>
            <w:tcW w:w="4660" w:type="dxa"/>
            <w:vAlign w:val="bottom"/>
          </w:tcPr>
          <w:p>
            <w:pPr>
              <w:spacing w:after="0"/>
              <w:rPr>
                <w:sz w:val="13"/>
                <w:szCs w:val="13"/>
                <w:color w:val="auto"/>
              </w:rPr>
            </w:pPr>
          </w:p>
        </w:tc>
        <w:tc>
          <w:tcPr>
            <w:tcW w:w="11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16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bl>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Year Ended December 31, 2002 Compared to the Year Ended December 31, 2001</w:t>
      </w:r>
    </w:p>
    <w:p>
      <w:pPr>
        <w:spacing w:after="0" w:line="315"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i w:val="1"/>
          <w:iCs w:val="1"/>
          <w:color w:val="auto"/>
        </w:rPr>
        <w:t xml:space="preserve">Net Sales. </w:t>
      </w:r>
      <w:r>
        <w:rPr>
          <w:rFonts w:ascii="Courier New" w:cs="Courier New" w:eastAsia="Courier New" w:hAnsi="Courier New"/>
          <w:sz w:val="13"/>
          <w:szCs w:val="13"/>
          <w:color w:val="auto"/>
        </w:rPr>
        <w:t>The Company's net sales increased $12.7 million or 7.1% from</w:t>
      </w:r>
      <w:r>
        <w:rPr>
          <w:rFonts w:ascii="Courier New" w:cs="Courier New" w:eastAsia="Courier New" w:hAnsi="Courier New"/>
          <w:sz w:val="13"/>
          <w:szCs w:val="13"/>
          <w:i w:val="1"/>
          <w:iCs w:val="1"/>
          <w:color w:val="auto"/>
        </w:rPr>
        <w:t xml:space="preserve"> </w:t>
      </w:r>
      <w:r>
        <w:rPr>
          <w:rFonts w:ascii="Courier New" w:cs="Courier New" w:eastAsia="Courier New" w:hAnsi="Courier New"/>
          <w:sz w:val="13"/>
          <w:szCs w:val="13"/>
          <w:color w:val="auto"/>
        </w:rPr>
        <w:t>$180.2 million in 2001 to $192.9 million in 2002. The inclusion of a full year of Delta contributed $2.5 million of the increase. Increased demand and new programs within the Plastics Segment contributed $6.3 million of the increase. Additionally, currency impacts within the Euroball Segment contributed $4.5 million of the increase. Offsetting these increases were contractual price decreases and modest volume improvements in the Euroball Segment resulting in a net decrease of $0.6 million.</w:t>
      </w:r>
    </w:p>
    <w:p>
      <w:pPr>
        <w:spacing w:after="0" w:line="156"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i w:val="1"/>
          <w:iCs w:val="1"/>
          <w:color w:val="auto"/>
        </w:rPr>
        <w:t xml:space="preserve">Gross Profit. </w:t>
      </w:r>
      <w:r>
        <w:rPr>
          <w:rFonts w:ascii="Courier New" w:cs="Courier New" w:eastAsia="Courier New" w:hAnsi="Courier New"/>
          <w:sz w:val="13"/>
          <w:szCs w:val="13"/>
          <w:color w:val="auto"/>
        </w:rPr>
        <w:t>Gross profit increased by $5.7 million or 13.2% from</w:t>
      </w:r>
    </w:p>
    <w:p>
      <w:pPr>
        <w:spacing w:after="0" w:line="7" w:lineRule="exact"/>
        <w:rPr>
          <w:sz w:val="20"/>
          <w:szCs w:val="20"/>
          <w:color w:val="auto"/>
        </w:rPr>
      </w:pPr>
    </w:p>
    <w:p>
      <w:pPr>
        <w:ind w:right="3899"/>
        <w:spacing w:after="0" w:line="251" w:lineRule="auto"/>
        <w:rPr>
          <w:sz w:val="20"/>
          <w:szCs w:val="20"/>
          <w:color w:val="auto"/>
        </w:rPr>
      </w:pPr>
      <w:r>
        <w:rPr>
          <w:rFonts w:ascii="Courier New" w:cs="Courier New" w:eastAsia="Courier New" w:hAnsi="Courier New"/>
          <w:sz w:val="13"/>
          <w:szCs w:val="13"/>
          <w:color w:val="auto"/>
        </w:rPr>
        <w:t>$42.9 million in 2001 to $48.6 million in 2002. The inclusion of a full year of Delta contributed $0.7 million of the increase. Cost reductions in the Domestic Ball and Roller Segment principally related to the closing of the Company's Walterboro, South Carolina ball production facility contributed $0.6 million of the increase. Increased product demand, new sales programs and cost reductions in the Plastics Segment contributed $1.8 million of the increase. Additionally, cost reduction programs and currency impacts contributed $1.5 million and $1.0 million, respectively, in the Euroball Segment. As a percentage of net sales, gross profit increased from 23.8% in 2001 to 25.2% in 2002.</w:t>
      </w:r>
    </w:p>
    <w:p>
      <w:pPr>
        <w:spacing w:after="0" w:line="310"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i w:val="1"/>
          <w:iCs w:val="1"/>
          <w:color w:val="auto"/>
        </w:rPr>
        <w:t xml:space="preserve">Restructuring and Impairment Costs. </w:t>
      </w:r>
      <w:r>
        <w:rPr>
          <w:rFonts w:ascii="Courier New" w:cs="Courier New" w:eastAsia="Courier New" w:hAnsi="Courier New"/>
          <w:sz w:val="13"/>
          <w:szCs w:val="13"/>
          <w:color w:val="auto"/>
        </w:rPr>
        <w:t>Restructuring and impairment costs</w:t>
      </w:r>
      <w:r>
        <w:rPr>
          <w:rFonts w:ascii="Courier New" w:cs="Courier New" w:eastAsia="Courier New" w:hAnsi="Courier New"/>
          <w:sz w:val="13"/>
          <w:szCs w:val="13"/>
          <w:i w:val="1"/>
          <w:iCs w:val="1"/>
          <w:color w:val="auto"/>
        </w:rPr>
        <w:t xml:space="preserve"> </w:t>
      </w:r>
      <w:r>
        <w:rPr>
          <w:rFonts w:ascii="Courier New" w:cs="Courier New" w:eastAsia="Courier New" w:hAnsi="Courier New"/>
          <w:sz w:val="13"/>
          <w:szCs w:val="13"/>
          <w:color w:val="auto"/>
        </w:rPr>
        <w:t>decreased by $1.0 million from $2.3 million in 2001 to $1.3 million in 2002. The Company incurred a charge for the recording of impairment on the Company's manufacturing facility and equipment in Walterboro, South Carolina of $1.2 million and $1.1 million in 2002 and 2001, respectively. A charge of $0.1 million and $0.8 million was recorded in 2002 and 2001, respectively, associated with employee severance costs related to the closing of the Walterboro, South Carolina facility. Additionally, charges related to Euroball of $0 million and $0.4 million were recorded in 2002 and 2001, respectively. Restructuring and impairment charges were 0.7% of sales in 2002 and 1.3% of sales in 2001.</w:t>
      </w:r>
    </w:p>
    <w:p>
      <w:pPr>
        <w:spacing w:after="0" w:line="156"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i w:val="1"/>
          <w:iCs w:val="1"/>
          <w:color w:val="auto"/>
        </w:rPr>
        <w:t xml:space="preserve">Selling, General and Administrative Expenses. </w:t>
      </w:r>
      <w:r>
        <w:rPr>
          <w:rFonts w:ascii="Courier New" w:cs="Courier New" w:eastAsia="Courier New" w:hAnsi="Courier New"/>
          <w:sz w:val="13"/>
          <w:szCs w:val="13"/>
          <w:color w:val="auto"/>
        </w:rPr>
        <w:t>Selling, general and</w:t>
      </w:r>
      <w:r>
        <w:rPr>
          <w:rFonts w:ascii="Courier New" w:cs="Courier New" w:eastAsia="Courier New" w:hAnsi="Courier New"/>
          <w:sz w:val="13"/>
          <w:szCs w:val="13"/>
          <w:i w:val="1"/>
          <w:iCs w:val="1"/>
          <w:color w:val="auto"/>
        </w:rPr>
        <w:t xml:space="preserve"> </w:t>
      </w:r>
      <w:r>
        <w:rPr>
          <w:rFonts w:ascii="Courier New" w:cs="Courier New" w:eastAsia="Courier New" w:hAnsi="Courier New"/>
          <w:sz w:val="13"/>
          <w:szCs w:val="13"/>
          <w:color w:val="auto"/>
        </w:rPr>
        <w:t>administrative costs increased by $0.4 million, or 2.3%, from $16.8 million in 2001 to $17.1 million in 2002. The inclusion of a full year of Delta contributed $0.1 million of the increase. Advisory services principally associated with the previously announced desire of certain original founders of the Company to liquidate their holdings in the Company's stock contributed $0.3 million of the increase. Other increases totaling $0.5 million are primarily attributable to incentive based compensation throughout the Company and strategic planning technology initiatives at Euroball. Offsetting these increases were decreased spending of approximately $0.8 million related to bad debt expense primarily related to the bankruptcy filing of a major Plastics Segment customer in 2001. As a percentage of net sales, selling, general and administrative expenses decreased from 9.3% in 2001 to 8.9% in 2002.</w:t>
      </w:r>
    </w:p>
    <w:p>
      <w:pPr>
        <w:spacing w:after="0" w:line="157" w:lineRule="exact"/>
        <w:rPr>
          <w:sz w:val="20"/>
          <w:szCs w:val="20"/>
          <w:color w:val="auto"/>
        </w:rPr>
      </w:pPr>
    </w:p>
    <w:p>
      <w:pPr>
        <w:jc w:val="both"/>
        <w:ind w:right="3979" w:firstLine="722"/>
        <w:spacing w:after="0" w:line="253" w:lineRule="auto"/>
        <w:rPr>
          <w:sz w:val="20"/>
          <w:szCs w:val="20"/>
          <w:color w:val="auto"/>
        </w:rPr>
      </w:pPr>
      <w:r>
        <w:rPr>
          <w:rFonts w:ascii="Courier New" w:cs="Courier New" w:eastAsia="Courier New" w:hAnsi="Courier New"/>
          <w:sz w:val="13"/>
          <w:szCs w:val="13"/>
          <w:i w:val="1"/>
          <w:iCs w:val="1"/>
          <w:color w:val="auto"/>
        </w:rPr>
        <w:t xml:space="preserve">Depreciation and Amortizaton. </w:t>
      </w:r>
      <w:r>
        <w:rPr>
          <w:rFonts w:ascii="Courier New" w:cs="Courier New" w:eastAsia="Courier New" w:hAnsi="Courier New"/>
          <w:sz w:val="13"/>
          <w:szCs w:val="13"/>
          <w:color w:val="auto"/>
        </w:rPr>
        <w:t>Depreciation and amortization expenses</w:t>
      </w:r>
      <w:r>
        <w:rPr>
          <w:rFonts w:ascii="Courier New" w:cs="Courier New" w:eastAsia="Courier New" w:hAnsi="Courier New"/>
          <w:sz w:val="13"/>
          <w:szCs w:val="13"/>
          <w:i w:val="1"/>
          <w:iCs w:val="1"/>
          <w:color w:val="auto"/>
        </w:rPr>
        <w:t xml:space="preserve"> </w:t>
      </w:r>
      <w:r>
        <w:rPr>
          <w:rFonts w:ascii="Courier New" w:cs="Courier New" w:eastAsia="Courier New" w:hAnsi="Courier New"/>
          <w:sz w:val="13"/>
          <w:szCs w:val="13"/>
          <w:color w:val="auto"/>
        </w:rPr>
        <w:t>decreased by $2.0 million from $13.2 million in 2001 to $11.2 million in 2002. The adoption of FASB Statement No. 142 eliminated the amortization of goodwill</w:t>
      </w:r>
    </w:p>
    <w:p>
      <w:pPr>
        <w:sectPr>
          <w:pgSz w:w="11900" w:h="16838" w:orient="portrait"/>
          <w:cols w:equalWidth="0" w:num="1">
            <w:col w:w="10239"/>
          </w:cols>
          <w:pgMar w:left="220" w:top="141" w:right="1440" w:bottom="0" w:gutter="0" w:footer="0" w:header="0"/>
        </w:sectPr>
      </w:pPr>
    </w:p>
    <w:bookmarkStart w:id="14" w:name="page15"/>
    <w:bookmarkEnd w:id="14"/>
    <w:p>
      <w:pPr>
        <w:ind w:right="3899"/>
        <w:spacing w:after="0" w:line="251" w:lineRule="auto"/>
        <w:rPr>
          <w:sz w:val="20"/>
          <w:szCs w:val="20"/>
          <w:color w:val="auto"/>
        </w:rPr>
      </w:pPr>
      <w:r>
        <w:rPr>
          <w:rFonts w:ascii="Courier New" w:cs="Courier New" w:eastAsia="Courier New" w:hAnsi="Courier New"/>
          <w:sz w:val="13"/>
          <w:szCs w:val="13"/>
          <w:color w:val="auto"/>
        </w:rPr>
        <w:t>and contributed $1.8 million of the decrease. The assets held for sale as a result of the closing of the Walterboro, South Carolina ball production facility, which are no longer depreciated, contributed $0.9 million of the decrease. Offsetting these decreases, were a full year of depreciation of Delta assets contributing $0.3 million and currency impacts at Euroball contributing $0.3 million. As a percentage of sales, depreciation and amortization decreased from 7.3% in 2001 to 5.8% in 2002.</w:t>
      </w:r>
    </w:p>
    <w:p>
      <w:pPr>
        <w:spacing w:after="0" w:line="156" w:lineRule="exact"/>
        <w:rPr>
          <w:sz w:val="20"/>
          <w:szCs w:val="20"/>
          <w:color w:val="auto"/>
        </w:rPr>
      </w:pPr>
    </w:p>
    <w:p>
      <w:pPr>
        <w:ind w:right="3899" w:firstLine="722"/>
        <w:spacing w:after="0" w:line="251" w:lineRule="auto"/>
        <w:rPr>
          <w:sz w:val="20"/>
          <w:szCs w:val="20"/>
          <w:color w:val="auto"/>
        </w:rPr>
      </w:pPr>
      <w:r>
        <w:rPr>
          <w:rFonts w:ascii="Courier New" w:cs="Courier New" w:eastAsia="Courier New" w:hAnsi="Courier New"/>
          <w:sz w:val="13"/>
          <w:szCs w:val="13"/>
          <w:i w:val="1"/>
          <w:iCs w:val="1"/>
          <w:color w:val="auto"/>
        </w:rPr>
        <w:t xml:space="preserve">Interest Expense. </w:t>
      </w:r>
      <w:r>
        <w:rPr>
          <w:rFonts w:ascii="Courier New" w:cs="Courier New" w:eastAsia="Courier New" w:hAnsi="Courier New"/>
          <w:sz w:val="13"/>
          <w:szCs w:val="13"/>
          <w:color w:val="auto"/>
        </w:rPr>
        <w:t>Interest expense decreased by $1.7 million from $4.2</w:t>
      </w:r>
      <w:r>
        <w:rPr>
          <w:rFonts w:ascii="Courier New" w:cs="Courier New" w:eastAsia="Courier New" w:hAnsi="Courier New"/>
          <w:sz w:val="13"/>
          <w:szCs w:val="13"/>
          <w:i w:val="1"/>
          <w:iCs w:val="1"/>
          <w:color w:val="auto"/>
        </w:rPr>
        <w:t xml:space="preserve"> </w:t>
      </w:r>
      <w:r>
        <w:rPr>
          <w:rFonts w:ascii="Courier New" w:cs="Courier New" w:eastAsia="Courier New" w:hAnsi="Courier New"/>
          <w:sz w:val="13"/>
          <w:szCs w:val="13"/>
          <w:color w:val="auto"/>
        </w:rPr>
        <w:t>million in 2001 to $2.5 million in 2002. The decrease is principally attributed to the decrease in interest rates and decreased average debt levels in 2002. As a percentage of net sales, interest expense decreased from 2.3% in 2001 to 1.3% in 2002. See "Management's Discussion and Analysis of Financial Condition and Results of Operations - Liquidity and Capital Resources".</w:t>
      </w:r>
    </w:p>
    <w:p>
      <w:pPr>
        <w:spacing w:after="0" w:line="155" w:lineRule="exact"/>
        <w:rPr>
          <w:sz w:val="20"/>
          <w:szCs w:val="20"/>
          <w:color w:val="auto"/>
        </w:rPr>
      </w:pPr>
    </w:p>
    <w:p>
      <w:pPr>
        <w:ind w:right="4059" w:firstLine="722"/>
        <w:spacing w:after="0" w:line="252" w:lineRule="auto"/>
        <w:rPr>
          <w:sz w:val="20"/>
          <w:szCs w:val="20"/>
          <w:color w:val="auto"/>
        </w:rPr>
      </w:pPr>
      <w:r>
        <w:rPr>
          <w:rFonts w:ascii="Courier New" w:cs="Courier New" w:eastAsia="Courier New" w:hAnsi="Courier New"/>
          <w:sz w:val="13"/>
          <w:szCs w:val="13"/>
          <w:i w:val="1"/>
          <w:iCs w:val="1"/>
          <w:color w:val="auto"/>
        </w:rPr>
        <w:t xml:space="preserve">Net Gain on Involuntary Conversion. </w:t>
      </w:r>
      <w:r>
        <w:rPr>
          <w:rFonts w:ascii="Courier New" w:cs="Courier New" w:eastAsia="Courier New" w:hAnsi="Courier New"/>
          <w:sz w:val="13"/>
          <w:szCs w:val="13"/>
          <w:color w:val="auto"/>
        </w:rPr>
        <w:t>The Company had a gain on</w:t>
      </w:r>
      <w:r>
        <w:rPr>
          <w:rFonts w:ascii="Courier New" w:cs="Courier New" w:eastAsia="Courier New" w:hAnsi="Courier New"/>
          <w:sz w:val="13"/>
          <w:szCs w:val="13"/>
          <w:i w:val="1"/>
          <w:iCs w:val="1"/>
          <w:color w:val="auto"/>
        </w:rPr>
        <w:t xml:space="preserve"> </w:t>
      </w:r>
      <w:r>
        <w:rPr>
          <w:rFonts w:ascii="Courier New" w:cs="Courier New" w:eastAsia="Courier New" w:hAnsi="Courier New"/>
          <w:sz w:val="13"/>
          <w:szCs w:val="13"/>
          <w:color w:val="auto"/>
        </w:rPr>
        <w:t>involuntary conversion of $0.0 million and $3.9 million in 2002 and 2001, respectively, related to insurance proceeds as a result of the March 12, 2000 fire at the Erwin production facility.</w:t>
      </w:r>
    </w:p>
    <w:p>
      <w:pPr>
        <w:spacing w:after="0" w:line="153" w:lineRule="exact"/>
        <w:rPr>
          <w:sz w:val="20"/>
          <w:szCs w:val="20"/>
          <w:color w:val="auto"/>
        </w:rPr>
      </w:pPr>
    </w:p>
    <w:p>
      <w:pPr>
        <w:ind w:right="4139" w:firstLine="722"/>
        <w:spacing w:after="0" w:line="252" w:lineRule="auto"/>
        <w:rPr>
          <w:sz w:val="20"/>
          <w:szCs w:val="20"/>
          <w:color w:val="auto"/>
        </w:rPr>
      </w:pPr>
      <w:r>
        <w:rPr>
          <w:rFonts w:ascii="Courier New" w:cs="Courier New" w:eastAsia="Courier New" w:hAnsi="Courier New"/>
          <w:sz w:val="13"/>
          <w:szCs w:val="13"/>
          <w:i w:val="1"/>
          <w:iCs w:val="1"/>
          <w:color w:val="auto"/>
        </w:rPr>
        <w:t xml:space="preserve">Gain on Purchase of Minority Interest. </w:t>
      </w:r>
      <w:r>
        <w:rPr>
          <w:rFonts w:ascii="Courier New" w:cs="Courier New" w:eastAsia="Courier New" w:hAnsi="Courier New"/>
          <w:sz w:val="13"/>
          <w:szCs w:val="13"/>
          <w:color w:val="auto"/>
        </w:rPr>
        <w:t>The Company had a net</w:t>
      </w:r>
      <w:r>
        <w:rPr>
          <w:rFonts w:ascii="Courier New" w:cs="Courier New" w:eastAsia="Courier New" w:hAnsi="Courier New"/>
          <w:sz w:val="13"/>
          <w:szCs w:val="13"/>
          <w:i w:val="1"/>
          <w:iCs w:val="1"/>
          <w:color w:val="auto"/>
        </w:rPr>
        <w:t xml:space="preserve"> </w:t>
      </w:r>
      <w:r>
        <w:rPr>
          <w:rFonts w:ascii="Courier New" w:cs="Courier New" w:eastAsia="Courier New" w:hAnsi="Courier New"/>
          <w:sz w:val="13"/>
          <w:szCs w:val="13"/>
          <w:color w:val="auto"/>
        </w:rPr>
        <w:t>non-taxable gain on purchase of minority interest in 2002 of $5.9 million related to purchase of INA/FAG's 23% interest in Euroball. See "Management's Discussion and Analysis of Financial Condition and Results of Operations - Overview".</w:t>
      </w:r>
    </w:p>
    <w:p>
      <w:pPr>
        <w:spacing w:after="0" w:line="152"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i w:val="1"/>
          <w:iCs w:val="1"/>
          <w:color w:val="auto"/>
        </w:rPr>
        <w:t xml:space="preserve">Minority Interest in Consolidated Subsidiary. </w:t>
      </w:r>
      <w:r>
        <w:rPr>
          <w:rFonts w:ascii="Courier New" w:cs="Courier New" w:eastAsia="Courier New" w:hAnsi="Courier New"/>
          <w:sz w:val="13"/>
          <w:szCs w:val="13"/>
          <w:color w:val="auto"/>
        </w:rPr>
        <w:t>Minority interest of</w:t>
      </w:r>
      <w:r>
        <w:rPr>
          <w:rFonts w:ascii="Courier New" w:cs="Courier New" w:eastAsia="Courier New" w:hAnsi="Courier New"/>
          <w:sz w:val="13"/>
          <w:szCs w:val="13"/>
          <w:i w:val="1"/>
          <w:iCs w:val="1"/>
          <w:color w:val="auto"/>
        </w:rPr>
        <w:t xml:space="preserve"> </w:t>
      </w:r>
      <w:r>
        <w:rPr>
          <w:rFonts w:ascii="Courier New" w:cs="Courier New" w:eastAsia="Courier New" w:hAnsi="Courier New"/>
          <w:sz w:val="13"/>
          <w:szCs w:val="13"/>
          <w:color w:val="auto"/>
        </w:rPr>
        <w:t>consolidated subsidiary increased $1.0 million from $1.8 million in 2001 to $2.8 million in 2002. This increase is due entirely to the Euroball joint venture which has been consolidated since its formation, August 1, 2000. The Company is required to consolidate Euroball in its Consolidated Financial Statements due to its majority ownership. The Company owns 77% of the shares of the joint venture with the remaining minority partner owning the remaining 23%. Minority interest in consolidated subsidiary represents the combined interest in Euroball's earnings of the minority partners and the 49% interest in NN Arte's earnings of the minority partner (the 49% interest in NN Arte's earning is zero in 2002 and 2001). See "Management's Discussion and Analysis of Financial Condition and Results of Operations - Overview".</w:t>
      </w:r>
    </w:p>
    <w:p>
      <w:pPr>
        <w:spacing w:after="0" w:line="157" w:lineRule="exact"/>
        <w:rPr>
          <w:sz w:val="20"/>
          <w:szCs w:val="20"/>
          <w:color w:val="auto"/>
        </w:rPr>
      </w:pPr>
    </w:p>
    <w:p>
      <w:pPr>
        <w:ind w:left="720"/>
        <w:spacing w:after="0"/>
        <w:rPr>
          <w:sz w:val="20"/>
          <w:szCs w:val="20"/>
          <w:color w:val="auto"/>
        </w:rPr>
      </w:pPr>
      <w:r>
        <w:rPr>
          <w:rFonts w:ascii="Courier New" w:cs="Courier New" w:eastAsia="Courier New" w:hAnsi="Courier New"/>
          <w:sz w:val="13"/>
          <w:szCs w:val="13"/>
          <w:i w:val="1"/>
          <w:iCs w:val="1"/>
          <w:color w:val="auto"/>
        </w:rPr>
        <w:t xml:space="preserve">Net Income. </w:t>
      </w:r>
      <w:r>
        <w:rPr>
          <w:rFonts w:ascii="Courier New" w:cs="Courier New" w:eastAsia="Courier New" w:hAnsi="Courier New"/>
          <w:sz w:val="13"/>
          <w:szCs w:val="13"/>
          <w:color w:val="auto"/>
        </w:rPr>
        <w:t>Net income increased $9.0 million from $4.7 in 2001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$13.7 million in 2002. As a percentage of net sales, net income increased from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2.6% in 2001 to 7.1% in 2002.</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Year Ended December 31, 2001 Compared to the Year Ended December 31, 2000</w:t>
      </w:r>
    </w:p>
    <w:p>
      <w:pPr>
        <w:spacing w:after="0" w:line="161" w:lineRule="exact"/>
        <w:rPr>
          <w:sz w:val="20"/>
          <w:szCs w:val="20"/>
          <w:color w:val="auto"/>
        </w:rPr>
      </w:pPr>
    </w:p>
    <w:p>
      <w:pPr>
        <w:ind w:left="800"/>
        <w:spacing w:after="0"/>
        <w:rPr>
          <w:sz w:val="20"/>
          <w:szCs w:val="20"/>
          <w:color w:val="auto"/>
        </w:rPr>
      </w:pPr>
      <w:r>
        <w:rPr>
          <w:rFonts w:ascii="Courier New" w:cs="Courier New" w:eastAsia="Courier New" w:hAnsi="Courier New"/>
          <w:sz w:val="13"/>
          <w:szCs w:val="13"/>
          <w:i w:val="1"/>
          <w:iCs w:val="1"/>
          <w:color w:val="auto"/>
        </w:rPr>
        <w:t xml:space="preserve">Net Sales. </w:t>
      </w:r>
      <w:r>
        <w:rPr>
          <w:rFonts w:ascii="Courier New" w:cs="Courier New" w:eastAsia="Courier New" w:hAnsi="Courier New"/>
          <w:sz w:val="13"/>
          <w:szCs w:val="13"/>
          <w:color w:val="auto"/>
        </w:rPr>
        <w:t>The Company's net sales increased $48.0 million or</w:t>
      </w:r>
    </w:p>
    <w:p>
      <w:pPr>
        <w:spacing w:after="0" w:line="7" w:lineRule="exact"/>
        <w:rPr>
          <w:sz w:val="20"/>
          <w:szCs w:val="20"/>
          <w:color w:val="auto"/>
        </w:rPr>
      </w:pPr>
    </w:p>
    <w:p>
      <w:pPr>
        <w:ind w:right="3819"/>
        <w:spacing w:after="0" w:line="251" w:lineRule="auto"/>
        <w:rPr>
          <w:sz w:val="20"/>
          <w:szCs w:val="20"/>
          <w:color w:val="auto"/>
        </w:rPr>
      </w:pPr>
      <w:r>
        <w:rPr>
          <w:rFonts w:ascii="Courier New" w:cs="Courier New" w:eastAsia="Courier New" w:hAnsi="Courier New"/>
          <w:sz w:val="13"/>
          <w:szCs w:val="13"/>
          <w:color w:val="auto"/>
        </w:rPr>
        <w:t>36.3%, from $132.1 million in 2000 to $180.2 million in 2001. The inclusion of a full year of Euroball sales contributed $46.1 million of the increase, excluding the performance of the Ireland facility, which was consolidated into the results of the Company prior to the formation of Euroball. Additionally, the inclusion of 10.5 months of Delta's net sales in 2001 contributed $14.0 million. Offsetting this increase were decreased sales in the Domestic Ball and Roller and Plastics Segments in the last half of the year due to slowing demand related to the overall economic environment in the United States. Decreased sales during the year for the Plastics Segment were due to the economic environment as well as significantly decreased sales to one customer.</w:t>
      </w:r>
    </w:p>
    <w:p>
      <w:pPr>
        <w:spacing w:after="0" w:line="156"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720"/>
        <w:spacing w:after="0"/>
        <w:rPr>
          <w:sz w:val="20"/>
          <w:szCs w:val="20"/>
          <w:color w:val="auto"/>
        </w:rPr>
      </w:pPr>
      <w:r>
        <w:rPr>
          <w:rFonts w:ascii="Courier New" w:cs="Courier New" w:eastAsia="Courier New" w:hAnsi="Courier New"/>
          <w:sz w:val="13"/>
          <w:szCs w:val="13"/>
          <w:i w:val="1"/>
          <w:iCs w:val="1"/>
          <w:color w:val="auto"/>
        </w:rPr>
        <w:t xml:space="preserve">Gross Profit. </w:t>
      </w:r>
      <w:r>
        <w:rPr>
          <w:rFonts w:ascii="Courier New" w:cs="Courier New" w:eastAsia="Courier New" w:hAnsi="Courier New"/>
          <w:sz w:val="13"/>
          <w:szCs w:val="13"/>
          <w:color w:val="auto"/>
        </w:rPr>
        <w:t>Gross profit increased by $4.7 million, or 12.4% from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$38.2 million in 2000 to $42.9 million in 2001. Adjusting for the performance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Ireland facility, the Euroball joint venture contributed an additional $10.4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million of gross profit. The inclusion of 10.5 months of Delta's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contributed an additional $3.3 million in gross profit, while the sales volume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deterioration in the Domestic Ball and Roller and Plastics Segments decreased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gross profit $9.0 million. Gross profit decreased from 28.9% of net sales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2000 to 23.8% of net sales in 2001.</w:t>
      </w:r>
    </w:p>
    <w:p>
      <w:pPr>
        <w:spacing w:after="0" w:line="16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i w:val="1"/>
          <w:iCs w:val="1"/>
          <w:color w:val="auto"/>
        </w:rPr>
        <w:t xml:space="preserve">Restructuring and Impairment Costs. </w:t>
      </w:r>
      <w:r>
        <w:rPr>
          <w:rFonts w:ascii="Courier New" w:cs="Courier New" w:eastAsia="Courier New" w:hAnsi="Courier New"/>
          <w:sz w:val="13"/>
          <w:szCs w:val="13"/>
          <w:color w:val="auto"/>
        </w:rPr>
        <w:t>Restructuring and impairment costs</w:t>
      </w:r>
      <w:r>
        <w:rPr>
          <w:rFonts w:ascii="Courier New" w:cs="Courier New" w:eastAsia="Courier New" w:hAnsi="Courier New"/>
          <w:sz w:val="13"/>
          <w:szCs w:val="13"/>
          <w:i w:val="1"/>
          <w:iCs w:val="1"/>
          <w:color w:val="auto"/>
        </w:rPr>
        <w:t xml:space="preserve"> </w:t>
      </w:r>
      <w:r>
        <w:rPr>
          <w:rFonts w:ascii="Courier New" w:cs="Courier New" w:eastAsia="Courier New" w:hAnsi="Courier New"/>
          <w:sz w:val="13"/>
          <w:szCs w:val="13"/>
          <w:color w:val="auto"/>
        </w:rPr>
        <w:t>increased by $2.3 million from $0.0 million in 2000 to $2.3 million in 2001. The increase includes a $1.1 million charge for the recording of impairment on the Company's manufacturing facility located in Walterboro, South Carolina, a $0.8 million charge related to employee severance costs related to the closing of the Walterboro, South Carolina facility and a $0.4 million charge related to Euroball. Restructuring and impairment costs were 1.3% of net sales during 2001.</w:t>
      </w:r>
    </w:p>
    <w:p>
      <w:pPr>
        <w:spacing w:after="0" w:line="156"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i w:val="1"/>
          <w:iCs w:val="1"/>
          <w:color w:val="auto"/>
        </w:rPr>
        <w:t xml:space="preserve">Selling, General and Administrative Expenses. </w:t>
      </w:r>
      <w:r>
        <w:rPr>
          <w:rFonts w:ascii="Courier New" w:cs="Courier New" w:eastAsia="Courier New" w:hAnsi="Courier New"/>
          <w:sz w:val="13"/>
          <w:szCs w:val="13"/>
          <w:color w:val="auto"/>
        </w:rPr>
        <w:t>Selling, general and</w:t>
      </w:r>
      <w:r>
        <w:rPr>
          <w:rFonts w:ascii="Courier New" w:cs="Courier New" w:eastAsia="Courier New" w:hAnsi="Courier New"/>
          <w:sz w:val="13"/>
          <w:szCs w:val="13"/>
          <w:i w:val="1"/>
          <w:iCs w:val="1"/>
          <w:color w:val="auto"/>
        </w:rPr>
        <w:t xml:space="preserve"> </w:t>
      </w:r>
      <w:r>
        <w:rPr>
          <w:rFonts w:ascii="Courier New" w:cs="Courier New" w:eastAsia="Courier New" w:hAnsi="Courier New"/>
          <w:sz w:val="13"/>
          <w:szCs w:val="13"/>
          <w:color w:val="auto"/>
        </w:rPr>
        <w:t>administrative expenses increased by $5.2 million, or 44.8% from $11.6 million in 2000 to $16.8 million in 2001. The inclusion of a full year of Euroball results, adjusting for the Ireland facility, accounted for $3.5 million of the increase. The inclusion of 10.5 months of Delta's results accounted for $1.2 million of the increase. Additionally, bad debt expense related primarily to the bankruptcy filing of a major Plastics Segment customer contributed $0.8 million. Offsetting these increases were decreased spending related to cost reduction and cost containment efforts throughout the Company. As a percentage of net sales, selling, general and administrative expenses increased from 8.8% in 2000 to 9.3% in 2001.</w:t>
      </w:r>
    </w:p>
    <w:p>
      <w:pPr>
        <w:spacing w:after="0" w:line="310" w:lineRule="exact"/>
        <w:rPr>
          <w:sz w:val="20"/>
          <w:szCs w:val="20"/>
          <w:color w:val="auto"/>
        </w:rPr>
      </w:pPr>
    </w:p>
    <w:p>
      <w:pPr>
        <w:ind w:right="3899" w:firstLine="722"/>
        <w:spacing w:after="0" w:line="251" w:lineRule="auto"/>
        <w:rPr>
          <w:sz w:val="20"/>
          <w:szCs w:val="20"/>
          <w:color w:val="auto"/>
        </w:rPr>
      </w:pPr>
      <w:r>
        <w:rPr>
          <w:rFonts w:ascii="Courier New" w:cs="Courier New" w:eastAsia="Courier New" w:hAnsi="Courier New"/>
          <w:sz w:val="13"/>
          <w:szCs w:val="13"/>
          <w:i w:val="1"/>
          <w:iCs w:val="1"/>
          <w:color w:val="auto"/>
        </w:rPr>
        <w:t xml:space="preserve">Depreciation and Amortization. </w:t>
      </w:r>
      <w:r>
        <w:rPr>
          <w:rFonts w:ascii="Courier New" w:cs="Courier New" w:eastAsia="Courier New" w:hAnsi="Courier New"/>
          <w:sz w:val="13"/>
          <w:szCs w:val="13"/>
          <w:color w:val="auto"/>
        </w:rPr>
        <w:t>Depreciation and amortization expenses</w:t>
      </w:r>
      <w:r>
        <w:rPr>
          <w:rFonts w:ascii="Courier New" w:cs="Courier New" w:eastAsia="Courier New" w:hAnsi="Courier New"/>
          <w:sz w:val="13"/>
          <w:szCs w:val="13"/>
          <w:i w:val="1"/>
          <w:iCs w:val="1"/>
          <w:color w:val="auto"/>
        </w:rPr>
        <w:t xml:space="preserve"> </w:t>
      </w:r>
      <w:r>
        <w:rPr>
          <w:rFonts w:ascii="Courier New" w:cs="Courier New" w:eastAsia="Courier New" w:hAnsi="Courier New"/>
          <w:sz w:val="13"/>
          <w:szCs w:val="13"/>
          <w:color w:val="auto"/>
        </w:rPr>
        <w:t>increased $4.0 million, or 43.5% from $9.2 million in 2000 to $13.2 million in 2001. The inclusion of a full year of Euroball results, adjusting for the Ireland facility, accounted for $2.8 million of the increase. The inclusion of 10.5 months of Delta's results accounted for $1.1 million of the increase. As a percentage of net sales, depreciation and amortization increased from 6.9% in 2000 to 7.3% in 2001.</w:t>
      </w:r>
    </w:p>
    <w:p>
      <w:pPr>
        <w:spacing w:after="0" w:line="156"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i w:val="1"/>
          <w:iCs w:val="1"/>
          <w:color w:val="auto"/>
        </w:rPr>
        <w:t xml:space="preserve">Interest Expense. </w:t>
      </w:r>
      <w:r>
        <w:rPr>
          <w:rFonts w:ascii="Courier New" w:cs="Courier New" w:eastAsia="Courier New" w:hAnsi="Courier New"/>
          <w:sz w:val="13"/>
          <w:szCs w:val="13"/>
          <w:color w:val="auto"/>
        </w:rPr>
        <w:t>Interest expense increased by $2.4 million from $1.8</w:t>
      </w:r>
      <w:r>
        <w:rPr>
          <w:rFonts w:ascii="Courier New" w:cs="Courier New" w:eastAsia="Courier New" w:hAnsi="Courier New"/>
          <w:sz w:val="13"/>
          <w:szCs w:val="13"/>
          <w:i w:val="1"/>
          <w:iCs w:val="1"/>
          <w:color w:val="auto"/>
        </w:rPr>
        <w:t xml:space="preserve"> </w:t>
      </w:r>
      <w:r>
        <w:rPr>
          <w:rFonts w:ascii="Courier New" w:cs="Courier New" w:eastAsia="Courier New" w:hAnsi="Courier New"/>
          <w:sz w:val="13"/>
          <w:szCs w:val="13"/>
          <w:color w:val="auto"/>
        </w:rPr>
        <w:t>million in 2000 to $4.2 million in 2001. Interest expense related to the purchase of Delta accounted for $1.0 million of the increase. Additionally, the inclusion of a full year of interest expense related to the debt incurred by Euroball accounted for approximately $1.2 million of the increase. As a percentage of net sales, interest expense increased from 1.3% in 2000 to 2.3% in 2001. See "Management's Discussion and Analysis of Financial Condition -</w:t>
      </w:r>
    </w:p>
    <w:p>
      <w:pPr>
        <w:sectPr>
          <w:pgSz w:w="11900" w:h="16838" w:orient="portrait"/>
          <w:cols w:equalWidth="0" w:num="1">
            <w:col w:w="10239"/>
          </w:cols>
          <w:pgMar w:left="220" w:top="141" w:right="1440" w:bottom="0" w:gutter="0" w:footer="0" w:header="0"/>
        </w:sectPr>
      </w:pPr>
    </w:p>
    <w:bookmarkStart w:id="15" w:name="page16"/>
    <w:bookmarkEnd w:id="15"/>
    <w:p>
      <w:pPr>
        <w:spacing w:after="0"/>
        <w:rPr>
          <w:sz w:val="20"/>
          <w:szCs w:val="20"/>
          <w:color w:val="auto"/>
        </w:rPr>
      </w:pPr>
      <w:r>
        <w:rPr>
          <w:rFonts w:ascii="Courier New" w:cs="Courier New" w:eastAsia="Courier New" w:hAnsi="Courier New"/>
          <w:sz w:val="13"/>
          <w:szCs w:val="13"/>
          <w:color w:val="auto"/>
        </w:rPr>
        <w:t>Liquidity and Capital Resources."</w:t>
      </w:r>
    </w:p>
    <w:p>
      <w:pPr>
        <w:spacing w:after="0" w:line="16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i w:val="1"/>
          <w:iCs w:val="1"/>
          <w:color w:val="auto"/>
        </w:rPr>
        <w:t xml:space="preserve">Equity in Earnings of Unconsolidated Affiliates. </w:t>
      </w:r>
      <w:r>
        <w:rPr>
          <w:rFonts w:ascii="Courier New" w:cs="Courier New" w:eastAsia="Courier New" w:hAnsi="Courier New"/>
          <w:sz w:val="13"/>
          <w:szCs w:val="13"/>
          <w:color w:val="auto"/>
        </w:rPr>
        <w:t>Equity in earnings of</w:t>
      </w:r>
      <w:r>
        <w:rPr>
          <w:rFonts w:ascii="Courier New" w:cs="Courier New" w:eastAsia="Courier New" w:hAnsi="Courier New"/>
          <w:sz w:val="13"/>
          <w:szCs w:val="13"/>
          <w:i w:val="1"/>
          <w:iCs w:val="1"/>
          <w:color w:val="auto"/>
        </w:rPr>
        <w:t xml:space="preserve"> </w:t>
      </w:r>
      <w:r>
        <w:rPr>
          <w:rFonts w:ascii="Courier New" w:cs="Courier New" w:eastAsia="Courier New" w:hAnsi="Courier New"/>
          <w:sz w:val="13"/>
          <w:szCs w:val="13"/>
          <w:color w:val="auto"/>
        </w:rPr>
        <w:t>unconsolidated affiliates decreased $0.05 million from $0.05 million in 2000 to $0. The decrease is due to the Company's share of earnings from the NN General joint venture with General Bearing Corporation. Effective December 21, 2001, the Company sold its minority interest in Jiangsu General Ball &amp; Roller Company, LTD, a Chinese ball and roller manufacturer located in Rugao City, Jiangsu Province, China. To effect the transaction, the Company sold its 50% ownership in NN General, LLC, which owns a 60% interest in the Jiangsu joint venture to its partner, General Bearing Corporation for cash of $0.6 million and notes of $3.3 million. In 2001, the Company recorded a non-cash after-tax loss on the sale of its investment in this joint venture of $144,000. See Note 4 of the Notes to Consolidated Financial Statements for additional financial information.</w:t>
      </w:r>
    </w:p>
    <w:p>
      <w:pPr>
        <w:spacing w:after="0" w:line="157" w:lineRule="exact"/>
        <w:rPr>
          <w:sz w:val="20"/>
          <w:szCs w:val="20"/>
          <w:color w:val="auto"/>
        </w:rPr>
      </w:pPr>
    </w:p>
    <w:p>
      <w:pPr>
        <w:ind w:right="3899" w:firstLine="722"/>
        <w:spacing w:after="0" w:line="253" w:lineRule="auto"/>
        <w:rPr>
          <w:sz w:val="20"/>
          <w:szCs w:val="20"/>
          <w:color w:val="auto"/>
        </w:rPr>
      </w:pPr>
      <w:r>
        <w:rPr>
          <w:rFonts w:ascii="Courier New" w:cs="Courier New" w:eastAsia="Courier New" w:hAnsi="Courier New"/>
          <w:sz w:val="13"/>
          <w:szCs w:val="13"/>
          <w:i w:val="1"/>
          <w:iCs w:val="1"/>
          <w:color w:val="auto"/>
        </w:rPr>
        <w:t xml:space="preserve">Net Gain on Involuntary Conversion. </w:t>
      </w:r>
      <w:r>
        <w:rPr>
          <w:rFonts w:ascii="Courier New" w:cs="Courier New" w:eastAsia="Courier New" w:hAnsi="Courier New"/>
          <w:sz w:val="13"/>
          <w:szCs w:val="13"/>
          <w:color w:val="auto"/>
        </w:rPr>
        <w:t>The Company had a net gain on</w:t>
      </w:r>
      <w:r>
        <w:rPr>
          <w:rFonts w:ascii="Courier New" w:cs="Courier New" w:eastAsia="Courier New" w:hAnsi="Courier New"/>
          <w:sz w:val="13"/>
          <w:szCs w:val="13"/>
          <w:i w:val="1"/>
          <w:iCs w:val="1"/>
          <w:color w:val="auto"/>
        </w:rPr>
        <w:t xml:space="preserve"> </w:t>
      </w:r>
      <w:r>
        <w:rPr>
          <w:rFonts w:ascii="Courier New" w:cs="Courier New" w:eastAsia="Courier New" w:hAnsi="Courier New"/>
          <w:sz w:val="13"/>
          <w:szCs w:val="13"/>
          <w:color w:val="auto"/>
        </w:rPr>
        <w:t>involuntary conversion of $3.9 million in 2001 related to insurance proceeds as a result of the March 12, 2000 fire at the Erwin facility.</w:t>
      </w:r>
    </w:p>
    <w:p>
      <w:pPr>
        <w:spacing w:after="0" w:line="15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i w:val="1"/>
          <w:iCs w:val="1"/>
          <w:color w:val="auto"/>
        </w:rPr>
        <w:t xml:space="preserve">Minority Interest in Consolidated Subsidiary. </w:t>
      </w:r>
      <w:r>
        <w:rPr>
          <w:rFonts w:ascii="Courier New" w:cs="Courier New" w:eastAsia="Courier New" w:hAnsi="Courier New"/>
          <w:sz w:val="13"/>
          <w:szCs w:val="13"/>
          <w:color w:val="auto"/>
        </w:rPr>
        <w:t>Minority interest of</w:t>
      </w:r>
      <w:r>
        <w:rPr>
          <w:rFonts w:ascii="Courier New" w:cs="Courier New" w:eastAsia="Courier New" w:hAnsi="Courier New"/>
          <w:sz w:val="13"/>
          <w:szCs w:val="13"/>
          <w:i w:val="1"/>
          <w:iCs w:val="1"/>
          <w:color w:val="auto"/>
        </w:rPr>
        <w:t xml:space="preserve"> </w:t>
      </w:r>
      <w:r>
        <w:rPr>
          <w:rFonts w:ascii="Courier New" w:cs="Courier New" w:eastAsia="Courier New" w:hAnsi="Courier New"/>
          <w:sz w:val="13"/>
          <w:szCs w:val="13"/>
          <w:color w:val="auto"/>
        </w:rPr>
        <w:t>consolidated subsidiary increased $1.1 million from $0.7 million in 2000 to $1.8 million in 2001. This increase is due entirely to the Euroball joint venture which has been consolidated since its formation, August 1, 2000. The Company is required to consolidate Euroball in its Consolidated Financial Statements due to its majority ownership. The Company owns 54% of the shares of the joint venture with the minority partners owning the remaining 46%. Minority interest in consolidated subsidiary represents the combined 46% interest in Euroball's earnings of the minority partners and the 49% interest in NN Arte's earnings of the minority partners (the 49% interest in NN Arte's earning is zero in 2001 and 2000).</w:t>
      </w:r>
    </w:p>
    <w:p>
      <w:pPr>
        <w:spacing w:after="0" w:line="310" w:lineRule="exact"/>
        <w:rPr>
          <w:sz w:val="20"/>
          <w:szCs w:val="20"/>
          <w:color w:val="auto"/>
        </w:rPr>
      </w:pPr>
    </w:p>
    <w:p>
      <w:pPr>
        <w:ind w:right="4139" w:firstLine="722"/>
        <w:spacing w:after="0" w:line="253" w:lineRule="auto"/>
        <w:rPr>
          <w:sz w:val="20"/>
          <w:szCs w:val="20"/>
          <w:color w:val="auto"/>
        </w:rPr>
      </w:pPr>
      <w:r>
        <w:rPr>
          <w:rFonts w:ascii="Courier New" w:cs="Courier New" w:eastAsia="Courier New" w:hAnsi="Courier New"/>
          <w:sz w:val="13"/>
          <w:szCs w:val="13"/>
          <w:i w:val="1"/>
          <w:iCs w:val="1"/>
          <w:color w:val="auto"/>
        </w:rPr>
        <w:t xml:space="preserve">Net Income. </w:t>
      </w:r>
      <w:r>
        <w:rPr>
          <w:rFonts w:ascii="Courier New" w:cs="Courier New" w:eastAsia="Courier New" w:hAnsi="Courier New"/>
          <w:sz w:val="13"/>
          <w:szCs w:val="13"/>
          <w:color w:val="auto"/>
        </w:rPr>
        <w:t>Net income decreased $5.2 million, or 52.3%, from $10.0</w:t>
      </w:r>
      <w:r>
        <w:rPr>
          <w:rFonts w:ascii="Courier New" w:cs="Courier New" w:eastAsia="Courier New" w:hAnsi="Courier New"/>
          <w:sz w:val="13"/>
          <w:szCs w:val="13"/>
          <w:i w:val="1"/>
          <w:iCs w:val="1"/>
          <w:color w:val="auto"/>
        </w:rPr>
        <w:t xml:space="preserve"> </w:t>
      </w:r>
      <w:r>
        <w:rPr>
          <w:rFonts w:ascii="Courier New" w:cs="Courier New" w:eastAsia="Courier New" w:hAnsi="Courier New"/>
          <w:sz w:val="13"/>
          <w:szCs w:val="13"/>
          <w:color w:val="auto"/>
        </w:rPr>
        <w:t>million in 2000 to $4.7 million in 2001. As a percentage of net sales, net income decreased from 7.6% in 2000 to 2.6% in 2001.</w:t>
      </w:r>
    </w:p>
    <w:p>
      <w:pPr>
        <w:spacing w:after="0" w:line="305"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271145</wp:posOffset>
            </wp:positionV>
            <wp:extent cx="730440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Liquidity and Capital Resources</w:t>
      </w:r>
    </w:p>
    <w:p>
      <w:pPr>
        <w:spacing w:after="0" w:line="16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In July 2000, NN Euroball ApS, and its subsidiaries entered into a loan agreement with HypoVereinsbank Luxembourg S.A. as agent for Bayerische Hypo-und Vereinsbank AG of Munich, Germany for a senior secured revolving credit facility of Euro 5.0 million, expiring on July 15, 2006 and a senior secured term loan facility of Euro 36.0 million, expiring on July 15, 2006. On July 31, 2000, upon closing of the joint venture, NN Euroball ApS borrowed a total of Euro 31.5 million against these facilities for acquisition financing. Additional working capital and capital expenditure financing are provided for under the facility. Amounts outstanding under the facilities accrue interest at a floating rate equal to EURIBOR (2.87% at December 31, 2002) plus an applicable margin of between 0.8% to 2.25% based upon calculated financial ratios. The loan agreement contains various restrictive financial and non financial covenants. Restrictive covenants which specify, among other things, restrictions on the incurrence of indebtedness and the maintenance of certain financial ratios. These facilities also include certain negative pledges. Amounts outstanding under the Facility Agreement are secured by the stock, inventory and accounts receivable of Euroball ApS. Euroball was in compliance with all such covenants at December 31, 2002. At December 31, 2002, Euro 9.8 million was available to Euroball under these facilities.</w:t>
      </w:r>
    </w:p>
    <w:p>
      <w:pPr>
        <w:spacing w:after="0" w:line="312"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On July 20, 2001, the Company entered into a syndicated loan agreement with AmSouth Bank ("AmSouth") as the administrative agent for the lenders, for a senior non-secured revolving credit facility of up to $25 million, expiring on July 25, 2003 and a senior non-secured term loan for $35 million expiring on July 1, 2006. On July 12, 2002, the Company amended this credit facility to convert the term loan portion in to a reducing revolving credit line providing initial availability equivalent to the balance of the term loan prior to the amendment. Amounts available for borrowing under this facility will be reduced by $7.0 million per annum and the facility will expire on July 1, 2006. Additionally, on July 31, 2002, the Company amended the credit facility again to extend the $25 million senior non-secured revolving credit facility to July 25, 2004. Amounts outstanding under the revolving facility and term loan facility bear interest at a floating rate equal to LIBOR (1.38% at December 31, 2002) plus an applicable margin of 0.75% to 2.00% based upon calculated financial ratios. The loan agreement contains customary financial and non-financial covenants. Such covenants specify that the Company must maintain a minimum fixed charge coverage ratio, a minimum funded indebtedness to EBITDA ratio and a maximum funded indebtedness to capitalization ratio and limits the amount of capital expenditures we may make in any fiscal year. The loan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The Company's ownership in NN Euroball ApS has been pledged as collateral. The Company was in compliance with all such covenants as of December 31, 2002.</w:t>
      </w:r>
    </w:p>
    <w:p>
      <w:pPr>
        <w:spacing w:after="0" w:line="313" w:lineRule="exact"/>
        <w:rPr>
          <w:sz w:val="20"/>
          <w:szCs w:val="20"/>
          <w:color w:val="auto"/>
        </w:rPr>
      </w:pPr>
    </w:p>
    <w:p>
      <w:pPr>
        <w:ind w:right="3979" w:firstLine="642"/>
        <w:spacing w:after="0" w:line="252" w:lineRule="auto"/>
        <w:rPr>
          <w:sz w:val="20"/>
          <w:szCs w:val="20"/>
          <w:color w:val="auto"/>
        </w:rPr>
      </w:pPr>
      <w:r>
        <w:rPr>
          <w:rFonts w:ascii="Courier New" w:cs="Courier New" w:eastAsia="Courier New" w:hAnsi="Courier New"/>
          <w:sz w:val="13"/>
          <w:szCs w:val="13"/>
          <w:color w:val="auto"/>
        </w:rPr>
        <w:t>We are in the process of renegotiating our existing credit facilities. We expect to have the new facilities in place early during the second quarter of 2003. Prior to entering into the new loan agreements, we expect to obtain short-term working capital financing from our existing lender of approximately $3.5 million.</w:t>
      </w:r>
    </w:p>
    <w:p>
      <w:pPr>
        <w:spacing w:after="0" w:line="152"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To date, cash generated by Euroball and its subsidiaries has been used exclusively for general Euroball-specific purposes including investments in property, plant and equipment and prepayment of the Euroball senior secured term loan, which is secured by Euroball and its subsidiaries. Accordingly, no dividends have been declared or paid that may have been used by the Company to pay down our domestic credit facilities. While the Company controls the declaration of such dividends, we would only receive cash distributed in accordance with our ownership percentage in Euroball.</w:t>
      </w:r>
    </w:p>
    <w:p>
      <w:pPr>
        <w:spacing w:after="0" w:line="156" w:lineRule="exact"/>
        <w:rPr>
          <w:sz w:val="20"/>
          <w:szCs w:val="20"/>
          <w:color w:val="auto"/>
        </w:rPr>
      </w:pPr>
    </w:p>
    <w:p>
      <w:pPr>
        <w:ind w:left="720"/>
        <w:spacing w:after="0"/>
        <w:rPr>
          <w:sz w:val="20"/>
          <w:szCs w:val="20"/>
          <w:color w:val="auto"/>
        </w:rPr>
      </w:pPr>
      <w:r>
        <w:rPr>
          <w:rFonts w:ascii="Courier New" w:cs="Courier New" w:eastAsia="Courier New" w:hAnsi="Courier New"/>
          <w:sz w:val="13"/>
          <w:szCs w:val="13"/>
          <w:color w:val="auto"/>
        </w:rPr>
        <w:t>The Company's arrangements with its domestic customers typically</w:t>
      </w:r>
    </w:p>
    <w:p>
      <w:pPr>
        <w:sectPr>
          <w:pgSz w:w="11900" w:h="16838" w:orient="portrait"/>
          <w:cols w:equalWidth="0" w:num="1">
            <w:col w:w="10239"/>
          </w:cols>
          <w:pgMar w:left="220" w:top="141" w:right="1440" w:bottom="0" w:gutter="0" w:footer="0" w:header="0"/>
        </w:sectPr>
      </w:pPr>
    </w:p>
    <w:bookmarkStart w:id="16" w:name="page17"/>
    <w:bookmarkEnd w:id="16"/>
    <w:p>
      <w:pPr>
        <w:ind w:right="3819"/>
        <w:spacing w:after="0" w:line="251" w:lineRule="auto"/>
        <w:rPr>
          <w:sz w:val="20"/>
          <w:szCs w:val="20"/>
          <w:color w:val="auto"/>
        </w:rPr>
      </w:pPr>
      <w:r>
        <w:rPr>
          <w:rFonts w:ascii="Courier New" w:cs="Courier New" w:eastAsia="Courier New" w:hAnsi="Courier New"/>
          <w:sz w:val="13"/>
          <w:szCs w:val="13"/>
          <w:color w:val="auto"/>
        </w:rPr>
        <w:t>provide that payments are due within 30 days following the date of the Company's shipment of goods, while arrangements with foreign customers (other than foreign customers that have entered into an inventory management program with the Company) generally provide that payments are due within 90 or 120 days following the date of shipment. Under the Domestic Ball and Roller Segments inventory management program with certain European customers, payments typically are due within 30 days after the customer uses the product. The Company's sales and receivables can be influenced by seasonality due to the Company's relative percentage of European business coupled with many foreign customers ceasing production during the month of August. For information concerning the Company's quarterly results of operations for the years ended December 31, 2002 and 2001, see Note 15 of the Notes to Consolidated Financial Statements.</w:t>
      </w:r>
    </w:p>
    <w:p>
      <w:pPr>
        <w:spacing w:after="0" w:line="157"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The Company bills and receives payment from some of its foreign customers in Euro as well as other currencies. To date, the Company has not been materially adversely affected by currency fluctuations or foreign exchange restrictions. Nonetheless, as a result of these sales, the Company's foreign exchange transaction and translation risk has increased. Various strategies to manage this risk are available to management including producing and selling in local currencies and hedging programs. As of December 31, 2002, no currency hedges were in place. In addition, a strengthening of the U.S.</w:t>
      </w:r>
    </w:p>
    <w:p>
      <w:pPr>
        <w:spacing w:after="0" w:line="310"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4059"/>
        <w:spacing w:after="0" w:line="253" w:lineRule="auto"/>
        <w:rPr>
          <w:sz w:val="20"/>
          <w:szCs w:val="20"/>
          <w:color w:val="auto"/>
        </w:rPr>
      </w:pPr>
      <w:r>
        <w:rPr>
          <w:rFonts w:ascii="Courier New" w:cs="Courier New" w:eastAsia="Courier New" w:hAnsi="Courier New"/>
          <w:sz w:val="13"/>
          <w:szCs w:val="13"/>
          <w:color w:val="auto"/>
        </w:rPr>
        <w:t>dollar and/or Euro against foreign currencies could impair the ability of the Company to compete with international competitors for foreign as well as domestic sales.</w:t>
      </w:r>
    </w:p>
    <w:p>
      <w:pPr>
        <w:spacing w:after="0" w:line="151" w:lineRule="exact"/>
        <w:rPr>
          <w:sz w:val="20"/>
          <w:szCs w:val="20"/>
          <w:color w:val="auto"/>
        </w:rPr>
      </w:pPr>
    </w:p>
    <w:p>
      <w:pPr>
        <w:ind w:right="3819" w:firstLine="722"/>
        <w:spacing w:after="0" w:line="252" w:lineRule="auto"/>
        <w:rPr>
          <w:sz w:val="20"/>
          <w:szCs w:val="20"/>
          <w:color w:val="auto"/>
        </w:rPr>
      </w:pPr>
      <w:r>
        <w:rPr>
          <w:rFonts w:ascii="Courier New" w:cs="Courier New" w:eastAsia="Courier New" w:hAnsi="Courier New"/>
          <w:sz w:val="13"/>
          <w:szCs w:val="13"/>
          <w:color w:val="auto"/>
        </w:rPr>
        <w:t>Working capital, which consists principally of accounts receivable and inventories, was $21.2 million at December 31, 2002 as compared to $23.1 million at December 31, 2001. The ratio of current assets to current liabilities decreased from 1.71:1 at December 31, 2001 to 1.53:1 at December 31, 2002. Cash flow from operations increased to $31.1 million during 2002 from $24.6 million during 2001.</w:t>
      </w:r>
    </w:p>
    <w:p>
      <w:pPr>
        <w:spacing w:after="0" w:line="306" w:lineRule="exact"/>
        <w:rPr>
          <w:sz w:val="20"/>
          <w:szCs w:val="20"/>
          <w:color w:val="auto"/>
        </w:rPr>
      </w:pPr>
    </w:p>
    <w:p>
      <w:pPr>
        <w:ind w:right="3819" w:firstLine="802"/>
        <w:spacing w:after="0" w:line="251" w:lineRule="auto"/>
        <w:rPr>
          <w:sz w:val="20"/>
          <w:szCs w:val="20"/>
          <w:color w:val="auto"/>
        </w:rPr>
      </w:pPr>
      <w:r>
        <w:rPr>
          <w:rFonts w:ascii="Courier New" w:cs="Courier New" w:eastAsia="Courier New" w:hAnsi="Courier New"/>
          <w:sz w:val="13"/>
          <w:szCs w:val="13"/>
          <w:color w:val="auto"/>
        </w:rPr>
        <w:t>During 2003, the Company plans to spend approximately $9.4 million on capital expenditures related primarily to equipment and process upgrades and replacements. The Company intends to finance these activities with cash generated from operations and funds available under our credit facilities, which are in the process of renegotiation. The Company believes that funds generated from operations and borrowings from the renegotiated credit facilities will be sufficient to finance the Company's working capital needs and projected capital expenditure requirements through December 2003.</w:t>
      </w:r>
    </w:p>
    <w:p>
      <w:pPr>
        <w:spacing w:after="0" w:line="156"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Beginning in January 2003 SKF may exercise its right under the Shareholders Agreement to cause the Company to purchase its interest in Euroball based on the Put Formula in the Shareholders Agreement. The Company anticipates that if such purchase becomes necessary, it may need to borrow additional funds. Because the purchase price is based on a formula using Euroball's historical earnings and cash flow, the exact amount of the put cannot be determined until</w:t>
      </w:r>
    </w:p>
    <w:p>
      <w:pPr>
        <w:spacing w:after="0" w:line="1" w:lineRule="exact"/>
        <w:rPr>
          <w:sz w:val="20"/>
          <w:szCs w:val="20"/>
          <w:color w:val="auto"/>
        </w:rPr>
      </w:pPr>
    </w:p>
    <w:p>
      <w:pPr>
        <w:ind w:right="3339"/>
        <w:spacing w:after="0" w:line="254" w:lineRule="auto"/>
        <w:rPr>
          <w:sz w:val="20"/>
          <w:szCs w:val="20"/>
          <w:color w:val="auto"/>
        </w:rPr>
      </w:pPr>
      <w:r>
        <w:rPr>
          <w:rFonts w:ascii="Courier New" w:cs="Courier New" w:eastAsia="Courier New" w:hAnsi="Courier New"/>
          <w:sz w:val="13"/>
          <w:szCs w:val="13"/>
          <w:color w:val="auto"/>
        </w:rPr>
        <w:t>the put right is exercised. SKF has informed us that it intends to exercise its right and we expect to purchase its interest during the second quarter of 2003.</w:t>
      </w:r>
    </w:p>
    <w:p>
      <w:pPr>
        <w:spacing w:after="0" w:line="151" w:lineRule="exact"/>
        <w:rPr>
          <w:sz w:val="20"/>
          <w:szCs w:val="20"/>
          <w:color w:val="auto"/>
        </w:rPr>
      </w:pPr>
    </w:p>
    <w:p>
      <w:pPr>
        <w:ind w:right="4379" w:firstLine="802"/>
        <w:spacing w:after="0" w:line="254" w:lineRule="auto"/>
        <w:rPr>
          <w:sz w:val="20"/>
          <w:szCs w:val="20"/>
          <w:color w:val="auto"/>
        </w:rPr>
      </w:pPr>
      <w:r>
        <w:rPr>
          <w:rFonts w:ascii="Courier New" w:cs="Courier New" w:eastAsia="Courier New" w:hAnsi="Courier New"/>
          <w:sz w:val="13"/>
          <w:szCs w:val="13"/>
          <w:color w:val="auto"/>
        </w:rPr>
        <w:t>The table below sets forth certain of the Company's contractual obligations and commercial commitments as of December 31, 2002:</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w:t>
      </w:r>
    </w:p>
    <w:p>
      <w:pPr>
        <w:spacing w:after="0" w:line="7" w:lineRule="exact"/>
        <w:rPr>
          <w:sz w:val="20"/>
          <w:szCs w:val="20"/>
          <w:color w:val="auto"/>
        </w:rPr>
      </w:pPr>
    </w:p>
    <w:p>
      <w:pPr>
        <w:ind w:left="80" w:right="3979" w:firstLine="642"/>
        <w:spacing w:after="0" w:line="247" w:lineRule="auto"/>
        <w:rPr>
          <w:sz w:val="20"/>
          <w:szCs w:val="20"/>
          <w:color w:val="auto"/>
        </w:rPr>
      </w:pPr>
      <w:r>
        <w:rPr>
          <w:rFonts w:ascii="Courier New" w:cs="Courier New" w:eastAsia="Courier New" w:hAnsi="Courier New"/>
          <w:sz w:val="13"/>
          <w:szCs w:val="13"/>
          <w:color w:val="auto"/>
        </w:rPr>
        <w:t>Certain Payments Due by Period Contractual Obligations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00" w:type="dxa"/>
            <w:vAlign w:val="bottom"/>
          </w:tcPr>
          <w:p>
            <w:pPr>
              <w:spacing w:after="0"/>
              <w:rPr>
                <w:sz w:val="12"/>
                <w:szCs w:val="12"/>
                <w:color w:val="auto"/>
              </w:rPr>
            </w:pPr>
          </w:p>
        </w:tc>
        <w:tc>
          <w:tcPr>
            <w:tcW w:w="1380" w:type="dxa"/>
            <w:vAlign w:val="bottom"/>
            <w:gridSpan w:val="2"/>
          </w:tcPr>
          <w:p>
            <w:pPr>
              <w:jc w:val="right"/>
              <w:ind w:right="473"/>
              <w:spacing w:after="0"/>
              <w:rPr>
                <w:sz w:val="20"/>
                <w:szCs w:val="20"/>
                <w:color w:val="auto"/>
              </w:rPr>
            </w:pPr>
            <w:r>
              <w:rPr>
                <w:rFonts w:ascii="Courier New" w:cs="Courier New" w:eastAsia="Courier New" w:hAnsi="Courier New"/>
                <w:sz w:val="13"/>
                <w:szCs w:val="13"/>
                <w:color w:val="auto"/>
              </w:rPr>
              <w:t>Total</w:t>
            </w:r>
          </w:p>
        </w:tc>
        <w:tc>
          <w:tcPr>
            <w:tcW w:w="1280" w:type="dxa"/>
            <w:vAlign w:val="bottom"/>
            <w:gridSpan w:val="2"/>
          </w:tcPr>
          <w:p>
            <w:pPr>
              <w:jc w:val="center"/>
              <w:ind w:right="93"/>
              <w:spacing w:after="0"/>
              <w:rPr>
                <w:sz w:val="20"/>
                <w:szCs w:val="20"/>
                <w:color w:val="auto"/>
              </w:rPr>
            </w:pPr>
            <w:r>
              <w:rPr>
                <w:rFonts w:ascii="Courier New" w:cs="Courier New" w:eastAsia="Courier New" w:hAnsi="Courier New"/>
                <w:sz w:val="13"/>
                <w:szCs w:val="13"/>
                <w:color w:val="auto"/>
              </w:rPr>
              <w:t>Less than 1</w:t>
            </w:r>
          </w:p>
        </w:tc>
        <w:tc>
          <w:tcPr>
            <w:tcW w:w="132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1-3 years</w:t>
            </w:r>
          </w:p>
        </w:tc>
        <w:tc>
          <w:tcPr>
            <w:tcW w:w="124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4-5 years</w:t>
            </w:r>
          </w:p>
        </w:tc>
        <w:tc>
          <w:tcPr>
            <w:tcW w:w="124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After 5 years</w:t>
            </w:r>
          </w:p>
        </w:tc>
      </w:tr>
      <w:tr>
        <w:trPr>
          <w:trHeight w:val="154"/>
        </w:trPr>
        <w:tc>
          <w:tcPr>
            <w:tcW w:w="2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80" w:type="dxa"/>
            <w:vAlign w:val="bottom"/>
            <w:gridSpan w:val="2"/>
          </w:tcPr>
          <w:p>
            <w:pPr>
              <w:jc w:val="right"/>
              <w:ind w:right="533"/>
              <w:spacing w:after="0"/>
              <w:rPr>
                <w:sz w:val="20"/>
                <w:szCs w:val="20"/>
                <w:color w:val="auto"/>
              </w:rPr>
            </w:pPr>
            <w:r>
              <w:rPr>
                <w:rFonts w:ascii="Courier New" w:cs="Courier New" w:eastAsia="Courier New" w:hAnsi="Courier New"/>
                <w:sz w:val="13"/>
                <w:szCs w:val="13"/>
                <w:color w:val="auto"/>
              </w:rPr>
              <w:t>year</w:t>
            </w:r>
          </w:p>
        </w:tc>
        <w:tc>
          <w:tcPr>
            <w:tcW w:w="1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154"/>
        </w:trPr>
        <w:tc>
          <w:tcPr>
            <w:tcW w:w="7420" w:type="dxa"/>
            <w:vAlign w:val="bottom"/>
            <w:gridSpan w:val="7"/>
          </w:tcPr>
          <w:p>
            <w:pPr>
              <w:spacing w:after="0"/>
              <w:rPr>
                <w:sz w:val="20"/>
                <w:szCs w:val="20"/>
                <w:color w:val="auto"/>
              </w:rPr>
            </w:pPr>
            <w:r>
              <w:rPr>
                <w:rFonts w:ascii="Courier New" w:cs="Courier New" w:eastAsia="Courier New" w:hAnsi="Courier New"/>
                <w:sz w:val="13"/>
                <w:szCs w:val="13"/>
                <w:color w:val="auto"/>
              </w:rPr>
              <w:t>=========================== ================ ============== ================ ===============</w:t>
            </w:r>
          </w:p>
        </w:tc>
        <w:tc>
          <w:tcPr>
            <w:tcW w:w="124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w:t>
            </w:r>
          </w:p>
        </w:tc>
      </w:tr>
      <w:tr>
        <w:trPr>
          <w:trHeight w:val="154"/>
        </w:trPr>
        <w:tc>
          <w:tcPr>
            <w:tcW w:w="2200" w:type="dxa"/>
            <w:vAlign w:val="bottom"/>
          </w:tcPr>
          <w:p>
            <w:pPr>
              <w:spacing w:after="0"/>
              <w:rPr>
                <w:sz w:val="20"/>
                <w:szCs w:val="20"/>
                <w:color w:val="auto"/>
              </w:rPr>
            </w:pPr>
            <w:r>
              <w:rPr>
                <w:rFonts w:ascii="Courier New" w:cs="Courier New" w:eastAsia="Courier New" w:hAnsi="Courier New"/>
                <w:sz w:val="13"/>
                <w:szCs w:val="13"/>
                <w:color w:val="auto"/>
              </w:rPr>
              <w:t>Long-Term Debt</w:t>
            </w:r>
          </w:p>
        </w:tc>
        <w:tc>
          <w:tcPr>
            <w:tcW w:w="6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7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46,135</w:t>
            </w:r>
          </w:p>
        </w:tc>
        <w:tc>
          <w:tcPr>
            <w:tcW w:w="600" w:type="dxa"/>
            <w:vAlign w:val="bottom"/>
          </w:tcPr>
          <w:p>
            <w:pPr>
              <w:jc w:val="center"/>
              <w:ind w:left="453"/>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13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$39,063</w:t>
            </w:r>
          </w:p>
        </w:tc>
        <w:tc>
          <w:tcPr>
            <w:tcW w:w="12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$7,072</w:t>
            </w:r>
          </w:p>
        </w:tc>
        <w:tc>
          <w:tcPr>
            <w:tcW w:w="800" w:type="dxa"/>
            <w:vAlign w:val="bottom"/>
          </w:tcPr>
          <w:p>
            <w:pPr>
              <w:ind w:left="520"/>
              <w:spacing w:after="0"/>
              <w:rPr>
                <w:sz w:val="20"/>
                <w:szCs w:val="20"/>
                <w:color w:val="auto"/>
              </w:rPr>
            </w:pPr>
            <w:r>
              <w:rPr>
                <w:rFonts w:ascii="Courier New" w:cs="Courier New" w:eastAsia="Courier New" w:hAnsi="Courier New"/>
                <w:sz w:val="13"/>
                <w:szCs w:val="13"/>
                <w:color w:val="auto"/>
              </w:rPr>
              <w:t>$</w:t>
            </w:r>
          </w:p>
        </w:tc>
        <w:tc>
          <w:tcPr>
            <w:tcW w:w="4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r>
      <w:tr>
        <w:trPr>
          <w:trHeight w:val="154"/>
        </w:trPr>
        <w:tc>
          <w:tcPr>
            <w:tcW w:w="7420" w:type="dxa"/>
            <w:vAlign w:val="bottom"/>
            <w:gridSpan w:val="7"/>
          </w:tcPr>
          <w:p>
            <w:pPr>
              <w:spacing w:after="0"/>
              <w:rPr>
                <w:sz w:val="20"/>
                <w:szCs w:val="20"/>
                <w:color w:val="auto"/>
              </w:rPr>
            </w:pPr>
            <w:r>
              <w:rPr>
                <w:rFonts w:ascii="Courier New" w:cs="Courier New" w:eastAsia="Courier New" w:hAnsi="Courier New"/>
                <w:sz w:val="13"/>
                <w:szCs w:val="13"/>
                <w:color w:val="auto"/>
              </w:rPr>
              <w:t>=========================== ================ ============== ================ ===============</w:t>
            </w:r>
          </w:p>
        </w:tc>
        <w:tc>
          <w:tcPr>
            <w:tcW w:w="124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w:t>
            </w:r>
          </w:p>
        </w:tc>
      </w:tr>
      <w:tr>
        <w:trPr>
          <w:trHeight w:val="154"/>
        </w:trPr>
        <w:tc>
          <w:tcPr>
            <w:tcW w:w="2200" w:type="dxa"/>
            <w:vAlign w:val="bottom"/>
          </w:tcPr>
          <w:p>
            <w:pPr>
              <w:spacing w:after="0"/>
              <w:rPr>
                <w:sz w:val="20"/>
                <w:szCs w:val="20"/>
                <w:color w:val="auto"/>
              </w:rPr>
            </w:pPr>
            <w:r>
              <w:rPr>
                <w:rFonts w:ascii="Courier New" w:cs="Courier New" w:eastAsia="Courier New" w:hAnsi="Courier New"/>
                <w:sz w:val="13"/>
                <w:szCs w:val="13"/>
                <w:color w:val="auto"/>
              </w:rPr>
              <w:t>Operating Leases</w:t>
            </w:r>
          </w:p>
        </w:tc>
        <w:tc>
          <w:tcPr>
            <w:tcW w:w="6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7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17,772</w:t>
            </w:r>
          </w:p>
        </w:tc>
        <w:tc>
          <w:tcPr>
            <w:tcW w:w="600" w:type="dxa"/>
            <w:vAlign w:val="bottom"/>
          </w:tcPr>
          <w:p>
            <w:pPr>
              <w:jc w:val="center"/>
              <w:ind w:left="453"/>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1,422</w:t>
            </w:r>
          </w:p>
        </w:tc>
        <w:tc>
          <w:tcPr>
            <w:tcW w:w="13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$ 2,486</w:t>
            </w:r>
          </w:p>
        </w:tc>
        <w:tc>
          <w:tcPr>
            <w:tcW w:w="12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$1,952</w:t>
            </w:r>
          </w:p>
        </w:tc>
        <w:tc>
          <w:tcPr>
            <w:tcW w:w="124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$ 11,912</w:t>
            </w:r>
          </w:p>
        </w:tc>
      </w:tr>
      <w:tr>
        <w:trPr>
          <w:trHeight w:val="154"/>
        </w:trPr>
        <w:tc>
          <w:tcPr>
            <w:tcW w:w="7420" w:type="dxa"/>
            <w:vAlign w:val="bottom"/>
            <w:gridSpan w:val="7"/>
          </w:tcPr>
          <w:p>
            <w:pPr>
              <w:spacing w:after="0"/>
              <w:rPr>
                <w:sz w:val="20"/>
                <w:szCs w:val="20"/>
                <w:color w:val="auto"/>
              </w:rPr>
            </w:pPr>
            <w:r>
              <w:rPr>
                <w:rFonts w:ascii="Courier New" w:cs="Courier New" w:eastAsia="Courier New" w:hAnsi="Courier New"/>
                <w:sz w:val="13"/>
                <w:szCs w:val="13"/>
                <w:color w:val="auto"/>
              </w:rPr>
              <w:t>=========================== ================ ============== ================ ===============</w:t>
            </w:r>
          </w:p>
        </w:tc>
        <w:tc>
          <w:tcPr>
            <w:tcW w:w="124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w:t>
            </w:r>
          </w:p>
        </w:tc>
      </w:tr>
      <w:tr>
        <w:trPr>
          <w:trHeight w:val="154"/>
        </w:trPr>
        <w:tc>
          <w:tcPr>
            <w:tcW w:w="2200" w:type="dxa"/>
            <w:vAlign w:val="bottom"/>
          </w:tcPr>
          <w:p>
            <w:pPr>
              <w:spacing w:after="0"/>
              <w:rPr>
                <w:sz w:val="20"/>
                <w:szCs w:val="20"/>
                <w:color w:val="auto"/>
              </w:rPr>
            </w:pPr>
            <w:r>
              <w:rPr>
                <w:rFonts w:ascii="Courier New" w:cs="Courier New" w:eastAsia="Courier New" w:hAnsi="Courier New"/>
                <w:sz w:val="13"/>
                <w:szCs w:val="13"/>
                <w:color w:val="auto"/>
              </w:rPr>
              <w:t>Other Long-Term</w:t>
            </w: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154"/>
        </w:trPr>
        <w:tc>
          <w:tcPr>
            <w:tcW w:w="2200" w:type="dxa"/>
            <w:vAlign w:val="bottom"/>
          </w:tcPr>
          <w:p>
            <w:pPr>
              <w:spacing w:after="0"/>
              <w:rPr>
                <w:sz w:val="20"/>
                <w:szCs w:val="20"/>
                <w:color w:val="auto"/>
              </w:rPr>
            </w:pPr>
            <w:r>
              <w:rPr>
                <w:rFonts w:ascii="Courier New" w:cs="Courier New" w:eastAsia="Courier New" w:hAnsi="Courier New"/>
                <w:sz w:val="13"/>
                <w:szCs w:val="13"/>
                <w:color w:val="auto"/>
              </w:rPr>
              <w:t>Obligations</w:t>
            </w:r>
          </w:p>
        </w:tc>
        <w:tc>
          <w:tcPr>
            <w:tcW w:w="6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7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62,180</w:t>
            </w:r>
          </w:p>
        </w:tc>
        <w:tc>
          <w:tcPr>
            <w:tcW w:w="600" w:type="dxa"/>
            <w:vAlign w:val="bottom"/>
          </w:tcPr>
          <w:p>
            <w:pPr>
              <w:jc w:val="center"/>
              <w:ind w:left="453"/>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jc w:val="right"/>
              <w:ind w:right="133"/>
              <w:spacing w:after="0"/>
              <w:rPr>
                <w:sz w:val="20"/>
                <w:szCs w:val="20"/>
                <w:color w:val="auto"/>
              </w:rPr>
            </w:pPr>
            <w:r>
              <w:rPr>
                <w:rFonts w:ascii="Courier New" w:cs="Courier New" w:eastAsia="Courier New" w:hAnsi="Courier New"/>
                <w:sz w:val="13"/>
                <w:szCs w:val="13"/>
                <w:color w:val="auto"/>
                <w:w w:val="98"/>
              </w:rPr>
              <w:t>21,615</w:t>
            </w:r>
          </w:p>
        </w:tc>
        <w:tc>
          <w:tcPr>
            <w:tcW w:w="13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$40,565</w:t>
            </w:r>
          </w:p>
        </w:tc>
        <w:tc>
          <w:tcPr>
            <w:tcW w:w="12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  --</w:t>
            </w:r>
          </w:p>
        </w:tc>
        <w:tc>
          <w:tcPr>
            <w:tcW w:w="800" w:type="dxa"/>
            <w:vAlign w:val="bottom"/>
          </w:tcPr>
          <w:p>
            <w:pPr>
              <w:ind w:left="520"/>
              <w:spacing w:after="0"/>
              <w:rPr>
                <w:sz w:val="20"/>
                <w:szCs w:val="20"/>
                <w:color w:val="auto"/>
              </w:rPr>
            </w:pPr>
            <w:r>
              <w:rPr>
                <w:rFonts w:ascii="Courier New" w:cs="Courier New" w:eastAsia="Courier New" w:hAnsi="Courier New"/>
                <w:sz w:val="13"/>
                <w:szCs w:val="13"/>
                <w:color w:val="auto"/>
              </w:rPr>
              <w:t>$</w:t>
            </w:r>
          </w:p>
        </w:tc>
        <w:tc>
          <w:tcPr>
            <w:tcW w:w="4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r>
      <w:tr>
        <w:trPr>
          <w:trHeight w:val="154"/>
        </w:trPr>
        <w:tc>
          <w:tcPr>
            <w:tcW w:w="7420" w:type="dxa"/>
            <w:vAlign w:val="bottom"/>
            <w:gridSpan w:val="7"/>
          </w:tcPr>
          <w:p>
            <w:pPr>
              <w:spacing w:after="0"/>
              <w:rPr>
                <w:sz w:val="20"/>
                <w:szCs w:val="20"/>
                <w:color w:val="auto"/>
              </w:rPr>
            </w:pPr>
            <w:r>
              <w:rPr>
                <w:rFonts w:ascii="Courier New" w:cs="Courier New" w:eastAsia="Courier New" w:hAnsi="Courier New"/>
                <w:sz w:val="13"/>
                <w:szCs w:val="13"/>
                <w:color w:val="auto"/>
              </w:rPr>
              <w:t>=========================== ================ ============== ================ ===============</w:t>
            </w:r>
          </w:p>
        </w:tc>
        <w:tc>
          <w:tcPr>
            <w:tcW w:w="124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w:t>
            </w:r>
          </w:p>
        </w:tc>
      </w:tr>
      <w:tr>
        <w:trPr>
          <w:trHeight w:val="154"/>
        </w:trPr>
        <w:tc>
          <w:tcPr>
            <w:tcW w:w="2200" w:type="dxa"/>
            <w:vAlign w:val="bottom"/>
          </w:tcPr>
          <w:p>
            <w:pPr>
              <w:spacing w:after="0"/>
              <w:rPr>
                <w:sz w:val="20"/>
                <w:szCs w:val="20"/>
                <w:color w:val="auto"/>
              </w:rPr>
            </w:pPr>
            <w:r>
              <w:rPr>
                <w:rFonts w:ascii="Courier New" w:cs="Courier New" w:eastAsia="Courier New" w:hAnsi="Courier New"/>
                <w:sz w:val="13"/>
                <w:szCs w:val="13"/>
                <w:color w:val="auto"/>
              </w:rPr>
              <w:t>Total Contractual Cash</w:t>
            </w:r>
          </w:p>
        </w:tc>
        <w:tc>
          <w:tcPr>
            <w:tcW w:w="6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7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126,087</w:t>
            </w:r>
          </w:p>
        </w:tc>
        <w:tc>
          <w:tcPr>
            <w:tcW w:w="600" w:type="dxa"/>
            <w:vAlign w:val="bottom"/>
          </w:tcPr>
          <w:p>
            <w:pPr>
              <w:jc w:val="center"/>
              <w:ind w:left="453"/>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jc w:val="right"/>
              <w:ind w:right="133"/>
              <w:spacing w:after="0"/>
              <w:rPr>
                <w:sz w:val="20"/>
                <w:szCs w:val="20"/>
                <w:color w:val="auto"/>
              </w:rPr>
            </w:pPr>
            <w:r>
              <w:rPr>
                <w:rFonts w:ascii="Courier New" w:cs="Courier New" w:eastAsia="Courier New" w:hAnsi="Courier New"/>
                <w:sz w:val="13"/>
                <w:szCs w:val="13"/>
                <w:color w:val="auto"/>
                <w:w w:val="98"/>
              </w:rPr>
              <w:t>23,037</w:t>
            </w:r>
          </w:p>
        </w:tc>
        <w:tc>
          <w:tcPr>
            <w:tcW w:w="13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$82,114</w:t>
            </w:r>
          </w:p>
        </w:tc>
        <w:tc>
          <w:tcPr>
            <w:tcW w:w="12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$9,024</w:t>
            </w:r>
          </w:p>
        </w:tc>
        <w:tc>
          <w:tcPr>
            <w:tcW w:w="124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$ 11,912</w:t>
            </w:r>
          </w:p>
        </w:tc>
      </w:tr>
      <w:tr>
        <w:trPr>
          <w:trHeight w:val="154"/>
        </w:trPr>
        <w:tc>
          <w:tcPr>
            <w:tcW w:w="2200" w:type="dxa"/>
            <w:vAlign w:val="bottom"/>
          </w:tcPr>
          <w:p>
            <w:pPr>
              <w:spacing w:after="0"/>
              <w:rPr>
                <w:sz w:val="20"/>
                <w:szCs w:val="20"/>
                <w:color w:val="auto"/>
              </w:rPr>
            </w:pPr>
            <w:r>
              <w:rPr>
                <w:rFonts w:ascii="Courier New" w:cs="Courier New" w:eastAsia="Courier New" w:hAnsi="Courier New"/>
                <w:sz w:val="13"/>
                <w:szCs w:val="13"/>
                <w:color w:val="auto"/>
              </w:rPr>
              <w:t>Obligations</w:t>
            </w: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154"/>
        </w:trPr>
        <w:tc>
          <w:tcPr>
            <w:tcW w:w="7420" w:type="dxa"/>
            <w:vAlign w:val="bottom"/>
            <w:gridSpan w:val="7"/>
          </w:tcPr>
          <w:p>
            <w:pPr>
              <w:spacing w:after="0"/>
              <w:rPr>
                <w:sz w:val="20"/>
                <w:szCs w:val="20"/>
                <w:color w:val="auto"/>
              </w:rPr>
            </w:pPr>
            <w:r>
              <w:rPr>
                <w:rFonts w:ascii="Courier New" w:cs="Courier New" w:eastAsia="Courier New" w:hAnsi="Courier New"/>
                <w:sz w:val="13"/>
                <w:szCs w:val="13"/>
                <w:color w:val="auto"/>
              </w:rPr>
              <w:t>=========================== ================ ============== ================ ===============</w:t>
            </w:r>
          </w:p>
        </w:tc>
        <w:tc>
          <w:tcPr>
            <w:tcW w:w="124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w:t>
            </w:r>
          </w:p>
        </w:tc>
      </w:tr>
    </w:tbl>
    <w:p>
      <w:pPr>
        <w:spacing w:after="0" w:line="159" w:lineRule="exact"/>
        <w:rPr>
          <w:sz w:val="20"/>
          <w:szCs w:val="20"/>
          <w:color w:val="auto"/>
        </w:rPr>
      </w:pPr>
    </w:p>
    <w:p>
      <w:pPr>
        <w:ind w:right="4059" w:firstLine="722"/>
        <w:spacing w:after="0" w:line="253" w:lineRule="auto"/>
        <w:rPr>
          <w:sz w:val="20"/>
          <w:szCs w:val="20"/>
          <w:color w:val="auto"/>
        </w:rPr>
      </w:pPr>
      <w:r>
        <w:rPr>
          <w:rFonts w:ascii="Courier New" w:cs="Courier New" w:eastAsia="Courier New" w:hAnsi="Courier New"/>
          <w:sz w:val="13"/>
          <w:szCs w:val="13"/>
          <w:color w:val="auto"/>
        </w:rPr>
        <w:t>Other Long-Term Obligations consist principally of steel purchase commitments at the Euroball Segment (See Note 14 of the Notes to Consolidated Financial Statements.)</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The Euro</w:t>
      </w:r>
    </w:p>
    <w:p>
      <w:pPr>
        <w:spacing w:after="0" w:line="161" w:lineRule="exact"/>
        <w:rPr>
          <w:sz w:val="20"/>
          <w:szCs w:val="20"/>
          <w:color w:val="auto"/>
        </w:rPr>
      </w:pPr>
    </w:p>
    <w:p>
      <w:pPr>
        <w:ind w:right="3819" w:firstLine="722"/>
        <w:spacing w:after="0" w:line="252" w:lineRule="auto"/>
        <w:rPr>
          <w:sz w:val="20"/>
          <w:szCs w:val="20"/>
          <w:color w:val="auto"/>
        </w:rPr>
      </w:pPr>
      <w:r>
        <w:rPr>
          <w:rFonts w:ascii="Courier New" w:cs="Courier New" w:eastAsia="Courier New" w:hAnsi="Courier New"/>
          <w:sz w:val="13"/>
          <w:szCs w:val="13"/>
          <w:color w:val="auto"/>
        </w:rPr>
        <w:t>The Company currently has operations in Ireland, Germany and Italy, all of which are Euro participating countries, and, each facility sells product to customers in many of the participating countries. The Euro has been adopted as the functional currency at all of Euroball's locations.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Seasonality and Fluctuation in Quarterly Results</w:t>
      </w:r>
    </w:p>
    <w:p>
      <w:pPr>
        <w:spacing w:after="0" w:line="16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The Company's net sales historically have been seasonal in nature, due to a significant portion of the Company's sales being to European customers that cease or significantly slow production during the month of August. For information concerning the Company's quarterly results of operations for the years ended December 31, 2002 and 2001, see Note 14 of the Notes to Consolidated Financial Statements.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Inflation and Changes in Prices</w:t>
      </w:r>
    </w:p>
    <w:p>
      <w:pPr>
        <w:spacing w:after="0" w:line="16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While the Company's operations have not been materially affected by inflation during recent years, prices for 52100 Steel, engineered resins and other raw materials purchased by the Company are subject to material change. For example, during 1995, due to an increase in worldwide demand for 52100 Steel and the decrease in the value of the United States dollar relative to foreign currencies, the Company experienced an increase in the price of 52100 Steel and some difficulty in obtaining an adequate supply of 52100 Steel from its existing suppliers. In the Company's U.S. operations our typical pricing arrangements</w:t>
      </w:r>
    </w:p>
    <w:p>
      <w:pPr>
        <w:sectPr>
          <w:pgSz w:w="11900" w:h="16838" w:orient="portrait"/>
          <w:cols w:equalWidth="0" w:num="1">
            <w:col w:w="10239"/>
          </w:cols>
          <w:pgMar w:left="220" w:top="141" w:right="1440" w:bottom="0" w:gutter="0" w:footer="0" w:header="0"/>
        </w:sectPr>
      </w:pPr>
    </w:p>
    <w:bookmarkStart w:id="17" w:name="page18"/>
    <w:bookmarkEnd w:id="17"/>
    <w:p>
      <w:pPr>
        <w:ind w:right="4379"/>
        <w:spacing w:after="0" w:line="254" w:lineRule="auto"/>
        <w:rPr>
          <w:sz w:val="20"/>
          <w:szCs w:val="20"/>
          <w:color w:val="auto"/>
        </w:rPr>
      </w:pPr>
      <w:r>
        <w:rPr>
          <w:rFonts w:ascii="Courier New" w:cs="Courier New" w:eastAsia="Courier New" w:hAnsi="Courier New"/>
          <w:sz w:val="13"/>
          <w:szCs w:val="13"/>
          <w:color w:val="auto"/>
        </w:rPr>
        <w:t>with steel suppliers are subject to adjustment once every six months. The Company's Euroball</w:t>
      </w:r>
    </w:p>
    <w:p>
      <w:pPr>
        <w:spacing w:after="0" w:line="151"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3979"/>
        <w:spacing w:after="0" w:line="251" w:lineRule="auto"/>
        <w:rPr>
          <w:sz w:val="20"/>
          <w:szCs w:val="20"/>
          <w:color w:val="auto"/>
        </w:rPr>
      </w:pPr>
      <w:r>
        <w:rPr>
          <w:rFonts w:ascii="Courier New" w:cs="Courier New" w:eastAsia="Courier New" w:hAnsi="Courier New"/>
          <w:sz w:val="13"/>
          <w:szCs w:val="13"/>
          <w:color w:val="auto"/>
        </w:rPr>
        <w:t>Segment has entered into long term agreements with its primary steel supplier which provide for standard terms and conditions and annual pricing adjustments to offset material price fluctuations in steel. The Company typically reserves the right to increase product prices periodically in the event of increases in its raw material costs. In the past, the Company has been able to minimize the impact on its operations resulting from the 52100 Steel price fluctuations by taking such</w:t>
      </w:r>
    </w:p>
    <w:p>
      <w:pPr>
        <w:spacing w:after="0" w:line="156" w:lineRule="exact"/>
        <w:rPr>
          <w:sz w:val="20"/>
          <w:szCs w:val="20"/>
          <w:color w:val="auto"/>
        </w:rPr>
      </w:pPr>
    </w:p>
    <w:p>
      <w:pPr>
        <w:ind w:right="3819"/>
        <w:spacing w:after="0" w:line="252" w:lineRule="auto"/>
        <w:rPr>
          <w:sz w:val="20"/>
          <w:szCs w:val="20"/>
          <w:color w:val="auto"/>
        </w:rPr>
      </w:pPr>
      <w:r>
        <w:rPr>
          <w:rFonts w:ascii="Courier New" w:cs="Courier New" w:eastAsia="Courier New" w:hAnsi="Courier New"/>
          <w:sz w:val="13"/>
          <w:szCs w:val="13"/>
          <w:color w:val="auto"/>
        </w:rPr>
        <w:t>measures. Certain sales agreements are in effect with SKF and INA/FAG, which provide for minimum purchase quantities and specified, annual sales price adjustments that may be modified up or down for changes in material costs. These agreements expire during 2006.</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Recently Issued Accounting Standards</w:t>
      </w:r>
    </w:p>
    <w:p>
      <w:pPr>
        <w:spacing w:after="0" w:line="16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In June 1998, the Financial Accounting Standards Board (FASB) issued Statement of Financial Accounting Standards (SFAS) No. 133, "Accounting for Derivative Instruments and Certain Hedging Activities." In June 2000, the FASB issued SFAS No. 138, "Accounting for Certain Derivative Instruments and Certain Hedging Activity, an Amendment of SFAS 133." SFAS No. 133 and SFAS No. 138 require that derivative instruments be recorded on the balance sheet at their respective fair values. SFAS No. 133 and SFAS No. 138 are effective for all fiscal quarters of all fiscal years beginning after June 30, 2000, which for the Company was effective January 1, 2001.</w:t>
      </w:r>
    </w:p>
    <w:p>
      <w:pPr>
        <w:spacing w:after="0" w:line="156" w:lineRule="exact"/>
        <w:rPr>
          <w:sz w:val="20"/>
          <w:szCs w:val="20"/>
          <w:color w:val="auto"/>
        </w:rPr>
      </w:pPr>
    </w:p>
    <w:p>
      <w:pPr>
        <w:ind w:right="3819" w:firstLine="802"/>
        <w:spacing w:after="0" w:line="251" w:lineRule="auto"/>
        <w:rPr>
          <w:sz w:val="20"/>
          <w:szCs w:val="20"/>
          <w:color w:val="auto"/>
        </w:rPr>
      </w:pPr>
      <w:r>
        <w:rPr>
          <w:rFonts w:ascii="Courier New" w:cs="Courier New" w:eastAsia="Courier New" w:hAnsi="Courier New"/>
          <w:sz w:val="13"/>
          <w:szCs w:val="13"/>
          <w:color w:val="auto"/>
        </w:rPr>
        <w:t>In June 2001, the FASB issued Statement of Financial Accounting Standards No. 141, "Business Combinations" (Statement No. 141), and Statement of Financial Accounting Standards No. 142, "Goodwill and Other Intangible Assets" (Statement No. 142). Statement No. 141 requires that the purchase method of accounting be used for all business combinations initiated after June 30, 2001. Statement No. 141 also specifies criteria that intangible assets acquired in a purchase method business combination must meet to be recognized and reported apart from goodwill. Statement No. 142 requires that goodwill and intangible assets with indefinite useful lives no longer be amortized, but rather, periodically tested for impairment. The effective date of Statement No. 142 is January 1, 2002. As of the date of adoption, the Company had unamortized goodwill of approximately $40.3 million, which is subject to the provisions of Statement No. 142.</w:t>
      </w:r>
    </w:p>
    <w:p>
      <w:pPr>
        <w:spacing w:after="0" w:line="311" w:lineRule="exact"/>
        <w:rPr>
          <w:sz w:val="20"/>
          <w:szCs w:val="20"/>
          <w:color w:val="auto"/>
        </w:rPr>
      </w:pPr>
    </w:p>
    <w:p>
      <w:pPr>
        <w:ind w:right="3819" w:firstLine="722"/>
        <w:spacing w:after="0" w:line="252" w:lineRule="auto"/>
        <w:rPr>
          <w:sz w:val="20"/>
          <w:szCs w:val="20"/>
          <w:color w:val="auto"/>
        </w:rPr>
      </w:pPr>
      <w:r>
        <w:rPr>
          <w:rFonts w:ascii="Courier New" w:cs="Courier New" w:eastAsia="Courier New" w:hAnsi="Courier New"/>
          <w:sz w:val="13"/>
          <w:szCs w:val="13"/>
          <w:color w:val="auto"/>
        </w:rPr>
        <w:t>As a result of adopting these standards in the first quarter of 2002, the Company no longer amortizes goodwill. The Company estimates that amortization expense for goodwill would have been approximately $1.8 million (or $1.0 million net of tax and minority interest) for the twelve-month period ended December 31, 2002.</w:t>
      </w:r>
    </w:p>
    <w:p>
      <w:pPr>
        <w:spacing w:after="0" w:line="152"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In July 2001, the FASB issued Statement of Financial Accounting Standards No. 143, "Accounting For Asset Retirement Obligations." This Statement requires capitalizing any retirement costs as part of the total cost of the related long-lived asset and subsequently allocating the total expense to future periods using a systematic and rational method. Adoption of the Statement is required for fiscal years beginning after June 15, 2002. Management believes that, as of December 31, 2002, it is not materially affected by SFAS No. 143.</w:t>
      </w:r>
    </w:p>
    <w:p>
      <w:pPr>
        <w:spacing w:after="0" w:line="156"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In October 2001, The FASB issued Statement of Financial Accounting Standards No. 144, "Accounting For The Impairment or Disposal of Long-lived Assets." This Statement supercedes Statement No. 121 but retains many of its fundamental provisions. Additionally, this Statement expands the scope of discontinued operations to include more disposal transactions. The provisions of this Statement are effective for financial statements issued for fiscal years beginning after December 15, 2001. The adoption of SFAS 144 did not have a material impact on the Company's financial condition.</w:t>
      </w:r>
    </w:p>
    <w:p>
      <w:pPr>
        <w:spacing w:after="0" w:line="156"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In April 2002, the FASB issued SFAS No. 145, "Rescission of FASB Statements No. 4, 44, and 64, Amendment of FASB Statement No. 13, and Technical Corrections". SFAS No. 4 had required all gains and losses from extinguishment of debt to be aggregated and, if material, classified as an extraordinary item, net of related income tax effect. SFAS No. 145 rescinds SFAS No. 4 and the related required classifications gains and losses from extinguishment of debt as extraordinary items. Additionally, the SFAS No. 145 amends SFAS No. 13 to require that certain lease modifications that have economic effects similar to sale-leaseback transactions be accounted for in the same manner as sale-leaseback transactions. SFAS No. 145 is applicable for the Company at the beginning of fiscal year 2003, with the provisions related to SFAS No. 13 are effective for transactions occurring after May 15, 2002. Management believes that, as of December 31, 2002, it is not materially affected by SFAS No. 145.</w:t>
      </w:r>
    </w:p>
    <w:p>
      <w:pPr>
        <w:spacing w:after="0" w:line="157" w:lineRule="exact"/>
        <w:rPr>
          <w:sz w:val="20"/>
          <w:szCs w:val="20"/>
          <w:color w:val="auto"/>
        </w:rPr>
      </w:pPr>
    </w:p>
    <w:p>
      <w:pPr>
        <w:ind w:right="4059" w:firstLine="722"/>
        <w:spacing w:after="0" w:line="251" w:lineRule="auto"/>
        <w:rPr>
          <w:sz w:val="20"/>
          <w:szCs w:val="20"/>
          <w:color w:val="auto"/>
        </w:rPr>
      </w:pPr>
      <w:r>
        <w:rPr>
          <w:rFonts w:ascii="Courier New" w:cs="Courier New" w:eastAsia="Courier New" w:hAnsi="Courier New"/>
          <w:sz w:val="13"/>
          <w:szCs w:val="13"/>
          <w:color w:val="auto"/>
        </w:rPr>
        <w:t>In July 2002, the FASB issued SFAS No. 146, "Accounting for Costs Associated with Exit or Disposal Activities". SFAS No. 146 requires costs associated with exit or disposal activities to be recognized when they are incurred rather than at the date of a commitment to an exit or disposal plan. SFAS No. 146 is to be applied prospectively to exit or disposal activities initiated after December 31, 2002.</w:t>
      </w:r>
    </w:p>
    <w:p>
      <w:pPr>
        <w:spacing w:after="0" w:line="155" w:lineRule="exact"/>
        <w:rPr>
          <w:sz w:val="20"/>
          <w:szCs w:val="20"/>
          <w:color w:val="auto"/>
        </w:rPr>
      </w:pPr>
    </w:p>
    <w:p>
      <w:pPr>
        <w:ind w:right="3899" w:firstLine="722"/>
        <w:spacing w:after="0" w:line="254" w:lineRule="auto"/>
        <w:rPr>
          <w:sz w:val="20"/>
          <w:szCs w:val="20"/>
          <w:color w:val="auto"/>
        </w:rPr>
      </w:pPr>
      <w:r>
        <w:rPr>
          <w:rFonts w:ascii="Courier New" w:cs="Courier New" w:eastAsia="Courier New" w:hAnsi="Courier New"/>
          <w:sz w:val="13"/>
          <w:szCs w:val="13"/>
          <w:color w:val="auto"/>
        </w:rPr>
        <w:t>In December 2002, the FASB issued SFAS No. 148, "Accounting for Stock-Based Compensation - Transition and Disclosure - an amendment of FASB Statement No. 123". SFAS No. 148 provides alternative methods of transition for a</w:t>
      </w:r>
    </w:p>
    <w:p>
      <w:pPr>
        <w:spacing w:after="0" w:line="149"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271145</wp:posOffset>
            </wp:positionV>
            <wp:extent cx="730440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3899"/>
        <w:spacing w:after="0" w:line="252" w:lineRule="auto"/>
        <w:rPr>
          <w:sz w:val="20"/>
          <w:szCs w:val="20"/>
          <w:color w:val="auto"/>
        </w:rPr>
      </w:pPr>
      <w:r>
        <w:rPr>
          <w:rFonts w:ascii="Courier New" w:cs="Courier New" w:eastAsia="Courier New" w:hAnsi="Courier New"/>
          <w:sz w:val="13"/>
          <w:szCs w:val="13"/>
          <w:color w:val="auto"/>
        </w:rPr>
        <w:t>voluntary change to the fair value based method of accounting for stock-based employee compensation. In addition, SFAS No. 148 amends the disclosures in both annual and interim financial statements about the method of accounting for stock-based employee compensation and the effect of the method used on reported results. The Company has adopted the</w:t>
      </w:r>
    </w:p>
    <w:p>
      <w:pPr>
        <w:sectPr>
          <w:pgSz w:w="11900" w:h="16838" w:orient="portrait"/>
          <w:cols w:equalWidth="0" w:num="1">
            <w:col w:w="10239"/>
          </w:cols>
          <w:pgMar w:left="220" w:top="141" w:right="1440" w:bottom="0" w:gutter="0" w:footer="0" w:header="0"/>
        </w:sectPr>
      </w:pPr>
    </w:p>
    <w:bookmarkStart w:id="18" w:name="page19"/>
    <w:bookmarkEnd w:id="18"/>
    <w:p>
      <w:pPr>
        <w:ind w:right="5040"/>
        <w:spacing w:after="0" w:line="252" w:lineRule="auto"/>
        <w:rPr>
          <w:sz w:val="20"/>
          <w:szCs w:val="20"/>
          <w:color w:val="auto"/>
        </w:rPr>
      </w:pPr>
      <w:r>
        <w:rPr>
          <w:rFonts w:ascii="Courier New" w:cs="Courier New" w:eastAsia="Courier New" w:hAnsi="Courier New"/>
          <w:sz w:val="13"/>
          <w:szCs w:val="13"/>
          <w:color w:val="auto"/>
        </w:rPr>
        <w:t>provisions of SFAS 123, which encourages but does not require a fair value based method of accounting for stock compensation plans. The Company has elected to continue accounting for its stock compensation plan using the intrinsic value based method under APB Opinion No. 25. See Note 10 of the Notes to Consolidated Financial Statements.</w:t>
      </w:r>
    </w:p>
    <w:p>
      <w:pPr>
        <w:spacing w:after="0" w:line="152" w:lineRule="exact"/>
        <w:rPr>
          <w:sz w:val="20"/>
          <w:szCs w:val="20"/>
          <w:color w:val="auto"/>
        </w:rPr>
      </w:pPr>
    </w:p>
    <w:p>
      <w:pPr>
        <w:ind w:right="5040" w:firstLine="722"/>
        <w:spacing w:after="0" w:line="251" w:lineRule="auto"/>
        <w:rPr>
          <w:sz w:val="20"/>
          <w:szCs w:val="20"/>
          <w:color w:val="auto"/>
        </w:rPr>
      </w:pPr>
      <w:r>
        <w:rPr>
          <w:rFonts w:ascii="Courier New" w:cs="Courier New" w:eastAsia="Courier New" w:hAnsi="Courier New"/>
          <w:sz w:val="13"/>
          <w:szCs w:val="13"/>
          <w:color w:val="auto"/>
        </w:rPr>
        <w:t>In November 2002, the FASB issued FASB Interpretation ("FIN") No. 45, "Guarantor's Accounting and Disclosure Requirements for Guarantees, Including Indirect Guarantees of Indebtedness of Others," an interpretation of FASB Statements No. 5, 57, and 107 and rescission of FASB Interpretation No. 34. This interpretation elaborates the disclosures to be made by a guarantor in its interim and annual financial statements about its obligations under certain guarantees that it has issued. It also clarifies that a guarantor is required to recognize, at the inception of a guarantee, a liability for the fair value of the obligation undertaken in issuing the guarantee. The initial recognition and initial measurement provisions of this interpretation are applicable on a prospective basis to guarantees issued or modified after December 31, 2002 and are not expected to have a material effect on the Company's consolidated results of operations, financial position or cash flows.</w:t>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Item 7A. Quantitative and Qualitative Disclosures About Market Risk</w:t>
      </w:r>
    </w:p>
    <w:p>
      <w:pPr>
        <w:spacing w:after="0" w:line="161" w:lineRule="exact"/>
        <w:rPr>
          <w:sz w:val="20"/>
          <w:szCs w:val="20"/>
          <w:color w:val="auto"/>
        </w:rPr>
      </w:pPr>
    </w:p>
    <w:p>
      <w:pPr>
        <w:ind w:right="5040" w:firstLine="722"/>
        <w:spacing w:after="0" w:line="251" w:lineRule="auto"/>
        <w:rPr>
          <w:sz w:val="20"/>
          <w:szCs w:val="20"/>
          <w:color w:val="auto"/>
        </w:rPr>
      </w:pPr>
      <w:r>
        <w:rPr>
          <w:rFonts w:ascii="Courier New" w:cs="Courier New" w:eastAsia="Courier New" w:hAnsi="Courier New"/>
          <w:sz w:val="13"/>
          <w:szCs w:val="13"/>
          <w:color w:val="auto"/>
        </w:rPr>
        <w:t>The Company is exposed to changes in financial market conditions in the normal course of its business due to its use of certain financial instruments as well as transacting in various foreign currencies. To mitigate its exposure to these market risks, the Company has established policies, procedures and internal processes governing its management of financial market risks. The Company is exposed to changes in interest rates primarily as a result of its borrowing activities. Domestically, these borrowings which include a $25 million senior, non-secured floating rate revolving credit facility which is used to maintain liquidity and fund its business operations domestically as well as a reducing revolving credit line facility. In Europe, Euroball has a 5.0 million euro floating rate credit facility, and a 6.0 million euro floating rate secured term loan. At December 31, 2002, the Company had $48.1 million outstanding under the domestic revolving credit facility and Euroball had 5.0 million euro outstanding under the Euroball credit facility. A one-percent increase in the interest rate charged on the Company's outstanding borrowings under both credit facilities would result in interest expense increasing by approximately $531,000 during 2002 and $547,000 during 2001. In connection with a variable EURIBOR rate debt financing in July 2000 the Company's majority owned subsidiary, NN Euroball ApS entered into an interest rate swap with a notional amount of Euro 12.5 million for the purpose of fixing the interest rate on a portion of their debt financing. The interest rate swap provides for the Company to receive variable Euribor interest payments and pay 5.51% fixed interest. The interest rate swap agreement expires in July 2006 and the notional amount amortizes in relation to principal payments on the underlying debt over the life of the swap. The nature and amount of the Company's borrowings may vary as a result of future business requirements, market conditions and other factors.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0" w:type="dxa"/>
            <w:vAlign w:val="bottom"/>
          </w:tcPr>
          <w:p>
            <w:pPr>
              <w:spacing w:after="0"/>
              <w:rPr>
                <w:sz w:val="12"/>
                <w:szCs w:val="12"/>
                <w:color w:val="auto"/>
              </w:rPr>
            </w:pPr>
          </w:p>
        </w:tc>
        <w:tc>
          <w:tcPr>
            <w:tcW w:w="6940" w:type="dxa"/>
            <w:vAlign w:val="bottom"/>
          </w:tcPr>
          <w:p>
            <w:pPr>
              <w:ind w:left="40"/>
              <w:spacing w:after="0"/>
              <w:rPr>
                <w:sz w:val="20"/>
                <w:szCs w:val="20"/>
                <w:color w:val="auto"/>
              </w:rPr>
            </w:pPr>
            <w:r>
              <w:rPr>
                <w:rFonts w:ascii="Courier New" w:cs="Courier New" w:eastAsia="Courier New" w:hAnsi="Courier New"/>
                <w:sz w:val="13"/>
                <w:szCs w:val="13"/>
                <w:color w:val="auto"/>
              </w:rPr>
              <w:t>Translation of the Company's operating cash flows denominated in</w:t>
            </w:r>
          </w:p>
        </w:tc>
        <w:tc>
          <w:tcPr>
            <w:tcW w:w="3840" w:type="dxa"/>
            <w:vAlign w:val="bottom"/>
          </w:tcPr>
          <w:p>
            <w:pPr>
              <w:spacing w:after="0"/>
              <w:rPr>
                <w:sz w:val="12"/>
                <w:szCs w:val="12"/>
                <w:color w:val="auto"/>
              </w:rPr>
            </w:pPr>
          </w:p>
        </w:tc>
      </w:tr>
      <w:tr>
        <w:trPr>
          <w:trHeight w:val="154"/>
        </w:trPr>
        <w:tc>
          <w:tcPr>
            <w:tcW w:w="7620" w:type="dxa"/>
            <w:vAlign w:val="bottom"/>
            <w:gridSpan w:val="2"/>
          </w:tcPr>
          <w:p>
            <w:pPr>
              <w:spacing w:after="0"/>
              <w:rPr>
                <w:sz w:val="20"/>
                <w:szCs w:val="20"/>
                <w:color w:val="auto"/>
              </w:rPr>
            </w:pPr>
            <w:r>
              <w:rPr>
                <w:rFonts w:ascii="Courier New" w:cs="Courier New" w:eastAsia="Courier New" w:hAnsi="Courier New"/>
                <w:sz w:val="13"/>
                <w:szCs w:val="13"/>
                <w:color w:val="auto"/>
              </w:rPr>
              <w:t>foreign currencies is impacted by changes in foreign exchange rates. The Company,</w:t>
            </w:r>
          </w:p>
        </w:tc>
        <w:tc>
          <w:tcPr>
            <w:tcW w:w="3840" w:type="dxa"/>
            <w:vAlign w:val="bottom"/>
          </w:tcPr>
          <w:p>
            <w:pPr>
              <w:spacing w:after="0"/>
              <w:rPr>
                <w:sz w:val="13"/>
                <w:szCs w:val="13"/>
                <w:color w:val="auto"/>
              </w:rPr>
            </w:pPr>
          </w:p>
        </w:tc>
      </w:tr>
      <w:tr>
        <w:trPr>
          <w:trHeight w:val="154"/>
        </w:trPr>
        <w:tc>
          <w:tcPr>
            <w:tcW w:w="7620" w:type="dxa"/>
            <w:vAlign w:val="bottom"/>
            <w:gridSpan w:val="2"/>
          </w:tcPr>
          <w:p>
            <w:pPr>
              <w:spacing w:after="0"/>
              <w:rPr>
                <w:sz w:val="20"/>
                <w:szCs w:val="20"/>
                <w:color w:val="auto"/>
              </w:rPr>
            </w:pPr>
            <w:r>
              <w:rPr>
                <w:rFonts w:ascii="Courier New" w:cs="Courier New" w:eastAsia="Courier New" w:hAnsi="Courier New"/>
                <w:sz w:val="13"/>
                <w:szCs w:val="13"/>
                <w:color w:val="auto"/>
              </w:rPr>
              <w:t>mainly at its Euroball Segment, bills and receives payment from some of its</w:t>
            </w:r>
          </w:p>
        </w:tc>
        <w:tc>
          <w:tcPr>
            <w:tcW w:w="3840" w:type="dxa"/>
            <w:vAlign w:val="bottom"/>
          </w:tcPr>
          <w:p>
            <w:pPr>
              <w:spacing w:after="0"/>
              <w:rPr>
                <w:sz w:val="13"/>
                <w:szCs w:val="13"/>
                <w:color w:val="auto"/>
              </w:rPr>
            </w:pPr>
          </w:p>
        </w:tc>
      </w:tr>
      <w:tr>
        <w:trPr>
          <w:trHeight w:val="154"/>
        </w:trPr>
        <w:tc>
          <w:tcPr>
            <w:tcW w:w="7620" w:type="dxa"/>
            <w:vAlign w:val="bottom"/>
            <w:gridSpan w:val="2"/>
          </w:tcPr>
          <w:p>
            <w:pPr>
              <w:spacing w:after="0"/>
              <w:rPr>
                <w:sz w:val="20"/>
                <w:szCs w:val="20"/>
                <w:color w:val="auto"/>
              </w:rPr>
            </w:pPr>
            <w:r>
              <w:rPr>
                <w:rFonts w:ascii="Courier New" w:cs="Courier New" w:eastAsia="Courier New" w:hAnsi="Courier New"/>
                <w:sz w:val="13"/>
                <w:szCs w:val="13"/>
                <w:color w:val="auto"/>
              </w:rPr>
              <w:t>foreign customers in their own currency. To date, the Company has not been</w:t>
            </w:r>
          </w:p>
        </w:tc>
        <w:tc>
          <w:tcPr>
            <w:tcW w:w="3840" w:type="dxa"/>
            <w:vAlign w:val="bottom"/>
          </w:tcPr>
          <w:p>
            <w:pPr>
              <w:spacing w:after="0"/>
              <w:rPr>
                <w:sz w:val="13"/>
                <w:szCs w:val="13"/>
                <w:color w:val="auto"/>
              </w:rPr>
            </w:pPr>
          </w:p>
        </w:tc>
      </w:tr>
      <w:tr>
        <w:trPr>
          <w:trHeight w:val="154"/>
        </w:trPr>
        <w:tc>
          <w:tcPr>
            <w:tcW w:w="7620" w:type="dxa"/>
            <w:vAlign w:val="bottom"/>
            <w:gridSpan w:val="2"/>
          </w:tcPr>
          <w:p>
            <w:pPr>
              <w:spacing w:after="0"/>
              <w:rPr>
                <w:sz w:val="20"/>
                <w:szCs w:val="20"/>
                <w:color w:val="auto"/>
              </w:rPr>
            </w:pPr>
            <w:r>
              <w:rPr>
                <w:rFonts w:ascii="Courier New" w:cs="Courier New" w:eastAsia="Courier New" w:hAnsi="Courier New"/>
                <w:sz w:val="13"/>
                <w:szCs w:val="13"/>
                <w:color w:val="auto"/>
              </w:rPr>
              <w:t>materially adversely affected by currency fluctuations of foreign exchange</w:t>
            </w:r>
          </w:p>
        </w:tc>
        <w:tc>
          <w:tcPr>
            <w:tcW w:w="3840" w:type="dxa"/>
            <w:vAlign w:val="bottom"/>
          </w:tcPr>
          <w:p>
            <w:pPr>
              <w:spacing w:after="0"/>
              <w:rPr>
                <w:sz w:val="13"/>
                <w:szCs w:val="13"/>
                <w:color w:val="auto"/>
              </w:rPr>
            </w:pPr>
          </w:p>
        </w:tc>
      </w:tr>
      <w:tr>
        <w:trPr>
          <w:trHeight w:val="154"/>
        </w:trPr>
        <w:tc>
          <w:tcPr>
            <w:tcW w:w="7620" w:type="dxa"/>
            <w:vAlign w:val="bottom"/>
            <w:gridSpan w:val="2"/>
          </w:tcPr>
          <w:p>
            <w:pPr>
              <w:spacing w:after="0"/>
              <w:rPr>
                <w:sz w:val="20"/>
                <w:szCs w:val="20"/>
                <w:color w:val="auto"/>
              </w:rPr>
            </w:pPr>
            <w:r>
              <w:rPr>
                <w:rFonts w:ascii="Courier New" w:cs="Courier New" w:eastAsia="Courier New" w:hAnsi="Courier New"/>
                <w:sz w:val="13"/>
                <w:szCs w:val="13"/>
                <w:color w:val="auto"/>
              </w:rPr>
              <w:t>restrictions. However, to help reduce exposure to foreign currency fluctuation,</w:t>
            </w:r>
          </w:p>
        </w:tc>
        <w:tc>
          <w:tcPr>
            <w:tcW w:w="3840" w:type="dxa"/>
            <w:vAlign w:val="bottom"/>
          </w:tcPr>
          <w:p>
            <w:pPr>
              <w:spacing w:after="0"/>
              <w:rPr>
                <w:sz w:val="13"/>
                <w:szCs w:val="13"/>
                <w:color w:val="auto"/>
              </w:rPr>
            </w:pPr>
          </w:p>
        </w:tc>
      </w:tr>
      <w:tr>
        <w:trPr>
          <w:trHeight w:val="154"/>
        </w:trPr>
        <w:tc>
          <w:tcPr>
            <w:tcW w:w="7620" w:type="dxa"/>
            <w:vAlign w:val="bottom"/>
            <w:gridSpan w:val="2"/>
          </w:tcPr>
          <w:p>
            <w:pPr>
              <w:spacing w:after="0"/>
              <w:rPr>
                <w:sz w:val="20"/>
                <w:szCs w:val="20"/>
                <w:color w:val="auto"/>
              </w:rPr>
            </w:pPr>
            <w:r>
              <w:rPr>
                <w:rFonts w:ascii="Courier New" w:cs="Courier New" w:eastAsia="Courier New" w:hAnsi="Courier New"/>
                <w:sz w:val="13"/>
                <w:szCs w:val="13"/>
                <w:color w:val="auto"/>
              </w:rPr>
              <w:t>management has incurred debt in Euros and periodically used foreign currency</w:t>
            </w:r>
          </w:p>
        </w:tc>
        <w:tc>
          <w:tcPr>
            <w:tcW w:w="3840" w:type="dxa"/>
            <w:vAlign w:val="bottom"/>
          </w:tcPr>
          <w:p>
            <w:pPr>
              <w:spacing w:after="0"/>
              <w:rPr>
                <w:sz w:val="13"/>
                <w:szCs w:val="13"/>
                <w:color w:val="auto"/>
              </w:rPr>
            </w:pPr>
          </w:p>
        </w:tc>
      </w:tr>
      <w:tr>
        <w:trPr>
          <w:trHeight w:val="154"/>
        </w:trPr>
        <w:tc>
          <w:tcPr>
            <w:tcW w:w="7620" w:type="dxa"/>
            <w:vAlign w:val="bottom"/>
            <w:gridSpan w:val="2"/>
          </w:tcPr>
          <w:p>
            <w:pPr>
              <w:spacing w:after="0"/>
              <w:rPr>
                <w:sz w:val="20"/>
                <w:szCs w:val="20"/>
                <w:color w:val="auto"/>
              </w:rPr>
            </w:pPr>
            <w:r>
              <w:rPr>
                <w:rFonts w:ascii="Courier New" w:cs="Courier New" w:eastAsia="Courier New" w:hAnsi="Courier New"/>
                <w:sz w:val="13"/>
                <w:szCs w:val="13"/>
                <w:color w:val="auto"/>
              </w:rPr>
              <w:t>hedges. These currency hedging programs allow management to hedge currency</w:t>
            </w:r>
          </w:p>
        </w:tc>
        <w:tc>
          <w:tcPr>
            <w:tcW w:w="3840" w:type="dxa"/>
            <w:vAlign w:val="bottom"/>
          </w:tcPr>
          <w:p>
            <w:pPr>
              <w:spacing w:after="0"/>
              <w:rPr>
                <w:sz w:val="13"/>
                <w:szCs w:val="13"/>
                <w:color w:val="auto"/>
              </w:rPr>
            </w:pPr>
          </w:p>
        </w:tc>
      </w:tr>
      <w:tr>
        <w:trPr>
          <w:trHeight w:val="154"/>
        </w:trPr>
        <w:tc>
          <w:tcPr>
            <w:tcW w:w="7620" w:type="dxa"/>
            <w:vAlign w:val="bottom"/>
            <w:gridSpan w:val="2"/>
          </w:tcPr>
          <w:p>
            <w:pPr>
              <w:spacing w:after="0"/>
              <w:rPr>
                <w:sz w:val="20"/>
                <w:szCs w:val="20"/>
                <w:color w:val="auto"/>
              </w:rPr>
            </w:pPr>
            <w:r>
              <w:rPr>
                <w:rFonts w:ascii="Courier New" w:cs="Courier New" w:eastAsia="Courier New" w:hAnsi="Courier New"/>
                <w:sz w:val="13"/>
                <w:szCs w:val="13"/>
                <w:color w:val="auto"/>
              </w:rPr>
              <w:t>exposures when these exposures meet certain discretionary levels. The Company</w:t>
            </w:r>
          </w:p>
        </w:tc>
        <w:tc>
          <w:tcPr>
            <w:tcW w:w="3840" w:type="dxa"/>
            <w:vAlign w:val="bottom"/>
          </w:tcPr>
          <w:p>
            <w:pPr>
              <w:spacing w:after="0"/>
              <w:rPr>
                <w:sz w:val="13"/>
                <w:szCs w:val="13"/>
                <w:color w:val="auto"/>
              </w:rPr>
            </w:pPr>
          </w:p>
        </w:tc>
      </w:tr>
      <w:tr>
        <w:trPr>
          <w:trHeight w:val="154"/>
        </w:trPr>
        <w:tc>
          <w:tcPr>
            <w:tcW w:w="7620" w:type="dxa"/>
            <w:vAlign w:val="bottom"/>
            <w:gridSpan w:val="2"/>
          </w:tcPr>
          <w:p>
            <w:pPr>
              <w:spacing w:after="0"/>
              <w:rPr>
                <w:sz w:val="20"/>
                <w:szCs w:val="20"/>
                <w:color w:val="auto"/>
              </w:rPr>
            </w:pPr>
            <w:r>
              <w:rPr>
                <w:rFonts w:ascii="Courier New" w:cs="Courier New" w:eastAsia="Courier New" w:hAnsi="Courier New"/>
                <w:sz w:val="13"/>
                <w:szCs w:val="13"/>
                <w:color w:val="auto"/>
              </w:rPr>
              <w:t>did not hold a position in any foreign currency hedging instruments as of</w:t>
            </w:r>
          </w:p>
        </w:tc>
        <w:tc>
          <w:tcPr>
            <w:tcW w:w="3840" w:type="dxa"/>
            <w:vAlign w:val="bottom"/>
          </w:tcPr>
          <w:p>
            <w:pPr>
              <w:spacing w:after="0"/>
              <w:rPr>
                <w:sz w:val="13"/>
                <w:szCs w:val="13"/>
                <w:color w:val="auto"/>
              </w:rPr>
            </w:pPr>
          </w:p>
        </w:tc>
      </w:tr>
      <w:tr>
        <w:trPr>
          <w:trHeight w:val="154"/>
        </w:trPr>
        <w:tc>
          <w:tcPr>
            <w:tcW w:w="680" w:type="dxa"/>
            <w:vAlign w:val="bottom"/>
          </w:tcPr>
          <w:p>
            <w:pPr>
              <w:spacing w:after="0"/>
              <w:rPr>
                <w:sz w:val="20"/>
                <w:szCs w:val="20"/>
                <w:color w:val="auto"/>
              </w:rPr>
            </w:pPr>
            <w:r>
              <w:rPr>
                <w:rFonts w:ascii="Courier New" w:cs="Courier New" w:eastAsia="Courier New" w:hAnsi="Courier New"/>
                <w:sz w:val="13"/>
                <w:szCs w:val="13"/>
                <w:color w:val="auto"/>
              </w:rPr>
              <w:t>December</w:t>
            </w:r>
          </w:p>
        </w:tc>
        <w:tc>
          <w:tcPr>
            <w:tcW w:w="6940" w:type="dxa"/>
            <w:vAlign w:val="bottom"/>
          </w:tcPr>
          <w:p>
            <w:pPr>
              <w:ind w:left="40"/>
              <w:spacing w:after="0"/>
              <w:rPr>
                <w:sz w:val="20"/>
                <w:szCs w:val="20"/>
                <w:color w:val="auto"/>
              </w:rPr>
            </w:pPr>
            <w:r>
              <w:rPr>
                <w:rFonts w:ascii="Courier New" w:cs="Courier New" w:eastAsia="Courier New" w:hAnsi="Courier New"/>
                <w:sz w:val="13"/>
                <w:szCs w:val="13"/>
                <w:color w:val="auto"/>
              </w:rPr>
              <w:t>31, 2002.</w:t>
            </w:r>
          </w:p>
        </w:tc>
        <w:tc>
          <w:tcPr>
            <w:tcW w:w="3840" w:type="dxa"/>
            <w:vAlign w:val="bottom"/>
          </w:tcPr>
          <w:p>
            <w:pPr>
              <w:spacing w:after="0"/>
              <w:rPr>
                <w:sz w:val="13"/>
                <w:szCs w:val="13"/>
                <w:color w:val="auto"/>
              </w:rPr>
            </w:pPr>
          </w:p>
        </w:tc>
      </w:tr>
      <w:tr>
        <w:trPr>
          <w:trHeight w:val="771"/>
        </w:trPr>
        <w:tc>
          <w:tcPr>
            <w:tcW w:w="680" w:type="dxa"/>
            <w:vAlign w:val="bottom"/>
          </w:tcPr>
          <w:p>
            <w:pPr>
              <w:spacing w:after="0"/>
              <w:rPr>
                <w:sz w:val="24"/>
                <w:szCs w:val="24"/>
                <w:color w:val="auto"/>
              </w:rPr>
            </w:pPr>
          </w:p>
        </w:tc>
        <w:tc>
          <w:tcPr>
            <w:tcW w:w="6940" w:type="dxa"/>
            <w:vAlign w:val="bottom"/>
          </w:tcPr>
          <w:p>
            <w:pPr>
              <w:ind w:left="2440"/>
              <w:spacing w:after="0"/>
              <w:rPr>
                <w:sz w:val="20"/>
                <w:szCs w:val="20"/>
                <w:color w:val="auto"/>
              </w:rPr>
            </w:pPr>
            <w:r>
              <w:rPr>
                <w:rFonts w:ascii="Courier New" w:cs="Courier New" w:eastAsia="Courier New" w:hAnsi="Courier New"/>
                <w:sz w:val="13"/>
                <w:szCs w:val="13"/>
                <w:color w:val="auto"/>
              </w:rPr>
              <w:t>24</w:t>
            </w:r>
          </w:p>
        </w:tc>
        <w:tc>
          <w:tcPr>
            <w:tcW w:w="3840" w:type="dxa"/>
            <w:vAlign w:val="bottom"/>
          </w:tcPr>
          <w:p>
            <w:pPr>
              <w:spacing w:after="0"/>
              <w:rPr>
                <w:sz w:val="24"/>
                <w:szCs w:val="24"/>
                <w:color w:val="auto"/>
              </w:rPr>
            </w:pPr>
          </w:p>
        </w:tc>
      </w:tr>
      <w:tr>
        <w:trPr>
          <w:trHeight w:val="446"/>
        </w:trPr>
        <w:tc>
          <w:tcPr>
            <w:tcW w:w="680" w:type="dxa"/>
            <w:vAlign w:val="bottom"/>
            <w:tcBorders>
              <w:bottom w:val="single" w:sz="8" w:color="9A9A9A"/>
            </w:tcBorders>
          </w:tcPr>
          <w:p>
            <w:pPr>
              <w:spacing w:after="0"/>
              <w:rPr>
                <w:sz w:val="24"/>
                <w:szCs w:val="24"/>
                <w:color w:val="auto"/>
              </w:rPr>
            </w:pPr>
          </w:p>
        </w:tc>
        <w:tc>
          <w:tcPr>
            <w:tcW w:w="694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r>
      <w:tr>
        <w:trPr>
          <w:trHeight w:val="439"/>
        </w:trPr>
        <w:tc>
          <w:tcPr>
            <w:tcW w:w="680" w:type="dxa"/>
            <w:vAlign w:val="bottom"/>
          </w:tcPr>
          <w:p>
            <w:pPr>
              <w:spacing w:after="0"/>
              <w:rPr>
                <w:sz w:val="20"/>
                <w:szCs w:val="20"/>
                <w:color w:val="auto"/>
              </w:rPr>
            </w:pPr>
            <w:r>
              <w:rPr>
                <w:rFonts w:ascii="Courier New" w:cs="Courier New" w:eastAsia="Courier New" w:hAnsi="Courier New"/>
                <w:sz w:val="13"/>
                <w:szCs w:val="13"/>
                <w:b w:val="1"/>
                <w:bCs w:val="1"/>
                <w:color w:val="auto"/>
              </w:rPr>
              <w:t>Item 8.</w:t>
            </w:r>
          </w:p>
        </w:tc>
        <w:tc>
          <w:tcPr>
            <w:tcW w:w="6940" w:type="dxa"/>
            <w:vAlign w:val="bottom"/>
          </w:tcPr>
          <w:p>
            <w:pPr>
              <w:ind w:left="40"/>
              <w:spacing w:after="0"/>
              <w:rPr>
                <w:sz w:val="20"/>
                <w:szCs w:val="20"/>
                <w:color w:val="auto"/>
              </w:rPr>
            </w:pPr>
            <w:r>
              <w:rPr>
                <w:rFonts w:ascii="Courier New" w:cs="Courier New" w:eastAsia="Courier New" w:hAnsi="Courier New"/>
                <w:sz w:val="13"/>
                <w:szCs w:val="13"/>
                <w:b w:val="1"/>
                <w:bCs w:val="1"/>
                <w:color w:val="auto"/>
              </w:rPr>
              <w:t>Financial Statements and Supplementary Data</w:t>
            </w:r>
          </w:p>
        </w:tc>
        <w:tc>
          <w:tcPr>
            <w:tcW w:w="3840" w:type="dxa"/>
            <w:vAlign w:val="bottom"/>
          </w:tcPr>
          <w:p>
            <w:pPr>
              <w:spacing w:after="0"/>
              <w:rPr>
                <w:sz w:val="24"/>
                <w:szCs w:val="24"/>
                <w:color w:val="auto"/>
              </w:rPr>
            </w:pPr>
          </w:p>
        </w:tc>
      </w:tr>
      <w:tr>
        <w:trPr>
          <w:trHeight w:val="308"/>
        </w:trPr>
        <w:tc>
          <w:tcPr>
            <w:tcW w:w="680" w:type="dxa"/>
            <w:vAlign w:val="bottom"/>
          </w:tcPr>
          <w:p>
            <w:pPr>
              <w:spacing w:after="0"/>
              <w:rPr>
                <w:sz w:val="20"/>
                <w:szCs w:val="20"/>
                <w:color w:val="auto"/>
              </w:rPr>
            </w:pPr>
            <w:r>
              <w:rPr>
                <w:rFonts w:ascii="Courier New" w:cs="Courier New" w:eastAsia="Courier New" w:hAnsi="Courier New"/>
                <w:sz w:val="13"/>
                <w:szCs w:val="13"/>
                <w:color w:val="auto"/>
              </w:rPr>
              <w:t>Index to</w:t>
            </w:r>
          </w:p>
        </w:tc>
        <w:tc>
          <w:tcPr>
            <w:tcW w:w="6940" w:type="dxa"/>
            <w:vAlign w:val="bottom"/>
          </w:tcPr>
          <w:p>
            <w:pPr>
              <w:ind w:left="40"/>
              <w:spacing w:after="0"/>
              <w:rPr>
                <w:sz w:val="20"/>
                <w:szCs w:val="20"/>
                <w:color w:val="auto"/>
              </w:rPr>
            </w:pPr>
            <w:r>
              <w:rPr>
                <w:rFonts w:ascii="Courier New" w:cs="Courier New" w:eastAsia="Courier New" w:hAnsi="Courier New"/>
                <w:sz w:val="13"/>
                <w:szCs w:val="13"/>
                <w:color w:val="auto"/>
              </w:rPr>
              <w:t>Financial Statements</w:t>
            </w:r>
          </w:p>
        </w:tc>
        <w:tc>
          <w:tcPr>
            <w:tcW w:w="3840" w:type="dxa"/>
            <w:vAlign w:val="bottom"/>
          </w:tcPr>
          <w:p>
            <w:pPr>
              <w:spacing w:after="0"/>
              <w:rPr>
                <w:sz w:val="24"/>
                <w:szCs w:val="24"/>
                <w:color w:val="auto"/>
              </w:rPr>
            </w:pPr>
          </w:p>
        </w:tc>
      </w:tr>
      <w:tr>
        <w:trPr>
          <w:trHeight w:val="308"/>
        </w:trPr>
        <w:tc>
          <w:tcPr>
            <w:tcW w:w="7620" w:type="dxa"/>
            <w:vAlign w:val="bottom"/>
            <w:gridSpan w:val="2"/>
          </w:tcPr>
          <w:p>
            <w:pPr>
              <w:spacing w:after="0"/>
              <w:rPr>
                <w:sz w:val="20"/>
                <w:szCs w:val="20"/>
                <w:color w:val="auto"/>
              </w:rPr>
            </w:pPr>
            <w:r>
              <w:rPr>
                <w:rFonts w:ascii="Courier New" w:cs="Courier New" w:eastAsia="Courier New" w:hAnsi="Courier New"/>
                <w:sz w:val="13"/>
                <w:szCs w:val="13"/>
                <w:color w:val="auto"/>
              </w:rPr>
              <w:t>Financial Statements</w:t>
            </w:r>
          </w:p>
        </w:tc>
        <w:tc>
          <w:tcPr>
            <w:tcW w:w="3840" w:type="dxa"/>
            <w:vAlign w:val="bottom"/>
          </w:tcPr>
          <w:p>
            <w:pPr>
              <w:spacing w:after="0"/>
              <w:rPr>
                <w:sz w:val="20"/>
                <w:szCs w:val="20"/>
                <w:color w:val="auto"/>
              </w:rPr>
            </w:pPr>
            <w:r>
              <w:rPr>
                <w:rFonts w:ascii="Courier New" w:cs="Courier New" w:eastAsia="Courier New" w:hAnsi="Courier New"/>
                <w:sz w:val="13"/>
                <w:szCs w:val="13"/>
                <w:color w:val="auto"/>
              </w:rPr>
              <w:t>Page</w:t>
            </w:r>
          </w:p>
        </w:tc>
      </w:tr>
      <w:tr>
        <w:trPr>
          <w:trHeight w:val="308"/>
        </w:trPr>
        <w:tc>
          <w:tcPr>
            <w:tcW w:w="680" w:type="dxa"/>
            <w:vAlign w:val="bottom"/>
          </w:tcPr>
          <w:p>
            <w:pPr>
              <w:spacing w:after="0"/>
              <w:rPr>
                <w:sz w:val="24"/>
                <w:szCs w:val="24"/>
                <w:color w:val="auto"/>
              </w:rPr>
            </w:pPr>
          </w:p>
        </w:tc>
        <w:tc>
          <w:tcPr>
            <w:tcW w:w="6940" w:type="dxa"/>
            <w:vAlign w:val="bottom"/>
          </w:tcPr>
          <w:p>
            <w:pPr>
              <w:ind w:left="40"/>
              <w:spacing w:after="0"/>
              <w:rPr>
                <w:sz w:val="20"/>
                <w:szCs w:val="20"/>
                <w:color w:val="auto"/>
              </w:rPr>
            </w:pPr>
            <w:r>
              <w:rPr>
                <w:rFonts w:ascii="Courier New" w:cs="Courier New" w:eastAsia="Courier New" w:hAnsi="Courier New"/>
                <w:sz w:val="13"/>
                <w:szCs w:val="13"/>
                <w:color w:val="auto"/>
              </w:rPr>
              <w:t>Report of Independent Auditors for the years ended December 31, 2002, 2001 and 2000...</w:t>
            </w:r>
          </w:p>
        </w:tc>
        <w:tc>
          <w:tcPr>
            <w:tcW w:w="3840" w:type="dxa"/>
            <w:vAlign w:val="bottom"/>
          </w:tcPr>
          <w:p>
            <w:pPr>
              <w:spacing w:after="0"/>
              <w:rPr>
                <w:sz w:val="20"/>
                <w:szCs w:val="20"/>
                <w:color w:val="auto"/>
              </w:rPr>
            </w:pPr>
            <w:r>
              <w:rPr>
                <w:rFonts w:ascii="Courier New" w:cs="Courier New" w:eastAsia="Courier New" w:hAnsi="Courier New"/>
                <w:sz w:val="13"/>
                <w:szCs w:val="13"/>
                <w:color w:val="auto"/>
              </w:rPr>
              <w:t>26</w:t>
            </w:r>
          </w:p>
        </w:tc>
      </w:tr>
      <w:tr>
        <w:trPr>
          <w:trHeight w:val="308"/>
        </w:trPr>
        <w:tc>
          <w:tcPr>
            <w:tcW w:w="680" w:type="dxa"/>
            <w:vAlign w:val="bottom"/>
          </w:tcPr>
          <w:p>
            <w:pPr>
              <w:spacing w:after="0"/>
              <w:rPr>
                <w:sz w:val="24"/>
                <w:szCs w:val="24"/>
                <w:color w:val="auto"/>
              </w:rPr>
            </w:pPr>
          </w:p>
        </w:tc>
        <w:tc>
          <w:tcPr>
            <w:tcW w:w="6940" w:type="dxa"/>
            <w:vAlign w:val="bottom"/>
          </w:tcPr>
          <w:p>
            <w:pPr>
              <w:ind w:left="40"/>
              <w:spacing w:after="0"/>
              <w:rPr>
                <w:sz w:val="20"/>
                <w:szCs w:val="20"/>
                <w:color w:val="auto"/>
              </w:rPr>
            </w:pPr>
            <w:r>
              <w:rPr>
                <w:rFonts w:ascii="Courier New" w:cs="Courier New" w:eastAsia="Courier New" w:hAnsi="Courier New"/>
                <w:sz w:val="13"/>
                <w:szCs w:val="13"/>
                <w:color w:val="auto"/>
              </w:rPr>
              <w:t>Consolidated Balance Sheets at December 31, 2002 and 2001.............................</w:t>
            </w:r>
          </w:p>
        </w:tc>
        <w:tc>
          <w:tcPr>
            <w:tcW w:w="3840" w:type="dxa"/>
            <w:vAlign w:val="bottom"/>
          </w:tcPr>
          <w:p>
            <w:pPr>
              <w:spacing w:after="0"/>
              <w:rPr>
                <w:sz w:val="20"/>
                <w:szCs w:val="20"/>
                <w:color w:val="auto"/>
              </w:rPr>
            </w:pPr>
            <w:r>
              <w:rPr>
                <w:rFonts w:ascii="Courier New" w:cs="Courier New" w:eastAsia="Courier New" w:hAnsi="Courier New"/>
                <w:sz w:val="13"/>
                <w:szCs w:val="13"/>
                <w:color w:val="auto"/>
              </w:rPr>
              <w:t>27</w:t>
            </w:r>
          </w:p>
        </w:tc>
      </w:tr>
      <w:tr>
        <w:trPr>
          <w:trHeight w:val="308"/>
        </w:trPr>
        <w:tc>
          <w:tcPr>
            <w:tcW w:w="680" w:type="dxa"/>
            <w:vAlign w:val="bottom"/>
          </w:tcPr>
          <w:p>
            <w:pPr>
              <w:spacing w:after="0"/>
              <w:rPr>
                <w:sz w:val="24"/>
                <w:szCs w:val="24"/>
                <w:color w:val="auto"/>
              </w:rPr>
            </w:pPr>
          </w:p>
        </w:tc>
        <w:tc>
          <w:tcPr>
            <w:tcW w:w="6940" w:type="dxa"/>
            <w:vAlign w:val="bottom"/>
          </w:tcPr>
          <w:p>
            <w:pPr>
              <w:ind w:left="40"/>
              <w:spacing w:after="0"/>
              <w:rPr>
                <w:sz w:val="20"/>
                <w:szCs w:val="20"/>
                <w:color w:val="auto"/>
              </w:rPr>
            </w:pPr>
            <w:r>
              <w:rPr>
                <w:rFonts w:ascii="Courier New" w:cs="Courier New" w:eastAsia="Courier New" w:hAnsi="Courier New"/>
                <w:sz w:val="13"/>
                <w:szCs w:val="13"/>
                <w:color w:val="auto"/>
              </w:rPr>
              <w:t>Consolidated Statements of Income and Comprehensive Income for the</w:t>
            </w:r>
          </w:p>
        </w:tc>
        <w:tc>
          <w:tcPr>
            <w:tcW w:w="3840" w:type="dxa"/>
            <w:vAlign w:val="bottom"/>
          </w:tcPr>
          <w:p>
            <w:pPr>
              <w:spacing w:after="0"/>
              <w:rPr>
                <w:sz w:val="24"/>
                <w:szCs w:val="24"/>
                <w:color w:val="auto"/>
              </w:rPr>
            </w:pPr>
          </w:p>
        </w:tc>
      </w:tr>
      <w:tr>
        <w:trPr>
          <w:trHeight w:val="154"/>
        </w:trPr>
        <w:tc>
          <w:tcPr>
            <w:tcW w:w="680" w:type="dxa"/>
            <w:vAlign w:val="bottom"/>
          </w:tcPr>
          <w:p>
            <w:pPr>
              <w:spacing w:after="0"/>
              <w:rPr>
                <w:sz w:val="13"/>
                <w:szCs w:val="13"/>
                <w:color w:val="auto"/>
              </w:rPr>
            </w:pPr>
          </w:p>
        </w:tc>
        <w:tc>
          <w:tcPr>
            <w:tcW w:w="6940" w:type="dxa"/>
            <w:vAlign w:val="bottom"/>
          </w:tcPr>
          <w:p>
            <w:pPr>
              <w:ind w:left="40"/>
              <w:spacing w:after="0"/>
              <w:rPr>
                <w:sz w:val="20"/>
                <w:szCs w:val="20"/>
                <w:color w:val="auto"/>
              </w:rPr>
            </w:pPr>
            <w:r>
              <w:rPr>
                <w:rFonts w:ascii="Courier New" w:cs="Courier New" w:eastAsia="Courier New" w:hAnsi="Courier New"/>
                <w:sz w:val="13"/>
                <w:szCs w:val="13"/>
                <w:color w:val="auto"/>
              </w:rPr>
              <w:t>three years ended December 31, 2002...................................................</w:t>
            </w:r>
          </w:p>
        </w:tc>
        <w:tc>
          <w:tcPr>
            <w:tcW w:w="3840" w:type="dxa"/>
            <w:vAlign w:val="bottom"/>
          </w:tcPr>
          <w:p>
            <w:pPr>
              <w:spacing w:after="0"/>
              <w:rPr>
                <w:sz w:val="20"/>
                <w:szCs w:val="20"/>
                <w:color w:val="auto"/>
              </w:rPr>
            </w:pPr>
            <w:r>
              <w:rPr>
                <w:rFonts w:ascii="Courier New" w:cs="Courier New" w:eastAsia="Courier New" w:hAnsi="Courier New"/>
                <w:sz w:val="13"/>
                <w:szCs w:val="13"/>
                <w:color w:val="auto"/>
              </w:rPr>
              <w:t>28</w:t>
            </w:r>
          </w:p>
        </w:tc>
      </w:tr>
      <w:tr>
        <w:trPr>
          <w:trHeight w:val="308"/>
        </w:trPr>
        <w:tc>
          <w:tcPr>
            <w:tcW w:w="680" w:type="dxa"/>
            <w:vAlign w:val="bottom"/>
          </w:tcPr>
          <w:p>
            <w:pPr>
              <w:spacing w:after="0"/>
              <w:rPr>
                <w:sz w:val="24"/>
                <w:szCs w:val="24"/>
                <w:color w:val="auto"/>
              </w:rPr>
            </w:pPr>
          </w:p>
        </w:tc>
        <w:tc>
          <w:tcPr>
            <w:tcW w:w="6940" w:type="dxa"/>
            <w:vAlign w:val="bottom"/>
          </w:tcPr>
          <w:p>
            <w:pPr>
              <w:ind w:left="40"/>
              <w:spacing w:after="0"/>
              <w:rPr>
                <w:sz w:val="20"/>
                <w:szCs w:val="20"/>
                <w:color w:val="auto"/>
              </w:rPr>
            </w:pPr>
            <w:r>
              <w:rPr>
                <w:rFonts w:ascii="Courier New" w:cs="Courier New" w:eastAsia="Courier New" w:hAnsi="Courier New"/>
                <w:sz w:val="13"/>
                <w:szCs w:val="13"/>
                <w:color w:val="auto"/>
              </w:rPr>
              <w:t>Consolidated Statements of Changes in Stockholders' Equity for the three</w:t>
            </w:r>
          </w:p>
        </w:tc>
        <w:tc>
          <w:tcPr>
            <w:tcW w:w="3840" w:type="dxa"/>
            <w:vAlign w:val="bottom"/>
          </w:tcPr>
          <w:p>
            <w:pPr>
              <w:spacing w:after="0"/>
              <w:rPr>
                <w:sz w:val="24"/>
                <w:szCs w:val="24"/>
                <w:color w:val="auto"/>
              </w:rPr>
            </w:pPr>
          </w:p>
        </w:tc>
      </w:tr>
      <w:tr>
        <w:trPr>
          <w:trHeight w:val="154"/>
        </w:trPr>
        <w:tc>
          <w:tcPr>
            <w:tcW w:w="680" w:type="dxa"/>
            <w:vAlign w:val="bottom"/>
          </w:tcPr>
          <w:p>
            <w:pPr>
              <w:spacing w:after="0"/>
              <w:rPr>
                <w:sz w:val="13"/>
                <w:szCs w:val="13"/>
                <w:color w:val="auto"/>
              </w:rPr>
            </w:pPr>
          </w:p>
        </w:tc>
        <w:tc>
          <w:tcPr>
            <w:tcW w:w="6940" w:type="dxa"/>
            <w:vAlign w:val="bottom"/>
          </w:tcPr>
          <w:p>
            <w:pPr>
              <w:ind w:left="40"/>
              <w:spacing w:after="0"/>
              <w:rPr>
                <w:sz w:val="20"/>
                <w:szCs w:val="20"/>
                <w:color w:val="auto"/>
              </w:rPr>
            </w:pPr>
            <w:r>
              <w:rPr>
                <w:rFonts w:ascii="Courier New" w:cs="Courier New" w:eastAsia="Courier New" w:hAnsi="Courier New"/>
                <w:sz w:val="13"/>
                <w:szCs w:val="13"/>
                <w:color w:val="auto"/>
              </w:rPr>
              <w:t>years ended December 31, 2002.........................................................</w:t>
            </w:r>
          </w:p>
        </w:tc>
        <w:tc>
          <w:tcPr>
            <w:tcW w:w="3840" w:type="dxa"/>
            <w:vAlign w:val="bottom"/>
          </w:tcPr>
          <w:p>
            <w:pPr>
              <w:spacing w:after="0"/>
              <w:rPr>
                <w:sz w:val="20"/>
                <w:szCs w:val="20"/>
                <w:color w:val="auto"/>
              </w:rPr>
            </w:pPr>
            <w:r>
              <w:rPr>
                <w:rFonts w:ascii="Courier New" w:cs="Courier New" w:eastAsia="Courier New" w:hAnsi="Courier New"/>
                <w:sz w:val="13"/>
                <w:szCs w:val="13"/>
                <w:color w:val="auto"/>
              </w:rPr>
              <w:t>29</w:t>
            </w:r>
          </w:p>
        </w:tc>
      </w:tr>
      <w:tr>
        <w:trPr>
          <w:trHeight w:val="308"/>
        </w:trPr>
        <w:tc>
          <w:tcPr>
            <w:tcW w:w="680" w:type="dxa"/>
            <w:vAlign w:val="bottom"/>
          </w:tcPr>
          <w:p>
            <w:pPr>
              <w:spacing w:after="0"/>
              <w:rPr>
                <w:sz w:val="24"/>
                <w:szCs w:val="24"/>
                <w:color w:val="auto"/>
              </w:rPr>
            </w:pPr>
          </w:p>
        </w:tc>
        <w:tc>
          <w:tcPr>
            <w:tcW w:w="6940" w:type="dxa"/>
            <w:vAlign w:val="bottom"/>
          </w:tcPr>
          <w:p>
            <w:pPr>
              <w:ind w:left="40"/>
              <w:spacing w:after="0"/>
              <w:rPr>
                <w:sz w:val="20"/>
                <w:szCs w:val="20"/>
                <w:color w:val="auto"/>
              </w:rPr>
            </w:pPr>
            <w:r>
              <w:rPr>
                <w:rFonts w:ascii="Courier New" w:cs="Courier New" w:eastAsia="Courier New" w:hAnsi="Courier New"/>
                <w:sz w:val="13"/>
                <w:szCs w:val="13"/>
                <w:color w:val="auto"/>
              </w:rPr>
              <w:t>Consolidated Statements of Cash Flows for the three years ended</w:t>
            </w:r>
          </w:p>
        </w:tc>
        <w:tc>
          <w:tcPr>
            <w:tcW w:w="3840" w:type="dxa"/>
            <w:vAlign w:val="bottom"/>
          </w:tcPr>
          <w:p>
            <w:pPr>
              <w:spacing w:after="0"/>
              <w:rPr>
                <w:sz w:val="24"/>
                <w:szCs w:val="24"/>
                <w:color w:val="auto"/>
              </w:rPr>
            </w:pPr>
          </w:p>
        </w:tc>
      </w:tr>
      <w:tr>
        <w:trPr>
          <w:trHeight w:val="154"/>
        </w:trPr>
        <w:tc>
          <w:tcPr>
            <w:tcW w:w="680" w:type="dxa"/>
            <w:vAlign w:val="bottom"/>
          </w:tcPr>
          <w:p>
            <w:pPr>
              <w:spacing w:after="0"/>
              <w:rPr>
                <w:sz w:val="13"/>
                <w:szCs w:val="13"/>
                <w:color w:val="auto"/>
              </w:rPr>
            </w:pPr>
          </w:p>
        </w:tc>
        <w:tc>
          <w:tcPr>
            <w:tcW w:w="6940" w:type="dxa"/>
            <w:vAlign w:val="bottom"/>
          </w:tcPr>
          <w:p>
            <w:pPr>
              <w:ind w:left="40"/>
              <w:spacing w:after="0"/>
              <w:rPr>
                <w:sz w:val="20"/>
                <w:szCs w:val="20"/>
                <w:color w:val="auto"/>
              </w:rPr>
            </w:pPr>
            <w:r>
              <w:rPr>
                <w:rFonts w:ascii="Courier New" w:cs="Courier New" w:eastAsia="Courier New" w:hAnsi="Courier New"/>
                <w:sz w:val="13"/>
                <w:szCs w:val="13"/>
                <w:color w:val="auto"/>
              </w:rPr>
              <w:t>December 31, 2002.....................................................................</w:t>
            </w:r>
          </w:p>
        </w:tc>
        <w:tc>
          <w:tcPr>
            <w:tcW w:w="3840" w:type="dxa"/>
            <w:vAlign w:val="bottom"/>
          </w:tcPr>
          <w:p>
            <w:pPr>
              <w:spacing w:after="0"/>
              <w:rPr>
                <w:sz w:val="20"/>
                <w:szCs w:val="20"/>
                <w:color w:val="auto"/>
              </w:rPr>
            </w:pPr>
            <w:r>
              <w:rPr>
                <w:rFonts w:ascii="Courier New" w:cs="Courier New" w:eastAsia="Courier New" w:hAnsi="Courier New"/>
                <w:sz w:val="13"/>
                <w:szCs w:val="13"/>
                <w:color w:val="auto"/>
              </w:rPr>
              <w:t>30</w:t>
            </w:r>
          </w:p>
        </w:tc>
      </w:tr>
      <w:tr>
        <w:trPr>
          <w:trHeight w:val="308"/>
        </w:trPr>
        <w:tc>
          <w:tcPr>
            <w:tcW w:w="680" w:type="dxa"/>
            <w:vAlign w:val="bottom"/>
          </w:tcPr>
          <w:p>
            <w:pPr>
              <w:spacing w:after="0"/>
              <w:rPr>
                <w:sz w:val="24"/>
                <w:szCs w:val="24"/>
                <w:color w:val="auto"/>
              </w:rPr>
            </w:pPr>
          </w:p>
        </w:tc>
        <w:tc>
          <w:tcPr>
            <w:tcW w:w="6940" w:type="dxa"/>
            <w:vAlign w:val="bottom"/>
          </w:tcPr>
          <w:p>
            <w:pPr>
              <w:ind w:left="40"/>
              <w:spacing w:after="0"/>
              <w:rPr>
                <w:sz w:val="20"/>
                <w:szCs w:val="20"/>
                <w:color w:val="auto"/>
              </w:rPr>
            </w:pPr>
            <w:r>
              <w:rPr>
                <w:rFonts w:ascii="Courier New" w:cs="Courier New" w:eastAsia="Courier New" w:hAnsi="Courier New"/>
                <w:sz w:val="13"/>
                <w:szCs w:val="13"/>
                <w:color w:val="auto"/>
              </w:rPr>
              <w:t>Notes to Consolidated Financial Statements............................................</w:t>
            </w:r>
          </w:p>
        </w:tc>
        <w:tc>
          <w:tcPr>
            <w:tcW w:w="3840" w:type="dxa"/>
            <w:vAlign w:val="bottom"/>
          </w:tcPr>
          <w:p>
            <w:pPr>
              <w:spacing w:after="0"/>
              <w:rPr>
                <w:sz w:val="20"/>
                <w:szCs w:val="20"/>
                <w:color w:val="auto"/>
              </w:rPr>
            </w:pPr>
            <w:r>
              <w:rPr>
                <w:rFonts w:ascii="Courier New" w:cs="Courier New" w:eastAsia="Courier New" w:hAnsi="Courier New"/>
                <w:sz w:val="13"/>
                <w:szCs w:val="13"/>
                <w:color w:val="auto"/>
              </w:rPr>
              <w:t>31</w:t>
            </w:r>
          </w:p>
        </w:tc>
      </w:tr>
      <w:tr>
        <w:trPr>
          <w:trHeight w:val="1080"/>
        </w:trPr>
        <w:tc>
          <w:tcPr>
            <w:tcW w:w="680" w:type="dxa"/>
            <w:vAlign w:val="bottom"/>
          </w:tcPr>
          <w:p>
            <w:pPr>
              <w:spacing w:after="0"/>
              <w:rPr>
                <w:sz w:val="24"/>
                <w:szCs w:val="24"/>
                <w:color w:val="auto"/>
              </w:rPr>
            </w:pPr>
          </w:p>
        </w:tc>
        <w:tc>
          <w:tcPr>
            <w:tcW w:w="6940" w:type="dxa"/>
            <w:vAlign w:val="bottom"/>
          </w:tcPr>
          <w:p>
            <w:pPr>
              <w:ind w:left="2440"/>
              <w:spacing w:after="0"/>
              <w:rPr>
                <w:sz w:val="20"/>
                <w:szCs w:val="20"/>
                <w:color w:val="auto"/>
              </w:rPr>
            </w:pPr>
            <w:r>
              <w:rPr>
                <w:rFonts w:ascii="Courier New" w:cs="Courier New" w:eastAsia="Courier New" w:hAnsi="Courier New"/>
                <w:sz w:val="13"/>
                <w:szCs w:val="13"/>
                <w:color w:val="auto"/>
              </w:rPr>
              <w:t>25</w:t>
            </w:r>
          </w:p>
        </w:tc>
        <w:tc>
          <w:tcPr>
            <w:tcW w:w="3840" w:type="dxa"/>
            <w:vAlign w:val="bottom"/>
          </w:tcPr>
          <w:p>
            <w:pPr>
              <w:spacing w:after="0"/>
              <w:rPr>
                <w:sz w:val="24"/>
                <w:szCs w:val="24"/>
                <w:color w:val="auto"/>
              </w:rPr>
            </w:pPr>
          </w:p>
        </w:tc>
      </w:tr>
      <w:tr>
        <w:trPr>
          <w:trHeight w:val="446"/>
        </w:trPr>
        <w:tc>
          <w:tcPr>
            <w:tcW w:w="680" w:type="dxa"/>
            <w:vAlign w:val="bottom"/>
            <w:tcBorders>
              <w:bottom w:val="single" w:sz="8" w:color="9A9A9A"/>
            </w:tcBorders>
          </w:tcPr>
          <w:p>
            <w:pPr>
              <w:spacing w:after="0"/>
              <w:rPr>
                <w:sz w:val="24"/>
                <w:szCs w:val="24"/>
                <w:color w:val="auto"/>
              </w:rPr>
            </w:pPr>
          </w:p>
        </w:tc>
        <w:tc>
          <w:tcPr>
            <w:tcW w:w="694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-3145790</wp:posOffset>
            </wp:positionV>
            <wp:extent cx="3175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-3145790</wp:posOffset>
            </wp:positionV>
            <wp:extent cx="3175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7261225</wp:posOffset>
            </wp:positionH>
            <wp:positionV relativeFrom="paragraph">
              <wp:posOffset>-25400</wp:posOffset>
            </wp:positionV>
            <wp:extent cx="3175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-25400</wp:posOffset>
            </wp:positionV>
            <wp:extent cx="3175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460"/>
          </w:cols>
          <w:pgMar w:left="220" w:top="141" w:right="2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80"/>
        <w:spacing w:after="0"/>
        <w:rPr>
          <w:sz w:val="20"/>
          <w:szCs w:val="20"/>
          <w:color w:val="auto"/>
        </w:rPr>
      </w:pPr>
      <w:r>
        <w:rPr>
          <w:rFonts w:ascii="Courier New" w:cs="Courier New" w:eastAsia="Courier New" w:hAnsi="Courier New"/>
          <w:sz w:val="13"/>
          <w:szCs w:val="13"/>
          <w:b w:val="1"/>
          <w:bCs w:val="1"/>
          <w:u w:val="single" w:color="auto"/>
          <w:color w:val="auto"/>
        </w:rPr>
        <w:t>Independent Auditors' Report</w:t>
      </w:r>
    </w:p>
    <w:p>
      <w:pPr>
        <w:sectPr>
          <w:pgSz w:w="11900" w:h="16838" w:orient="portrait"/>
          <w:cols w:equalWidth="0" w:num="1">
            <w:col w:w="11460"/>
          </w:cols>
          <w:pgMar w:left="220" w:top="141" w:right="219" w:bottom="0" w:gutter="0" w:footer="0" w:header="0"/>
          <w:type w:val="continuous"/>
        </w:sectPr>
      </w:pPr>
    </w:p>
    <w:bookmarkStart w:id="19" w:name="page20"/>
    <w:bookmarkEnd w:id="19"/>
    <w:p>
      <w:pPr>
        <w:spacing w:after="0"/>
        <w:rPr>
          <w:sz w:val="20"/>
          <w:szCs w:val="20"/>
          <w:color w:val="auto"/>
        </w:rPr>
      </w:pPr>
      <w:r>
        <w:rPr>
          <w:rFonts w:ascii="Courier New" w:cs="Courier New" w:eastAsia="Courier New" w:hAnsi="Courier New"/>
          <w:sz w:val="13"/>
          <w:szCs w:val="13"/>
          <w:color w:val="auto"/>
        </w:rPr>
        <w:t>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NN, Inc.:</w:t>
      </w:r>
    </w:p>
    <w:p>
      <w:pPr>
        <w:spacing w:after="0" w:line="161" w:lineRule="exact"/>
        <w:rPr>
          <w:sz w:val="20"/>
          <w:szCs w:val="20"/>
          <w:color w:val="auto"/>
        </w:rPr>
      </w:pPr>
    </w:p>
    <w:p>
      <w:pPr>
        <w:ind w:right="3819"/>
        <w:spacing w:after="0" w:line="252" w:lineRule="auto"/>
        <w:rPr>
          <w:sz w:val="20"/>
          <w:szCs w:val="20"/>
          <w:color w:val="auto"/>
        </w:rPr>
      </w:pPr>
      <w:r>
        <w:rPr>
          <w:rFonts w:ascii="Courier New" w:cs="Courier New" w:eastAsia="Courier New" w:hAnsi="Courier New"/>
          <w:sz w:val="13"/>
          <w:szCs w:val="13"/>
          <w:color w:val="auto"/>
        </w:rPr>
        <w:t>We have audited the accompanying consolidated balance sheets of NN, Inc. as of December 31, 2002 and 2001 and the related consolidated statements of income and comprehensive income, consolidated statements of changes in stockholders' equity, and consolidated statements of cash flows for each of the years in the three year period ended December 31, 2002. These consolidated financial statements are the responsibility of the Company's management. Our responsibility is to express an opinion on these consolidated financial statements based on our audits.</w:t>
      </w:r>
    </w:p>
    <w:p>
      <w:pPr>
        <w:spacing w:after="0" w:line="306" w:lineRule="exact"/>
        <w:rPr>
          <w:sz w:val="20"/>
          <w:szCs w:val="20"/>
          <w:color w:val="auto"/>
        </w:rPr>
      </w:pPr>
    </w:p>
    <w:p>
      <w:pPr>
        <w:ind w:right="3819"/>
        <w:spacing w:after="0" w:line="251" w:lineRule="auto"/>
        <w:rPr>
          <w:sz w:val="20"/>
          <w:szCs w:val="20"/>
          <w:color w:val="auto"/>
        </w:rPr>
      </w:pPr>
      <w:r>
        <w:rPr>
          <w:rFonts w:ascii="Courier New" w:cs="Courier New" w:eastAsia="Courier New" w:hAnsi="Courier New"/>
          <w:sz w:val="13"/>
          <w:szCs w:val="13"/>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56" w:lineRule="exact"/>
        <w:rPr>
          <w:sz w:val="20"/>
          <w:szCs w:val="20"/>
          <w:color w:val="auto"/>
        </w:rPr>
      </w:pPr>
    </w:p>
    <w:p>
      <w:pPr>
        <w:ind w:right="3819"/>
        <w:spacing w:after="0" w:line="251" w:lineRule="auto"/>
        <w:rPr>
          <w:sz w:val="20"/>
          <w:szCs w:val="20"/>
          <w:color w:val="auto"/>
        </w:rPr>
      </w:pPr>
      <w:r>
        <w:rPr>
          <w:rFonts w:ascii="Courier New" w:cs="Courier New" w:eastAsia="Courier New" w:hAnsi="Courier New"/>
          <w:sz w:val="13"/>
          <w:szCs w:val="13"/>
          <w:color w:val="auto"/>
        </w:rPr>
        <w:t>In our opinion, the consolidated financial statements referred to above present fairly, in all material respects, the financial position of NN, Inc. as of December 31, 2002 and 2001 and the results of their operations and their cash flows for each of the years in the three year period ended December 31, 2002 in conformity with accounting principles generally accepted in the United States of America.</w:t>
      </w:r>
    </w:p>
    <w:p>
      <w:pPr>
        <w:spacing w:after="0" w:line="155" w:lineRule="exact"/>
        <w:rPr>
          <w:sz w:val="20"/>
          <w:szCs w:val="20"/>
          <w:color w:val="auto"/>
        </w:rPr>
      </w:pPr>
    </w:p>
    <w:p>
      <w:pPr>
        <w:ind w:right="3819"/>
        <w:spacing w:after="0" w:line="252" w:lineRule="auto"/>
        <w:rPr>
          <w:sz w:val="20"/>
          <w:szCs w:val="20"/>
          <w:color w:val="auto"/>
        </w:rPr>
      </w:pPr>
      <w:r>
        <w:rPr>
          <w:rFonts w:ascii="Courier New" w:cs="Courier New" w:eastAsia="Courier New" w:hAnsi="Courier New"/>
          <w:sz w:val="13"/>
          <w:szCs w:val="13"/>
          <w:color w:val="auto"/>
        </w:rPr>
        <w:t>As discussed in Note 1 to the consolidated financial statements, the Company changed its method of accounting for goodwill and other intangible assets in 2002 and changed its method of accounting for derivative instruments and hedging activities in 2001.</w:t>
      </w:r>
    </w:p>
    <w:p>
      <w:pPr>
        <w:spacing w:after="0" w:line="200" w:lineRule="exact"/>
        <w:rPr>
          <w:sz w:val="20"/>
          <w:szCs w:val="20"/>
          <w:color w:val="auto"/>
        </w:rPr>
      </w:pPr>
    </w:p>
    <w:p>
      <w:pPr>
        <w:spacing w:after="0" w:line="261" w:lineRule="exact"/>
        <w:rPr>
          <w:sz w:val="20"/>
          <w:szCs w:val="20"/>
          <w:color w:val="auto"/>
        </w:rPr>
      </w:pPr>
    </w:p>
    <w:p>
      <w:pPr>
        <w:ind w:left="2720"/>
        <w:spacing w:after="0"/>
        <w:rPr>
          <w:sz w:val="20"/>
          <w:szCs w:val="20"/>
          <w:color w:val="auto"/>
        </w:rPr>
      </w:pPr>
      <w:r>
        <w:rPr>
          <w:rFonts w:ascii="Courier New" w:cs="Courier New" w:eastAsia="Courier New" w:hAnsi="Courier New"/>
          <w:sz w:val="13"/>
          <w:szCs w:val="13"/>
          <w:color w:val="auto"/>
        </w:rPr>
        <w:t>/s/ KPMG LLP</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Charlotte, North Carolina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February 24, 2003</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20" w:type="dxa"/>
            <w:vAlign w:val="bottom"/>
          </w:tcPr>
          <w:p>
            <w:pPr>
              <w:ind w:left="2880"/>
              <w:spacing w:after="0"/>
              <w:rPr>
                <w:sz w:val="20"/>
                <w:szCs w:val="20"/>
                <w:color w:val="auto"/>
              </w:rPr>
            </w:pPr>
            <w:r>
              <w:rPr>
                <w:rFonts w:ascii="Courier New" w:cs="Courier New" w:eastAsia="Courier New" w:hAnsi="Courier New"/>
                <w:sz w:val="13"/>
                <w:szCs w:val="13"/>
                <w:b w:val="1"/>
                <w:bCs w:val="1"/>
                <w:color w:val="auto"/>
              </w:rPr>
              <w:t>NN, Inc.</w:t>
            </w:r>
          </w:p>
        </w:tc>
        <w:tc>
          <w:tcPr>
            <w:tcW w:w="220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54"/>
        </w:trPr>
        <w:tc>
          <w:tcPr>
            <w:tcW w:w="5420" w:type="dxa"/>
            <w:vAlign w:val="bottom"/>
          </w:tcPr>
          <w:p>
            <w:pPr>
              <w:ind w:left="2160"/>
              <w:spacing w:after="0"/>
              <w:rPr>
                <w:sz w:val="20"/>
                <w:szCs w:val="20"/>
                <w:color w:val="auto"/>
              </w:rPr>
            </w:pPr>
            <w:r>
              <w:rPr>
                <w:rFonts w:ascii="Courier New" w:cs="Courier New" w:eastAsia="Courier New" w:hAnsi="Courier New"/>
                <w:sz w:val="13"/>
                <w:szCs w:val="13"/>
                <w:b w:val="1"/>
                <w:bCs w:val="1"/>
                <w:color w:val="auto"/>
              </w:rPr>
              <w:t>Consolidated Balance Sheets</w:t>
            </w:r>
          </w:p>
        </w:tc>
        <w:tc>
          <w:tcPr>
            <w:tcW w:w="220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54"/>
        </w:trPr>
        <w:tc>
          <w:tcPr>
            <w:tcW w:w="5420" w:type="dxa"/>
            <w:vAlign w:val="bottom"/>
          </w:tcPr>
          <w:p>
            <w:pPr>
              <w:ind w:left="2160"/>
              <w:spacing w:after="0"/>
              <w:rPr>
                <w:sz w:val="20"/>
                <w:szCs w:val="20"/>
                <w:color w:val="auto"/>
              </w:rPr>
            </w:pPr>
            <w:r>
              <w:rPr>
                <w:rFonts w:ascii="Courier New" w:cs="Courier New" w:eastAsia="Courier New" w:hAnsi="Courier New"/>
                <w:sz w:val="13"/>
                <w:szCs w:val="13"/>
                <w:b w:val="1"/>
                <w:bCs w:val="1"/>
                <w:color w:val="auto"/>
              </w:rPr>
              <w:t>December 31, 2002 and 2001</w:t>
            </w:r>
          </w:p>
        </w:tc>
        <w:tc>
          <w:tcPr>
            <w:tcW w:w="220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54"/>
        </w:trPr>
        <w:tc>
          <w:tcPr>
            <w:tcW w:w="5420" w:type="dxa"/>
            <w:vAlign w:val="bottom"/>
          </w:tcPr>
          <w:p>
            <w:pPr>
              <w:ind w:left="1760"/>
              <w:spacing w:after="0"/>
              <w:rPr>
                <w:sz w:val="20"/>
                <w:szCs w:val="20"/>
                <w:color w:val="auto"/>
              </w:rPr>
            </w:pPr>
            <w:r>
              <w:rPr>
                <w:rFonts w:ascii="Courier New" w:cs="Courier New" w:eastAsia="Courier New" w:hAnsi="Courier New"/>
                <w:sz w:val="13"/>
                <w:szCs w:val="13"/>
                <w:b w:val="1"/>
                <w:bCs w:val="1"/>
                <w:color w:val="auto"/>
              </w:rPr>
              <w:t>(In thousands, except per share data)</w:t>
            </w:r>
          </w:p>
        </w:tc>
        <w:tc>
          <w:tcPr>
            <w:tcW w:w="220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54"/>
        </w:trPr>
        <w:tc>
          <w:tcPr>
            <w:tcW w:w="5420" w:type="dxa"/>
            <w:vAlign w:val="bottom"/>
          </w:tcPr>
          <w:p>
            <w:pPr>
              <w:spacing w:after="0"/>
              <w:rPr>
                <w:sz w:val="20"/>
                <w:szCs w:val="20"/>
                <w:color w:val="auto"/>
              </w:rPr>
            </w:pPr>
            <w:r>
              <w:rPr>
                <w:rFonts w:ascii="Courier New" w:cs="Courier New" w:eastAsia="Courier New" w:hAnsi="Courier New"/>
                <w:sz w:val="13"/>
                <w:szCs w:val="13"/>
                <w:b w:val="1"/>
                <w:bCs w:val="1"/>
                <w:color w:val="auto"/>
              </w:rPr>
              <w:t>Assets</w:t>
            </w:r>
          </w:p>
        </w:tc>
        <w:tc>
          <w:tcPr>
            <w:tcW w:w="2200" w:type="dxa"/>
            <w:vAlign w:val="bottom"/>
          </w:tcPr>
          <w:p>
            <w:pPr>
              <w:jc w:val="right"/>
              <w:ind w:right="813"/>
              <w:spacing w:after="0"/>
              <w:rPr>
                <w:sz w:val="20"/>
                <w:szCs w:val="20"/>
                <w:color w:val="auto"/>
              </w:rPr>
            </w:pPr>
            <w:r>
              <w:rPr>
                <w:rFonts w:ascii="Courier New" w:cs="Courier New" w:eastAsia="Courier New" w:hAnsi="Courier New"/>
                <w:sz w:val="13"/>
                <w:szCs w:val="13"/>
                <w:b w:val="1"/>
                <w:bCs w:val="1"/>
                <w:color w:val="auto"/>
              </w:rPr>
              <w:t>2002</w:t>
            </w:r>
          </w:p>
        </w:tc>
        <w:tc>
          <w:tcPr>
            <w:tcW w:w="1520" w:type="dxa"/>
            <w:vAlign w:val="bottom"/>
          </w:tcPr>
          <w:p>
            <w:pPr>
              <w:jc w:val="right"/>
              <w:ind w:right="333"/>
              <w:spacing w:after="0"/>
              <w:rPr>
                <w:sz w:val="20"/>
                <w:szCs w:val="20"/>
                <w:color w:val="auto"/>
              </w:rPr>
            </w:pPr>
            <w:r>
              <w:rPr>
                <w:rFonts w:ascii="Courier New" w:cs="Courier New" w:eastAsia="Courier New" w:hAnsi="Courier New"/>
                <w:sz w:val="13"/>
                <w:szCs w:val="13"/>
                <w:b w:val="1"/>
                <w:bCs w:val="1"/>
                <w:color w:val="auto"/>
              </w:rPr>
              <w:t>2001</w:t>
            </w:r>
          </w:p>
        </w:tc>
      </w:tr>
      <w:tr>
        <w:trPr>
          <w:trHeight w:val="154"/>
        </w:trPr>
        <w:tc>
          <w:tcPr>
            <w:tcW w:w="5420" w:type="dxa"/>
            <w:vAlign w:val="bottom"/>
          </w:tcPr>
          <w:p>
            <w:pPr>
              <w:spacing w:after="0"/>
              <w:rPr>
                <w:sz w:val="13"/>
                <w:szCs w:val="13"/>
                <w:color w:val="auto"/>
              </w:rPr>
            </w:pPr>
          </w:p>
        </w:tc>
        <w:tc>
          <w:tcPr>
            <w:tcW w:w="2200" w:type="dxa"/>
            <w:vAlign w:val="bottom"/>
          </w:tcPr>
          <w:p>
            <w:pPr>
              <w:jc w:val="right"/>
              <w:ind w:right="413"/>
              <w:spacing w:after="0"/>
              <w:rPr>
                <w:sz w:val="20"/>
                <w:szCs w:val="20"/>
                <w:color w:val="auto"/>
              </w:rPr>
            </w:pPr>
            <w:r>
              <w:rPr>
                <w:rFonts w:ascii="Courier New" w:cs="Courier New" w:eastAsia="Courier New" w:hAnsi="Courier New"/>
                <w:sz w:val="13"/>
                <w:szCs w:val="13"/>
                <w:b w:val="1"/>
                <w:bCs w:val="1"/>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w:t>
            </w:r>
          </w:p>
        </w:tc>
      </w:tr>
      <w:tr>
        <w:trPr>
          <w:trHeight w:val="154"/>
        </w:trPr>
        <w:tc>
          <w:tcPr>
            <w:tcW w:w="5420" w:type="dxa"/>
            <w:vAlign w:val="bottom"/>
          </w:tcPr>
          <w:p>
            <w:pPr>
              <w:spacing w:after="0"/>
              <w:rPr>
                <w:sz w:val="20"/>
                <w:szCs w:val="20"/>
                <w:color w:val="auto"/>
              </w:rPr>
            </w:pPr>
            <w:r>
              <w:rPr>
                <w:rFonts w:ascii="Courier New" w:cs="Courier New" w:eastAsia="Courier New" w:hAnsi="Courier New"/>
                <w:sz w:val="13"/>
                <w:szCs w:val="13"/>
                <w:color w:val="auto"/>
              </w:rPr>
              <w:t>Current assets:</w:t>
            </w:r>
          </w:p>
        </w:tc>
        <w:tc>
          <w:tcPr>
            <w:tcW w:w="220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308"/>
        </w:trPr>
        <w:tc>
          <w:tcPr>
            <w:tcW w:w="5420" w:type="dxa"/>
            <w:vAlign w:val="bottom"/>
          </w:tcPr>
          <w:p>
            <w:pPr>
              <w:ind w:left="640"/>
              <w:spacing w:after="0"/>
              <w:rPr>
                <w:sz w:val="20"/>
                <w:szCs w:val="20"/>
                <w:color w:val="auto"/>
              </w:rPr>
            </w:pPr>
            <w:r>
              <w:rPr>
                <w:rFonts w:ascii="Courier New" w:cs="Courier New" w:eastAsia="Courier New" w:hAnsi="Courier New"/>
                <w:sz w:val="13"/>
                <w:szCs w:val="13"/>
                <w:color w:val="auto"/>
              </w:rPr>
              <w:t>Cash and cash equivalents</w:t>
            </w:r>
          </w:p>
        </w:tc>
        <w:tc>
          <w:tcPr>
            <w:tcW w:w="2200" w:type="dxa"/>
            <w:vAlign w:val="bottom"/>
          </w:tcPr>
          <w:p>
            <w:pPr>
              <w:jc w:val="right"/>
              <w:ind w:right="493"/>
              <w:spacing w:after="0"/>
              <w:rPr>
                <w:sz w:val="20"/>
                <w:szCs w:val="20"/>
                <w:color w:val="auto"/>
              </w:rPr>
            </w:pPr>
            <w:r>
              <w:rPr>
                <w:rFonts w:ascii="Courier New" w:cs="Courier New" w:eastAsia="Courier New" w:hAnsi="Courier New"/>
                <w:sz w:val="13"/>
                <w:szCs w:val="13"/>
                <w:color w:val="auto"/>
              </w:rPr>
              <w:t>$ 5,144</w:t>
            </w:r>
          </w:p>
        </w:tc>
        <w:tc>
          <w:tcPr>
            <w:tcW w:w="15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$ 3,024</w:t>
            </w:r>
          </w:p>
        </w:tc>
      </w:tr>
      <w:tr>
        <w:trPr>
          <w:trHeight w:val="154"/>
        </w:trPr>
        <w:tc>
          <w:tcPr>
            <w:tcW w:w="5420" w:type="dxa"/>
            <w:vAlign w:val="bottom"/>
          </w:tcPr>
          <w:p>
            <w:pPr>
              <w:ind w:left="640"/>
              <w:spacing w:after="0"/>
              <w:rPr>
                <w:sz w:val="20"/>
                <w:szCs w:val="20"/>
                <w:color w:val="auto"/>
              </w:rPr>
            </w:pPr>
            <w:r>
              <w:rPr>
                <w:rFonts w:ascii="Courier New" w:cs="Courier New" w:eastAsia="Courier New" w:hAnsi="Courier New"/>
                <w:sz w:val="13"/>
                <w:szCs w:val="13"/>
                <w:color w:val="auto"/>
              </w:rPr>
              <w:t>Accounts receivable, net</w:t>
            </w:r>
          </w:p>
        </w:tc>
        <w:tc>
          <w:tcPr>
            <w:tcW w:w="2200" w:type="dxa"/>
            <w:vAlign w:val="bottom"/>
          </w:tcPr>
          <w:p>
            <w:pPr>
              <w:jc w:val="right"/>
              <w:ind w:right="493"/>
              <w:spacing w:after="0"/>
              <w:rPr>
                <w:sz w:val="20"/>
                <w:szCs w:val="20"/>
                <w:color w:val="auto"/>
              </w:rPr>
            </w:pPr>
            <w:r>
              <w:rPr>
                <w:rFonts w:ascii="Courier New" w:cs="Courier New" w:eastAsia="Courier New" w:hAnsi="Courier New"/>
                <w:sz w:val="13"/>
                <w:szCs w:val="13"/>
                <w:color w:val="auto"/>
              </w:rPr>
              <w:t>28,965</w:t>
            </w:r>
          </w:p>
        </w:tc>
        <w:tc>
          <w:tcPr>
            <w:tcW w:w="15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24,832</w:t>
            </w:r>
          </w:p>
        </w:tc>
      </w:tr>
      <w:tr>
        <w:trPr>
          <w:trHeight w:val="154"/>
        </w:trPr>
        <w:tc>
          <w:tcPr>
            <w:tcW w:w="5420" w:type="dxa"/>
            <w:vAlign w:val="bottom"/>
          </w:tcPr>
          <w:p>
            <w:pPr>
              <w:ind w:left="640"/>
              <w:spacing w:after="0"/>
              <w:rPr>
                <w:sz w:val="20"/>
                <w:szCs w:val="20"/>
                <w:color w:val="auto"/>
              </w:rPr>
            </w:pPr>
            <w:r>
              <w:rPr>
                <w:rFonts w:ascii="Courier New" w:cs="Courier New" w:eastAsia="Courier New" w:hAnsi="Courier New"/>
                <w:sz w:val="13"/>
                <w:szCs w:val="13"/>
                <w:color w:val="auto"/>
              </w:rPr>
              <w:t>Inventories, net</w:t>
            </w:r>
          </w:p>
        </w:tc>
        <w:tc>
          <w:tcPr>
            <w:tcW w:w="2200" w:type="dxa"/>
            <w:vAlign w:val="bottom"/>
          </w:tcPr>
          <w:p>
            <w:pPr>
              <w:jc w:val="right"/>
              <w:ind w:right="493"/>
              <w:spacing w:after="0"/>
              <w:rPr>
                <w:sz w:val="20"/>
                <w:szCs w:val="20"/>
                <w:color w:val="auto"/>
              </w:rPr>
            </w:pPr>
            <w:r>
              <w:rPr>
                <w:rFonts w:ascii="Courier New" w:cs="Courier New" w:eastAsia="Courier New" w:hAnsi="Courier New"/>
                <w:sz w:val="13"/>
                <w:szCs w:val="13"/>
                <w:color w:val="auto"/>
              </w:rPr>
              <w:t>23,402</w:t>
            </w:r>
          </w:p>
        </w:tc>
        <w:tc>
          <w:tcPr>
            <w:tcW w:w="15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23,418</w:t>
            </w:r>
          </w:p>
        </w:tc>
      </w:tr>
      <w:tr>
        <w:trPr>
          <w:trHeight w:val="154"/>
        </w:trPr>
        <w:tc>
          <w:tcPr>
            <w:tcW w:w="5420" w:type="dxa"/>
            <w:vAlign w:val="bottom"/>
          </w:tcPr>
          <w:p>
            <w:pPr>
              <w:ind w:left="640"/>
              <w:spacing w:after="0"/>
              <w:rPr>
                <w:sz w:val="20"/>
                <w:szCs w:val="20"/>
                <w:color w:val="auto"/>
              </w:rPr>
            </w:pPr>
            <w:r>
              <w:rPr>
                <w:rFonts w:ascii="Courier New" w:cs="Courier New" w:eastAsia="Courier New" w:hAnsi="Courier New"/>
                <w:sz w:val="13"/>
                <w:szCs w:val="13"/>
                <w:color w:val="auto"/>
              </w:rPr>
              <w:t>Other current assets</w:t>
            </w:r>
          </w:p>
        </w:tc>
        <w:tc>
          <w:tcPr>
            <w:tcW w:w="2200" w:type="dxa"/>
            <w:vAlign w:val="bottom"/>
          </w:tcPr>
          <w:p>
            <w:pPr>
              <w:jc w:val="right"/>
              <w:ind w:right="493"/>
              <w:spacing w:after="0"/>
              <w:rPr>
                <w:sz w:val="20"/>
                <w:szCs w:val="20"/>
                <w:color w:val="auto"/>
              </w:rPr>
            </w:pPr>
            <w:r>
              <w:rPr>
                <w:rFonts w:ascii="Courier New" w:cs="Courier New" w:eastAsia="Courier New" w:hAnsi="Courier New"/>
                <w:sz w:val="13"/>
                <w:szCs w:val="13"/>
                <w:color w:val="auto"/>
              </w:rPr>
              <w:t>2,501</w:t>
            </w:r>
          </w:p>
        </w:tc>
        <w:tc>
          <w:tcPr>
            <w:tcW w:w="15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3,034</w:t>
            </w:r>
          </w:p>
        </w:tc>
      </w:tr>
      <w:tr>
        <w:trPr>
          <w:trHeight w:val="154"/>
        </w:trPr>
        <w:tc>
          <w:tcPr>
            <w:tcW w:w="5420" w:type="dxa"/>
            <w:vAlign w:val="bottom"/>
          </w:tcPr>
          <w:p>
            <w:pPr>
              <w:ind w:left="640"/>
              <w:spacing w:after="0"/>
              <w:rPr>
                <w:sz w:val="20"/>
                <w:szCs w:val="20"/>
                <w:color w:val="auto"/>
              </w:rPr>
            </w:pPr>
            <w:r>
              <w:rPr>
                <w:rFonts w:ascii="Courier New" w:cs="Courier New" w:eastAsia="Courier New" w:hAnsi="Courier New"/>
                <w:sz w:val="13"/>
                <w:szCs w:val="13"/>
                <w:color w:val="auto"/>
              </w:rPr>
              <w:t>Current deferred tax asset</w:t>
            </w:r>
          </w:p>
        </w:tc>
        <w:tc>
          <w:tcPr>
            <w:tcW w:w="2200" w:type="dxa"/>
            <w:vAlign w:val="bottom"/>
          </w:tcPr>
          <w:p>
            <w:pPr>
              <w:jc w:val="right"/>
              <w:ind w:right="493"/>
              <w:spacing w:after="0"/>
              <w:rPr>
                <w:sz w:val="20"/>
                <w:szCs w:val="20"/>
                <w:color w:val="auto"/>
              </w:rPr>
            </w:pPr>
            <w:r>
              <w:rPr>
                <w:rFonts w:ascii="Courier New" w:cs="Courier New" w:eastAsia="Courier New" w:hAnsi="Courier New"/>
                <w:sz w:val="13"/>
                <w:szCs w:val="13"/>
                <w:color w:val="auto"/>
              </w:rPr>
              <w:t>1,400</w:t>
            </w:r>
          </w:p>
        </w:tc>
        <w:tc>
          <w:tcPr>
            <w:tcW w:w="15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1,309</w:t>
            </w:r>
          </w:p>
        </w:tc>
      </w:tr>
      <w:tr>
        <w:trPr>
          <w:trHeight w:val="154"/>
        </w:trPr>
        <w:tc>
          <w:tcPr>
            <w:tcW w:w="5420" w:type="dxa"/>
            <w:vAlign w:val="bottom"/>
          </w:tcPr>
          <w:p>
            <w:pPr>
              <w:spacing w:after="0"/>
              <w:rPr>
                <w:sz w:val="13"/>
                <w:szCs w:val="13"/>
                <w:color w:val="auto"/>
              </w:rPr>
            </w:pPr>
          </w:p>
        </w:tc>
        <w:tc>
          <w:tcPr>
            <w:tcW w:w="2200" w:type="dxa"/>
            <w:vAlign w:val="bottom"/>
          </w:tcPr>
          <w:p>
            <w:pPr>
              <w:jc w:val="right"/>
              <w:ind w:right="413"/>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5420" w:type="dxa"/>
            <w:vAlign w:val="bottom"/>
          </w:tcPr>
          <w:p>
            <w:pPr>
              <w:ind w:left="1280"/>
              <w:spacing w:after="0"/>
              <w:rPr>
                <w:sz w:val="20"/>
                <w:szCs w:val="20"/>
                <w:color w:val="auto"/>
              </w:rPr>
            </w:pPr>
            <w:r>
              <w:rPr>
                <w:rFonts w:ascii="Courier New" w:cs="Courier New" w:eastAsia="Courier New" w:hAnsi="Courier New"/>
                <w:sz w:val="13"/>
                <w:szCs w:val="13"/>
                <w:color w:val="auto"/>
              </w:rPr>
              <w:t>Total current assets</w:t>
            </w:r>
          </w:p>
        </w:tc>
        <w:tc>
          <w:tcPr>
            <w:tcW w:w="2200" w:type="dxa"/>
            <w:vAlign w:val="bottom"/>
          </w:tcPr>
          <w:p>
            <w:pPr>
              <w:jc w:val="right"/>
              <w:ind w:right="493"/>
              <w:spacing w:after="0"/>
              <w:rPr>
                <w:sz w:val="20"/>
                <w:szCs w:val="20"/>
                <w:color w:val="auto"/>
              </w:rPr>
            </w:pPr>
            <w:r>
              <w:rPr>
                <w:rFonts w:ascii="Courier New" w:cs="Courier New" w:eastAsia="Courier New" w:hAnsi="Courier New"/>
                <w:sz w:val="13"/>
                <w:szCs w:val="13"/>
                <w:color w:val="auto"/>
              </w:rPr>
              <w:t>61,412</w:t>
            </w:r>
          </w:p>
        </w:tc>
        <w:tc>
          <w:tcPr>
            <w:tcW w:w="15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55,617</w:t>
            </w:r>
          </w:p>
        </w:tc>
      </w:tr>
      <w:tr>
        <w:trPr>
          <w:trHeight w:val="308"/>
        </w:trPr>
        <w:tc>
          <w:tcPr>
            <w:tcW w:w="5420" w:type="dxa"/>
            <w:vAlign w:val="bottom"/>
          </w:tcPr>
          <w:p>
            <w:pPr>
              <w:spacing w:after="0"/>
              <w:rPr>
                <w:sz w:val="20"/>
                <w:szCs w:val="20"/>
                <w:color w:val="auto"/>
              </w:rPr>
            </w:pPr>
            <w:r>
              <w:rPr>
                <w:rFonts w:ascii="Courier New" w:cs="Courier New" w:eastAsia="Courier New" w:hAnsi="Courier New"/>
                <w:sz w:val="13"/>
                <w:szCs w:val="13"/>
                <w:color w:val="auto"/>
              </w:rPr>
              <w:t>Property, plant and equipment, net</w:t>
            </w:r>
          </w:p>
        </w:tc>
        <w:tc>
          <w:tcPr>
            <w:tcW w:w="2200" w:type="dxa"/>
            <w:vAlign w:val="bottom"/>
          </w:tcPr>
          <w:p>
            <w:pPr>
              <w:jc w:val="right"/>
              <w:ind w:right="493"/>
              <w:spacing w:after="0"/>
              <w:rPr>
                <w:sz w:val="20"/>
                <w:szCs w:val="20"/>
                <w:color w:val="auto"/>
              </w:rPr>
            </w:pPr>
            <w:r>
              <w:rPr>
                <w:rFonts w:ascii="Courier New" w:cs="Courier New" w:eastAsia="Courier New" w:hAnsi="Courier New"/>
                <w:sz w:val="13"/>
                <w:szCs w:val="13"/>
                <w:color w:val="auto"/>
              </w:rPr>
              <w:t>88,199</w:t>
            </w:r>
          </w:p>
        </w:tc>
        <w:tc>
          <w:tcPr>
            <w:tcW w:w="15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82,770</w:t>
            </w:r>
          </w:p>
        </w:tc>
      </w:tr>
      <w:tr>
        <w:trPr>
          <w:trHeight w:val="154"/>
        </w:trPr>
        <w:tc>
          <w:tcPr>
            <w:tcW w:w="5420" w:type="dxa"/>
            <w:vAlign w:val="bottom"/>
          </w:tcPr>
          <w:p>
            <w:pPr>
              <w:spacing w:after="0"/>
              <w:rPr>
                <w:sz w:val="20"/>
                <w:szCs w:val="20"/>
                <w:color w:val="auto"/>
              </w:rPr>
            </w:pPr>
            <w:r>
              <w:rPr>
                <w:rFonts w:ascii="Courier New" w:cs="Courier New" w:eastAsia="Courier New" w:hAnsi="Courier New"/>
                <w:sz w:val="13"/>
                <w:szCs w:val="13"/>
                <w:color w:val="auto"/>
              </w:rPr>
              <w:t>Assets held for sale</w:t>
            </w:r>
          </w:p>
        </w:tc>
        <w:tc>
          <w:tcPr>
            <w:tcW w:w="2200" w:type="dxa"/>
            <w:vAlign w:val="bottom"/>
          </w:tcPr>
          <w:p>
            <w:pPr>
              <w:jc w:val="right"/>
              <w:ind w:right="493"/>
              <w:spacing w:after="0"/>
              <w:rPr>
                <w:sz w:val="20"/>
                <w:szCs w:val="20"/>
                <w:color w:val="auto"/>
              </w:rPr>
            </w:pPr>
            <w:r>
              <w:rPr>
                <w:rFonts w:ascii="Courier New" w:cs="Courier New" w:eastAsia="Courier New" w:hAnsi="Courier New"/>
                <w:sz w:val="13"/>
                <w:szCs w:val="13"/>
                <w:color w:val="auto"/>
              </w:rPr>
              <w:t>2,214</w:t>
            </w:r>
          </w:p>
        </w:tc>
        <w:tc>
          <w:tcPr>
            <w:tcW w:w="15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4,348</w:t>
            </w:r>
          </w:p>
        </w:tc>
      </w:tr>
      <w:tr>
        <w:trPr>
          <w:trHeight w:val="154"/>
        </w:trPr>
        <w:tc>
          <w:tcPr>
            <w:tcW w:w="5420" w:type="dxa"/>
            <w:vAlign w:val="bottom"/>
          </w:tcPr>
          <w:p>
            <w:pPr>
              <w:spacing w:after="0"/>
              <w:rPr>
                <w:sz w:val="20"/>
                <w:szCs w:val="20"/>
                <w:color w:val="auto"/>
              </w:rPr>
            </w:pPr>
            <w:r>
              <w:rPr>
                <w:rFonts w:ascii="Courier New" w:cs="Courier New" w:eastAsia="Courier New" w:hAnsi="Courier New"/>
                <w:sz w:val="13"/>
                <w:szCs w:val="13"/>
                <w:color w:val="auto"/>
              </w:rPr>
              <w:t>Goodwill</w:t>
            </w:r>
          </w:p>
        </w:tc>
        <w:tc>
          <w:tcPr>
            <w:tcW w:w="2200" w:type="dxa"/>
            <w:vAlign w:val="bottom"/>
          </w:tcPr>
          <w:p>
            <w:pPr>
              <w:jc w:val="right"/>
              <w:ind w:right="493"/>
              <w:spacing w:after="0"/>
              <w:rPr>
                <w:sz w:val="20"/>
                <w:szCs w:val="20"/>
                <w:color w:val="auto"/>
              </w:rPr>
            </w:pPr>
            <w:r>
              <w:rPr>
                <w:rFonts w:ascii="Courier New" w:cs="Courier New" w:eastAsia="Courier New" w:hAnsi="Courier New"/>
                <w:sz w:val="13"/>
                <w:szCs w:val="13"/>
                <w:color w:val="auto"/>
              </w:rPr>
              <w:t>42,166</w:t>
            </w:r>
          </w:p>
        </w:tc>
        <w:tc>
          <w:tcPr>
            <w:tcW w:w="15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40,282</w:t>
            </w:r>
          </w:p>
        </w:tc>
      </w:tr>
      <w:tr>
        <w:trPr>
          <w:trHeight w:val="154"/>
        </w:trPr>
        <w:tc>
          <w:tcPr>
            <w:tcW w:w="5420" w:type="dxa"/>
            <w:vAlign w:val="bottom"/>
          </w:tcPr>
          <w:p>
            <w:pPr>
              <w:spacing w:after="0"/>
              <w:rPr>
                <w:sz w:val="20"/>
                <w:szCs w:val="20"/>
                <w:color w:val="auto"/>
              </w:rPr>
            </w:pPr>
            <w:r>
              <w:rPr>
                <w:rFonts w:ascii="Courier New" w:cs="Courier New" w:eastAsia="Courier New" w:hAnsi="Courier New"/>
                <w:sz w:val="13"/>
                <w:szCs w:val="13"/>
                <w:color w:val="auto"/>
              </w:rPr>
              <w:t>Other non-current assets</w:t>
            </w:r>
          </w:p>
        </w:tc>
        <w:tc>
          <w:tcPr>
            <w:tcW w:w="2200" w:type="dxa"/>
            <w:vAlign w:val="bottom"/>
          </w:tcPr>
          <w:p>
            <w:pPr>
              <w:jc w:val="right"/>
              <w:ind w:right="493"/>
              <w:spacing w:after="0"/>
              <w:rPr>
                <w:sz w:val="20"/>
                <w:szCs w:val="20"/>
                <w:color w:val="auto"/>
              </w:rPr>
            </w:pPr>
            <w:r>
              <w:rPr>
                <w:rFonts w:ascii="Courier New" w:cs="Courier New" w:eastAsia="Courier New" w:hAnsi="Courier New"/>
                <w:sz w:val="13"/>
                <w:szCs w:val="13"/>
                <w:color w:val="auto"/>
              </w:rPr>
              <w:t>4,016</w:t>
            </w:r>
          </w:p>
        </w:tc>
        <w:tc>
          <w:tcPr>
            <w:tcW w:w="15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4,385</w:t>
            </w:r>
          </w:p>
        </w:tc>
      </w:tr>
      <w:tr>
        <w:trPr>
          <w:trHeight w:val="154"/>
        </w:trPr>
        <w:tc>
          <w:tcPr>
            <w:tcW w:w="5420" w:type="dxa"/>
            <w:vAlign w:val="bottom"/>
          </w:tcPr>
          <w:p>
            <w:pPr>
              <w:spacing w:after="0"/>
              <w:rPr>
                <w:sz w:val="20"/>
                <w:szCs w:val="20"/>
                <w:color w:val="auto"/>
              </w:rPr>
            </w:pPr>
            <w:r>
              <w:rPr>
                <w:rFonts w:ascii="Courier New" w:cs="Courier New" w:eastAsia="Courier New" w:hAnsi="Courier New"/>
                <w:sz w:val="13"/>
                <w:szCs w:val="13"/>
                <w:color w:val="auto"/>
              </w:rPr>
              <w:t>Non-current deferred tax asset</w:t>
            </w:r>
          </w:p>
        </w:tc>
        <w:tc>
          <w:tcPr>
            <w:tcW w:w="2200" w:type="dxa"/>
            <w:vAlign w:val="bottom"/>
          </w:tcPr>
          <w:p>
            <w:pPr>
              <w:jc w:val="right"/>
              <w:ind w:right="493"/>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733</w:t>
            </w:r>
          </w:p>
        </w:tc>
      </w:tr>
      <w:tr>
        <w:trPr>
          <w:trHeight w:val="154"/>
        </w:trPr>
        <w:tc>
          <w:tcPr>
            <w:tcW w:w="5420" w:type="dxa"/>
            <w:vAlign w:val="bottom"/>
          </w:tcPr>
          <w:p>
            <w:pPr>
              <w:spacing w:after="0"/>
              <w:rPr>
                <w:sz w:val="13"/>
                <w:szCs w:val="13"/>
                <w:color w:val="auto"/>
              </w:rPr>
            </w:pPr>
          </w:p>
        </w:tc>
        <w:tc>
          <w:tcPr>
            <w:tcW w:w="2200" w:type="dxa"/>
            <w:vAlign w:val="bottom"/>
          </w:tcPr>
          <w:p>
            <w:pPr>
              <w:jc w:val="right"/>
              <w:ind w:right="413"/>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5420" w:type="dxa"/>
            <w:vAlign w:val="bottom"/>
          </w:tcPr>
          <w:p>
            <w:pPr>
              <w:spacing w:after="0"/>
              <w:rPr>
                <w:sz w:val="20"/>
                <w:szCs w:val="20"/>
                <w:color w:val="auto"/>
              </w:rPr>
            </w:pPr>
            <w:r>
              <w:rPr>
                <w:rFonts w:ascii="Courier New" w:cs="Courier New" w:eastAsia="Courier New" w:hAnsi="Courier New"/>
                <w:sz w:val="13"/>
                <w:szCs w:val="13"/>
                <w:color w:val="auto"/>
              </w:rPr>
              <w:t>Total assets</w:t>
            </w:r>
          </w:p>
        </w:tc>
        <w:tc>
          <w:tcPr>
            <w:tcW w:w="2200" w:type="dxa"/>
            <w:vAlign w:val="bottom"/>
          </w:tcPr>
          <w:p>
            <w:pPr>
              <w:jc w:val="right"/>
              <w:ind w:right="493"/>
              <w:spacing w:after="0"/>
              <w:rPr>
                <w:sz w:val="20"/>
                <w:szCs w:val="20"/>
                <w:color w:val="auto"/>
              </w:rPr>
            </w:pPr>
            <w:r>
              <w:rPr>
                <w:rFonts w:ascii="Courier New" w:cs="Courier New" w:eastAsia="Courier New" w:hAnsi="Courier New"/>
                <w:sz w:val="13"/>
                <w:szCs w:val="13"/>
                <w:color w:val="auto"/>
              </w:rPr>
              <w:t>$ 198,007</w:t>
            </w:r>
          </w:p>
        </w:tc>
        <w:tc>
          <w:tcPr>
            <w:tcW w:w="15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$ 188,135</w:t>
            </w:r>
          </w:p>
        </w:tc>
      </w:tr>
      <w:tr>
        <w:trPr>
          <w:trHeight w:val="154"/>
        </w:trPr>
        <w:tc>
          <w:tcPr>
            <w:tcW w:w="5420" w:type="dxa"/>
            <w:vAlign w:val="bottom"/>
          </w:tcPr>
          <w:p>
            <w:pPr>
              <w:spacing w:after="0"/>
              <w:rPr>
                <w:sz w:val="13"/>
                <w:szCs w:val="13"/>
                <w:color w:val="auto"/>
              </w:rPr>
            </w:pPr>
          </w:p>
        </w:tc>
        <w:tc>
          <w:tcPr>
            <w:tcW w:w="2200" w:type="dxa"/>
            <w:vAlign w:val="bottom"/>
          </w:tcPr>
          <w:p>
            <w:pPr>
              <w:jc w:val="right"/>
              <w:ind w:right="413"/>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308"/>
        </w:trPr>
        <w:tc>
          <w:tcPr>
            <w:tcW w:w="5420" w:type="dxa"/>
            <w:vAlign w:val="bottom"/>
          </w:tcPr>
          <w:p>
            <w:pPr>
              <w:spacing w:after="0"/>
              <w:rPr>
                <w:sz w:val="20"/>
                <w:szCs w:val="20"/>
                <w:color w:val="auto"/>
              </w:rPr>
            </w:pPr>
            <w:r>
              <w:rPr>
                <w:rFonts w:ascii="Courier New" w:cs="Courier New" w:eastAsia="Courier New" w:hAnsi="Courier New"/>
                <w:sz w:val="13"/>
                <w:szCs w:val="13"/>
                <w:b w:val="1"/>
                <w:bCs w:val="1"/>
                <w:color w:val="auto"/>
              </w:rPr>
              <w:t>Liabilities and Stockholders' Equity</w:t>
            </w:r>
          </w:p>
        </w:tc>
        <w:tc>
          <w:tcPr>
            <w:tcW w:w="2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54"/>
        </w:trPr>
        <w:tc>
          <w:tcPr>
            <w:tcW w:w="5420" w:type="dxa"/>
            <w:vAlign w:val="bottom"/>
          </w:tcPr>
          <w:p>
            <w:pPr>
              <w:spacing w:after="0"/>
              <w:rPr>
                <w:sz w:val="20"/>
                <w:szCs w:val="20"/>
                <w:color w:val="auto"/>
              </w:rPr>
            </w:pPr>
            <w:r>
              <w:rPr>
                <w:rFonts w:ascii="Courier New" w:cs="Courier New" w:eastAsia="Courier New" w:hAnsi="Courier New"/>
                <w:sz w:val="13"/>
                <w:szCs w:val="13"/>
                <w:color w:val="auto"/>
              </w:rPr>
              <w:t>Current liabilities:</w:t>
            </w:r>
          </w:p>
        </w:tc>
        <w:tc>
          <w:tcPr>
            <w:tcW w:w="220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54"/>
        </w:trPr>
        <w:tc>
          <w:tcPr>
            <w:tcW w:w="5420" w:type="dxa"/>
            <w:vAlign w:val="bottom"/>
          </w:tcPr>
          <w:p>
            <w:pPr>
              <w:ind w:left="640"/>
              <w:spacing w:after="0"/>
              <w:rPr>
                <w:sz w:val="20"/>
                <w:szCs w:val="20"/>
                <w:color w:val="auto"/>
              </w:rPr>
            </w:pPr>
            <w:r>
              <w:rPr>
                <w:rFonts w:ascii="Courier New" w:cs="Courier New" w:eastAsia="Courier New" w:hAnsi="Courier New"/>
                <w:sz w:val="13"/>
                <w:szCs w:val="13"/>
                <w:color w:val="auto"/>
              </w:rPr>
              <w:t>Accounts payable</w:t>
            </w:r>
          </w:p>
        </w:tc>
        <w:tc>
          <w:tcPr>
            <w:tcW w:w="2200" w:type="dxa"/>
            <w:vAlign w:val="bottom"/>
          </w:tcPr>
          <w:p>
            <w:pPr>
              <w:jc w:val="right"/>
              <w:ind w:right="493"/>
              <w:spacing w:after="0"/>
              <w:rPr>
                <w:sz w:val="20"/>
                <w:szCs w:val="20"/>
                <w:color w:val="auto"/>
              </w:rPr>
            </w:pPr>
            <w:r>
              <w:rPr>
                <w:rFonts w:ascii="Courier New" w:cs="Courier New" w:eastAsia="Courier New" w:hAnsi="Courier New"/>
                <w:sz w:val="13"/>
                <w:szCs w:val="13"/>
                <w:color w:val="auto"/>
              </w:rPr>
              <w:t>$22,983</w:t>
            </w:r>
          </w:p>
        </w:tc>
        <w:tc>
          <w:tcPr>
            <w:tcW w:w="15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$ 14,552</w:t>
            </w:r>
          </w:p>
        </w:tc>
      </w:tr>
      <w:tr>
        <w:trPr>
          <w:trHeight w:val="154"/>
        </w:trPr>
        <w:tc>
          <w:tcPr>
            <w:tcW w:w="5420" w:type="dxa"/>
            <w:vAlign w:val="bottom"/>
          </w:tcPr>
          <w:p>
            <w:pPr>
              <w:ind w:left="640"/>
              <w:spacing w:after="0"/>
              <w:rPr>
                <w:sz w:val="20"/>
                <w:szCs w:val="20"/>
                <w:color w:val="auto"/>
              </w:rPr>
            </w:pPr>
            <w:r>
              <w:rPr>
                <w:rFonts w:ascii="Courier New" w:cs="Courier New" w:eastAsia="Courier New" w:hAnsi="Courier New"/>
                <w:sz w:val="13"/>
                <w:szCs w:val="13"/>
                <w:color w:val="auto"/>
              </w:rPr>
              <w:t>Bank overdraft</w:t>
            </w:r>
          </w:p>
        </w:tc>
        <w:tc>
          <w:tcPr>
            <w:tcW w:w="2200" w:type="dxa"/>
            <w:vAlign w:val="bottom"/>
          </w:tcPr>
          <w:p>
            <w:pPr>
              <w:jc w:val="right"/>
              <w:ind w:right="493"/>
              <w:spacing w:after="0"/>
              <w:rPr>
                <w:sz w:val="20"/>
                <w:szCs w:val="20"/>
                <w:color w:val="auto"/>
              </w:rPr>
            </w:pPr>
            <w:r>
              <w:rPr>
                <w:rFonts w:ascii="Courier New" w:cs="Courier New" w:eastAsia="Courier New" w:hAnsi="Courier New"/>
                <w:sz w:val="13"/>
                <w:szCs w:val="13"/>
                <w:color w:val="auto"/>
              </w:rPr>
              <w:t>37</w:t>
            </w:r>
          </w:p>
        </w:tc>
        <w:tc>
          <w:tcPr>
            <w:tcW w:w="15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1,141</w:t>
            </w:r>
          </w:p>
        </w:tc>
      </w:tr>
      <w:tr>
        <w:trPr>
          <w:trHeight w:val="154"/>
        </w:trPr>
        <w:tc>
          <w:tcPr>
            <w:tcW w:w="5420" w:type="dxa"/>
            <w:vAlign w:val="bottom"/>
          </w:tcPr>
          <w:p>
            <w:pPr>
              <w:ind w:left="640"/>
              <w:spacing w:after="0"/>
              <w:rPr>
                <w:sz w:val="20"/>
                <w:szCs w:val="20"/>
                <w:color w:val="auto"/>
              </w:rPr>
            </w:pPr>
            <w:r>
              <w:rPr>
                <w:rFonts w:ascii="Courier New" w:cs="Courier New" w:eastAsia="Courier New" w:hAnsi="Courier New"/>
                <w:sz w:val="13"/>
                <w:szCs w:val="13"/>
                <w:color w:val="auto"/>
              </w:rPr>
              <w:t>Accrued salaries, wages and benefits</w:t>
            </w:r>
          </w:p>
        </w:tc>
        <w:tc>
          <w:tcPr>
            <w:tcW w:w="2200" w:type="dxa"/>
            <w:vAlign w:val="bottom"/>
          </w:tcPr>
          <w:p>
            <w:pPr>
              <w:jc w:val="right"/>
              <w:ind w:right="493"/>
              <w:spacing w:after="0"/>
              <w:rPr>
                <w:sz w:val="20"/>
                <w:szCs w:val="20"/>
                <w:color w:val="auto"/>
              </w:rPr>
            </w:pPr>
            <w:r>
              <w:rPr>
                <w:rFonts w:ascii="Courier New" w:cs="Courier New" w:eastAsia="Courier New" w:hAnsi="Courier New"/>
                <w:sz w:val="13"/>
                <w:szCs w:val="13"/>
                <w:color w:val="auto"/>
              </w:rPr>
              <w:t>6,354</w:t>
            </w:r>
          </w:p>
        </w:tc>
        <w:tc>
          <w:tcPr>
            <w:tcW w:w="15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3,813</w:t>
            </w:r>
          </w:p>
        </w:tc>
      </w:tr>
      <w:tr>
        <w:trPr>
          <w:trHeight w:val="154"/>
        </w:trPr>
        <w:tc>
          <w:tcPr>
            <w:tcW w:w="5420" w:type="dxa"/>
            <w:vAlign w:val="bottom"/>
          </w:tcPr>
          <w:p>
            <w:pPr>
              <w:ind w:left="640"/>
              <w:spacing w:after="0"/>
              <w:rPr>
                <w:sz w:val="20"/>
                <w:szCs w:val="20"/>
                <w:color w:val="auto"/>
              </w:rPr>
            </w:pPr>
            <w:r>
              <w:rPr>
                <w:rFonts w:ascii="Courier New" w:cs="Courier New" w:eastAsia="Courier New" w:hAnsi="Courier New"/>
                <w:sz w:val="13"/>
                <w:szCs w:val="13"/>
                <w:color w:val="auto"/>
              </w:rPr>
              <w:t>Income taxes payable</w:t>
            </w:r>
          </w:p>
        </w:tc>
        <w:tc>
          <w:tcPr>
            <w:tcW w:w="2200" w:type="dxa"/>
            <w:vAlign w:val="bottom"/>
          </w:tcPr>
          <w:p>
            <w:pPr>
              <w:jc w:val="right"/>
              <w:ind w:right="493"/>
              <w:spacing w:after="0"/>
              <w:rPr>
                <w:sz w:val="20"/>
                <w:szCs w:val="20"/>
                <w:color w:val="auto"/>
              </w:rPr>
            </w:pPr>
            <w:r>
              <w:rPr>
                <w:rFonts w:ascii="Courier New" w:cs="Courier New" w:eastAsia="Courier New" w:hAnsi="Courier New"/>
                <w:sz w:val="13"/>
                <w:szCs w:val="13"/>
                <w:color w:val="auto"/>
              </w:rPr>
              <w:t>620</w:t>
            </w:r>
          </w:p>
        </w:tc>
        <w:tc>
          <w:tcPr>
            <w:tcW w:w="15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1,514</w:t>
            </w:r>
          </w:p>
        </w:tc>
      </w:tr>
      <w:tr>
        <w:trPr>
          <w:trHeight w:val="154"/>
        </w:trPr>
        <w:tc>
          <w:tcPr>
            <w:tcW w:w="5420" w:type="dxa"/>
            <w:vAlign w:val="bottom"/>
          </w:tcPr>
          <w:p>
            <w:pPr>
              <w:ind w:left="640"/>
              <w:spacing w:after="0"/>
              <w:rPr>
                <w:sz w:val="20"/>
                <w:szCs w:val="20"/>
                <w:color w:val="auto"/>
              </w:rPr>
            </w:pPr>
            <w:r>
              <w:rPr>
                <w:rFonts w:ascii="Courier New" w:cs="Courier New" w:eastAsia="Courier New" w:hAnsi="Courier New"/>
                <w:sz w:val="13"/>
                <w:szCs w:val="13"/>
                <w:color w:val="auto"/>
              </w:rPr>
              <w:t>Payable to affiliates</w:t>
            </w:r>
          </w:p>
        </w:tc>
        <w:tc>
          <w:tcPr>
            <w:tcW w:w="2200" w:type="dxa"/>
            <w:vAlign w:val="bottom"/>
          </w:tcPr>
          <w:p>
            <w:pPr>
              <w:jc w:val="right"/>
              <w:ind w:right="493"/>
              <w:spacing w:after="0"/>
              <w:rPr>
                <w:sz w:val="20"/>
                <w:szCs w:val="20"/>
                <w:color w:val="auto"/>
              </w:rPr>
            </w:pPr>
            <w:r>
              <w:rPr>
                <w:rFonts w:ascii="Courier New" w:cs="Courier New" w:eastAsia="Courier New" w:hAnsi="Courier New"/>
                <w:sz w:val="13"/>
                <w:szCs w:val="13"/>
                <w:color w:val="auto"/>
              </w:rPr>
              <w:t>566</w:t>
            </w:r>
          </w:p>
        </w:tc>
        <w:tc>
          <w:tcPr>
            <w:tcW w:w="15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1,277</w:t>
            </w:r>
          </w:p>
        </w:tc>
      </w:tr>
      <w:tr>
        <w:trPr>
          <w:trHeight w:val="154"/>
        </w:trPr>
        <w:tc>
          <w:tcPr>
            <w:tcW w:w="5420" w:type="dxa"/>
            <w:vAlign w:val="bottom"/>
          </w:tcPr>
          <w:p>
            <w:pPr>
              <w:ind w:left="640"/>
              <w:spacing w:after="0"/>
              <w:rPr>
                <w:sz w:val="20"/>
                <w:szCs w:val="20"/>
                <w:color w:val="auto"/>
              </w:rPr>
            </w:pPr>
            <w:r>
              <w:rPr>
                <w:rFonts w:ascii="Courier New" w:cs="Courier New" w:eastAsia="Courier New" w:hAnsi="Courier New"/>
                <w:sz w:val="13"/>
                <w:szCs w:val="13"/>
                <w:color w:val="auto"/>
              </w:rPr>
              <w:t>Current maturities of long-term debt</w:t>
            </w:r>
          </w:p>
        </w:tc>
        <w:tc>
          <w:tcPr>
            <w:tcW w:w="2200" w:type="dxa"/>
            <w:vAlign w:val="bottom"/>
          </w:tcPr>
          <w:p>
            <w:pPr>
              <w:jc w:val="right"/>
              <w:ind w:right="493"/>
              <w:spacing w:after="0"/>
              <w:rPr>
                <w:sz w:val="20"/>
                <w:szCs w:val="20"/>
                <w:color w:val="auto"/>
              </w:rPr>
            </w:pPr>
            <w:r>
              <w:rPr>
                <w:rFonts w:ascii="Courier New" w:cs="Courier New" w:eastAsia="Courier New" w:hAnsi="Courier New"/>
                <w:sz w:val="13"/>
                <w:szCs w:val="13"/>
                <w:color w:val="auto"/>
              </w:rPr>
              <w:t>7,000</w:t>
            </w:r>
          </w:p>
        </w:tc>
        <w:tc>
          <w:tcPr>
            <w:tcW w:w="15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7,000</w:t>
            </w:r>
          </w:p>
        </w:tc>
      </w:tr>
      <w:tr>
        <w:trPr>
          <w:trHeight w:val="154"/>
        </w:trPr>
        <w:tc>
          <w:tcPr>
            <w:tcW w:w="5420" w:type="dxa"/>
            <w:vAlign w:val="bottom"/>
          </w:tcPr>
          <w:p>
            <w:pPr>
              <w:ind w:left="640"/>
              <w:spacing w:after="0"/>
              <w:rPr>
                <w:sz w:val="20"/>
                <w:szCs w:val="20"/>
                <w:color w:val="auto"/>
              </w:rPr>
            </w:pPr>
            <w:r>
              <w:rPr>
                <w:rFonts w:ascii="Courier New" w:cs="Courier New" w:eastAsia="Courier New" w:hAnsi="Courier New"/>
                <w:sz w:val="13"/>
                <w:szCs w:val="13"/>
                <w:color w:val="auto"/>
              </w:rPr>
              <w:t>Other liabilities</w:t>
            </w:r>
          </w:p>
        </w:tc>
        <w:tc>
          <w:tcPr>
            <w:tcW w:w="2200" w:type="dxa"/>
            <w:vAlign w:val="bottom"/>
          </w:tcPr>
          <w:p>
            <w:pPr>
              <w:jc w:val="right"/>
              <w:ind w:right="493"/>
              <w:spacing w:after="0"/>
              <w:rPr>
                <w:sz w:val="20"/>
                <w:szCs w:val="20"/>
                <w:color w:val="auto"/>
              </w:rPr>
            </w:pPr>
            <w:r>
              <w:rPr>
                <w:rFonts w:ascii="Courier New" w:cs="Courier New" w:eastAsia="Courier New" w:hAnsi="Courier New"/>
                <w:sz w:val="13"/>
                <w:szCs w:val="13"/>
                <w:color w:val="auto"/>
              </w:rPr>
              <w:t>2,674</w:t>
            </w:r>
          </w:p>
        </w:tc>
        <w:tc>
          <w:tcPr>
            <w:tcW w:w="15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3,187</w:t>
            </w:r>
          </w:p>
        </w:tc>
      </w:tr>
      <w:tr>
        <w:trPr>
          <w:trHeight w:val="154"/>
        </w:trPr>
        <w:tc>
          <w:tcPr>
            <w:tcW w:w="5420" w:type="dxa"/>
            <w:vAlign w:val="bottom"/>
          </w:tcPr>
          <w:p>
            <w:pPr>
              <w:ind w:left="640"/>
              <w:spacing w:after="0"/>
              <w:rPr>
                <w:sz w:val="20"/>
                <w:szCs w:val="20"/>
                <w:color w:val="auto"/>
              </w:rPr>
            </w:pPr>
            <w:r>
              <w:rPr>
                <w:rFonts w:ascii="Courier New" w:cs="Courier New" w:eastAsia="Courier New" w:hAnsi="Courier New"/>
                <w:sz w:val="13"/>
                <w:szCs w:val="13"/>
                <w:color w:val="auto"/>
              </w:rPr>
              <w:t>Current deferred tax liability</w:t>
            </w:r>
          </w:p>
        </w:tc>
        <w:tc>
          <w:tcPr>
            <w:tcW w:w="2200" w:type="dxa"/>
            <w:vAlign w:val="bottom"/>
          </w:tcPr>
          <w:p>
            <w:pPr>
              <w:jc w:val="right"/>
              <w:ind w:right="493"/>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50</w:t>
            </w:r>
          </w:p>
        </w:tc>
      </w:tr>
      <w:tr>
        <w:trPr>
          <w:trHeight w:val="154"/>
        </w:trPr>
        <w:tc>
          <w:tcPr>
            <w:tcW w:w="5420" w:type="dxa"/>
            <w:vAlign w:val="bottom"/>
          </w:tcPr>
          <w:p>
            <w:pPr>
              <w:spacing w:after="0"/>
              <w:rPr>
                <w:sz w:val="13"/>
                <w:szCs w:val="13"/>
                <w:color w:val="auto"/>
              </w:rPr>
            </w:pPr>
          </w:p>
        </w:tc>
        <w:tc>
          <w:tcPr>
            <w:tcW w:w="2200" w:type="dxa"/>
            <w:vAlign w:val="bottom"/>
          </w:tcPr>
          <w:p>
            <w:pPr>
              <w:jc w:val="right"/>
              <w:ind w:right="413"/>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5420" w:type="dxa"/>
            <w:vAlign w:val="bottom"/>
          </w:tcPr>
          <w:p>
            <w:pPr>
              <w:ind w:left="1280"/>
              <w:spacing w:after="0"/>
              <w:rPr>
                <w:sz w:val="20"/>
                <w:szCs w:val="20"/>
                <w:color w:val="auto"/>
              </w:rPr>
            </w:pPr>
            <w:r>
              <w:rPr>
                <w:rFonts w:ascii="Courier New" w:cs="Courier New" w:eastAsia="Courier New" w:hAnsi="Courier New"/>
                <w:sz w:val="13"/>
                <w:szCs w:val="13"/>
                <w:color w:val="auto"/>
              </w:rPr>
              <w:t>Total current liabilities</w:t>
            </w:r>
          </w:p>
        </w:tc>
        <w:tc>
          <w:tcPr>
            <w:tcW w:w="2200" w:type="dxa"/>
            <w:vAlign w:val="bottom"/>
          </w:tcPr>
          <w:p>
            <w:pPr>
              <w:jc w:val="right"/>
              <w:ind w:right="493"/>
              <w:spacing w:after="0"/>
              <w:rPr>
                <w:sz w:val="20"/>
                <w:szCs w:val="20"/>
                <w:color w:val="auto"/>
              </w:rPr>
            </w:pPr>
            <w:r>
              <w:rPr>
                <w:rFonts w:ascii="Courier New" w:cs="Courier New" w:eastAsia="Courier New" w:hAnsi="Courier New"/>
                <w:sz w:val="13"/>
                <w:szCs w:val="13"/>
                <w:color w:val="auto"/>
              </w:rPr>
              <w:t>40,234</w:t>
            </w:r>
          </w:p>
        </w:tc>
        <w:tc>
          <w:tcPr>
            <w:tcW w:w="15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32,534</w:t>
            </w:r>
          </w:p>
        </w:tc>
      </w:tr>
      <w:tr>
        <w:trPr>
          <w:trHeight w:val="308"/>
        </w:trPr>
        <w:tc>
          <w:tcPr>
            <w:tcW w:w="5420" w:type="dxa"/>
            <w:vAlign w:val="bottom"/>
          </w:tcPr>
          <w:p>
            <w:pPr>
              <w:spacing w:after="0"/>
              <w:rPr>
                <w:sz w:val="20"/>
                <w:szCs w:val="20"/>
                <w:color w:val="auto"/>
              </w:rPr>
            </w:pPr>
            <w:r>
              <w:rPr>
                <w:rFonts w:ascii="Courier New" w:cs="Courier New" w:eastAsia="Courier New" w:hAnsi="Courier New"/>
                <w:sz w:val="13"/>
                <w:szCs w:val="13"/>
                <w:color w:val="auto"/>
              </w:rPr>
              <w:t>Minority interest in consolidated subsidiaries</w:t>
            </w:r>
          </w:p>
        </w:tc>
        <w:tc>
          <w:tcPr>
            <w:tcW w:w="2200" w:type="dxa"/>
            <w:vAlign w:val="bottom"/>
          </w:tcPr>
          <w:p>
            <w:pPr>
              <w:jc w:val="right"/>
              <w:ind w:right="493"/>
              <w:spacing w:after="0"/>
              <w:rPr>
                <w:sz w:val="20"/>
                <w:szCs w:val="20"/>
                <w:color w:val="auto"/>
              </w:rPr>
            </w:pPr>
            <w:r>
              <w:rPr>
                <w:rFonts w:ascii="Courier New" w:cs="Courier New" w:eastAsia="Courier New" w:hAnsi="Courier New"/>
                <w:sz w:val="13"/>
                <w:szCs w:val="13"/>
                <w:color w:val="auto"/>
              </w:rPr>
              <w:t>19,706</w:t>
            </w:r>
          </w:p>
        </w:tc>
        <w:tc>
          <w:tcPr>
            <w:tcW w:w="15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30,932</w:t>
            </w:r>
          </w:p>
        </w:tc>
      </w:tr>
      <w:tr>
        <w:trPr>
          <w:trHeight w:val="154"/>
        </w:trPr>
        <w:tc>
          <w:tcPr>
            <w:tcW w:w="5420" w:type="dxa"/>
            <w:vAlign w:val="bottom"/>
          </w:tcPr>
          <w:p>
            <w:pPr>
              <w:spacing w:after="0"/>
              <w:rPr>
                <w:sz w:val="20"/>
                <w:szCs w:val="20"/>
                <w:color w:val="auto"/>
              </w:rPr>
            </w:pPr>
            <w:r>
              <w:rPr>
                <w:rFonts w:ascii="Courier New" w:cs="Courier New" w:eastAsia="Courier New" w:hAnsi="Courier New"/>
                <w:sz w:val="13"/>
                <w:szCs w:val="13"/>
                <w:color w:val="auto"/>
              </w:rPr>
              <w:t>Non-current deferred tax liability</w:t>
            </w:r>
          </w:p>
        </w:tc>
        <w:tc>
          <w:tcPr>
            <w:tcW w:w="2200" w:type="dxa"/>
            <w:vAlign w:val="bottom"/>
          </w:tcPr>
          <w:p>
            <w:pPr>
              <w:jc w:val="right"/>
              <w:ind w:right="493"/>
              <w:spacing w:after="0"/>
              <w:rPr>
                <w:sz w:val="20"/>
                <w:szCs w:val="20"/>
                <w:color w:val="auto"/>
              </w:rPr>
            </w:pPr>
            <w:r>
              <w:rPr>
                <w:rFonts w:ascii="Courier New" w:cs="Courier New" w:eastAsia="Courier New" w:hAnsi="Courier New"/>
                <w:sz w:val="13"/>
                <w:szCs w:val="13"/>
                <w:color w:val="auto"/>
              </w:rPr>
              <w:t>9,334</w:t>
            </w:r>
          </w:p>
        </w:tc>
        <w:tc>
          <w:tcPr>
            <w:tcW w:w="15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7,362</w:t>
            </w:r>
          </w:p>
        </w:tc>
      </w:tr>
      <w:tr>
        <w:trPr>
          <w:trHeight w:val="154"/>
        </w:trPr>
        <w:tc>
          <w:tcPr>
            <w:tcW w:w="5420" w:type="dxa"/>
            <w:vAlign w:val="bottom"/>
          </w:tcPr>
          <w:p>
            <w:pPr>
              <w:spacing w:after="0"/>
              <w:rPr>
                <w:sz w:val="20"/>
                <w:szCs w:val="20"/>
                <w:color w:val="auto"/>
              </w:rPr>
            </w:pPr>
            <w:r>
              <w:rPr>
                <w:rFonts w:ascii="Courier New" w:cs="Courier New" w:eastAsia="Courier New" w:hAnsi="Courier New"/>
                <w:sz w:val="13"/>
                <w:szCs w:val="13"/>
                <w:color w:val="auto"/>
              </w:rPr>
              <w:t>Long-term debt</w:t>
            </w:r>
          </w:p>
        </w:tc>
        <w:tc>
          <w:tcPr>
            <w:tcW w:w="2200" w:type="dxa"/>
            <w:vAlign w:val="bottom"/>
          </w:tcPr>
          <w:p>
            <w:pPr>
              <w:jc w:val="right"/>
              <w:ind w:right="493"/>
              <w:spacing w:after="0"/>
              <w:rPr>
                <w:sz w:val="20"/>
                <w:szCs w:val="20"/>
                <w:color w:val="auto"/>
              </w:rPr>
            </w:pPr>
            <w:r>
              <w:rPr>
                <w:rFonts w:ascii="Courier New" w:cs="Courier New" w:eastAsia="Courier New" w:hAnsi="Courier New"/>
                <w:sz w:val="13"/>
                <w:szCs w:val="13"/>
                <w:color w:val="auto"/>
              </w:rPr>
              <w:t>46,135</w:t>
            </w:r>
          </w:p>
        </w:tc>
        <w:tc>
          <w:tcPr>
            <w:tcW w:w="15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47,661</w:t>
            </w:r>
          </w:p>
        </w:tc>
      </w:tr>
      <w:tr>
        <w:trPr>
          <w:trHeight w:val="154"/>
        </w:trPr>
        <w:tc>
          <w:tcPr>
            <w:tcW w:w="5420" w:type="dxa"/>
            <w:vAlign w:val="bottom"/>
          </w:tcPr>
          <w:p>
            <w:pPr>
              <w:spacing w:after="0"/>
              <w:rPr>
                <w:sz w:val="20"/>
                <w:szCs w:val="20"/>
                <w:color w:val="auto"/>
              </w:rPr>
            </w:pPr>
            <w:r>
              <w:rPr>
                <w:rFonts w:ascii="Courier New" w:cs="Courier New" w:eastAsia="Courier New" w:hAnsi="Courier New"/>
                <w:sz w:val="13"/>
                <w:szCs w:val="13"/>
                <w:color w:val="auto"/>
              </w:rPr>
              <w:t>Accrued pension and other</w:t>
            </w:r>
          </w:p>
        </w:tc>
        <w:tc>
          <w:tcPr>
            <w:tcW w:w="2200" w:type="dxa"/>
            <w:vAlign w:val="bottom"/>
          </w:tcPr>
          <w:p>
            <w:pPr>
              <w:jc w:val="right"/>
              <w:ind w:right="493"/>
              <w:spacing w:after="0"/>
              <w:rPr>
                <w:sz w:val="20"/>
                <w:szCs w:val="20"/>
                <w:color w:val="auto"/>
              </w:rPr>
            </w:pPr>
            <w:r>
              <w:rPr>
                <w:rFonts w:ascii="Courier New" w:cs="Courier New" w:eastAsia="Courier New" w:hAnsi="Courier New"/>
                <w:sz w:val="13"/>
                <w:szCs w:val="13"/>
                <w:color w:val="auto"/>
              </w:rPr>
              <w:t>9,319</w:t>
            </w:r>
          </w:p>
        </w:tc>
        <w:tc>
          <w:tcPr>
            <w:tcW w:w="15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7,607</w:t>
            </w:r>
          </w:p>
        </w:tc>
      </w:tr>
      <w:tr>
        <w:trPr>
          <w:trHeight w:val="154"/>
        </w:trPr>
        <w:tc>
          <w:tcPr>
            <w:tcW w:w="5420" w:type="dxa"/>
            <w:vAlign w:val="bottom"/>
          </w:tcPr>
          <w:p>
            <w:pPr>
              <w:spacing w:after="0"/>
              <w:rPr>
                <w:sz w:val="13"/>
                <w:szCs w:val="13"/>
                <w:color w:val="auto"/>
              </w:rPr>
            </w:pPr>
          </w:p>
        </w:tc>
        <w:tc>
          <w:tcPr>
            <w:tcW w:w="2200" w:type="dxa"/>
            <w:vAlign w:val="bottom"/>
          </w:tcPr>
          <w:p>
            <w:pPr>
              <w:jc w:val="right"/>
              <w:ind w:right="413"/>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5420" w:type="dxa"/>
            <w:vAlign w:val="bottom"/>
          </w:tcPr>
          <w:p>
            <w:pPr>
              <w:ind w:left="1280"/>
              <w:spacing w:after="0"/>
              <w:rPr>
                <w:sz w:val="20"/>
                <w:szCs w:val="20"/>
                <w:color w:val="auto"/>
              </w:rPr>
            </w:pPr>
            <w:r>
              <w:rPr>
                <w:rFonts w:ascii="Courier New" w:cs="Courier New" w:eastAsia="Courier New" w:hAnsi="Courier New"/>
                <w:sz w:val="13"/>
                <w:szCs w:val="13"/>
                <w:color w:val="auto"/>
              </w:rPr>
              <w:t>Total liabilities</w:t>
            </w:r>
          </w:p>
        </w:tc>
        <w:tc>
          <w:tcPr>
            <w:tcW w:w="2200" w:type="dxa"/>
            <w:vAlign w:val="bottom"/>
          </w:tcPr>
          <w:p>
            <w:pPr>
              <w:jc w:val="right"/>
              <w:ind w:right="493"/>
              <w:spacing w:after="0"/>
              <w:rPr>
                <w:sz w:val="20"/>
                <w:szCs w:val="20"/>
                <w:color w:val="auto"/>
              </w:rPr>
            </w:pPr>
            <w:r>
              <w:rPr>
                <w:rFonts w:ascii="Courier New" w:cs="Courier New" w:eastAsia="Courier New" w:hAnsi="Courier New"/>
                <w:sz w:val="13"/>
                <w:szCs w:val="13"/>
                <w:color w:val="auto"/>
              </w:rPr>
              <w:t>124,728</w:t>
            </w:r>
          </w:p>
        </w:tc>
        <w:tc>
          <w:tcPr>
            <w:tcW w:w="15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126,096</w:t>
            </w:r>
          </w:p>
        </w:tc>
      </w:tr>
      <w:tr>
        <w:trPr>
          <w:trHeight w:val="154"/>
        </w:trPr>
        <w:tc>
          <w:tcPr>
            <w:tcW w:w="5420" w:type="dxa"/>
            <w:vAlign w:val="bottom"/>
          </w:tcPr>
          <w:p>
            <w:pPr>
              <w:spacing w:after="0"/>
              <w:rPr>
                <w:sz w:val="13"/>
                <w:szCs w:val="13"/>
                <w:color w:val="auto"/>
              </w:rPr>
            </w:pPr>
          </w:p>
        </w:tc>
        <w:tc>
          <w:tcPr>
            <w:tcW w:w="2200" w:type="dxa"/>
            <w:vAlign w:val="bottom"/>
          </w:tcPr>
          <w:p>
            <w:pPr>
              <w:jc w:val="right"/>
              <w:ind w:right="413"/>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308"/>
        </w:trPr>
        <w:tc>
          <w:tcPr>
            <w:tcW w:w="5420" w:type="dxa"/>
            <w:vAlign w:val="bottom"/>
          </w:tcPr>
          <w:p>
            <w:pPr>
              <w:spacing w:after="0"/>
              <w:rPr>
                <w:sz w:val="20"/>
                <w:szCs w:val="20"/>
                <w:color w:val="auto"/>
              </w:rPr>
            </w:pPr>
            <w:r>
              <w:rPr>
                <w:rFonts w:ascii="Courier New" w:cs="Courier New" w:eastAsia="Courier New" w:hAnsi="Courier New"/>
                <w:sz w:val="13"/>
                <w:szCs w:val="13"/>
                <w:color w:val="auto"/>
              </w:rPr>
              <w:t>Stockholders' equity:</w:t>
            </w:r>
          </w:p>
        </w:tc>
        <w:tc>
          <w:tcPr>
            <w:tcW w:w="2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54"/>
        </w:trPr>
        <w:tc>
          <w:tcPr>
            <w:tcW w:w="5420" w:type="dxa"/>
            <w:vAlign w:val="bottom"/>
          </w:tcPr>
          <w:p>
            <w:pPr>
              <w:ind w:left="640"/>
              <w:spacing w:after="0"/>
              <w:rPr>
                <w:sz w:val="20"/>
                <w:szCs w:val="20"/>
                <w:color w:val="auto"/>
              </w:rPr>
            </w:pPr>
            <w:r>
              <w:rPr>
                <w:rFonts w:ascii="Courier New" w:cs="Courier New" w:eastAsia="Courier New" w:hAnsi="Courier New"/>
                <w:sz w:val="13"/>
                <w:szCs w:val="13"/>
                <w:color w:val="auto"/>
              </w:rPr>
              <w:t>Common stock - $0.01 par value, authorized</w:t>
            </w:r>
          </w:p>
        </w:tc>
        <w:tc>
          <w:tcPr>
            <w:tcW w:w="220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54"/>
        </w:trPr>
        <w:tc>
          <w:tcPr>
            <w:tcW w:w="5420" w:type="dxa"/>
            <w:vAlign w:val="bottom"/>
          </w:tcPr>
          <w:p>
            <w:pPr>
              <w:ind w:left="800"/>
              <w:spacing w:after="0"/>
              <w:rPr>
                <w:sz w:val="20"/>
                <w:szCs w:val="20"/>
                <w:color w:val="auto"/>
              </w:rPr>
            </w:pPr>
            <w:r>
              <w:rPr>
                <w:rFonts w:ascii="Courier New" w:cs="Courier New" w:eastAsia="Courier New" w:hAnsi="Courier New"/>
                <w:sz w:val="13"/>
                <w:szCs w:val="13"/>
                <w:color w:val="auto"/>
              </w:rPr>
              <w:t>45,000 shares, issued and outstanding</w:t>
            </w:r>
          </w:p>
        </w:tc>
        <w:tc>
          <w:tcPr>
            <w:tcW w:w="220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54"/>
        </w:trPr>
        <w:tc>
          <w:tcPr>
            <w:tcW w:w="5420" w:type="dxa"/>
            <w:vAlign w:val="bottom"/>
          </w:tcPr>
          <w:p>
            <w:pPr>
              <w:ind w:left="800"/>
              <w:spacing w:after="0"/>
              <w:rPr>
                <w:sz w:val="20"/>
                <w:szCs w:val="20"/>
                <w:color w:val="auto"/>
              </w:rPr>
            </w:pPr>
            <w:r>
              <w:rPr>
                <w:rFonts w:ascii="Courier New" w:cs="Courier New" w:eastAsia="Courier New" w:hAnsi="Courier New"/>
                <w:sz w:val="13"/>
                <w:szCs w:val="13"/>
                <w:color w:val="auto"/>
              </w:rPr>
              <w:t>15,367 shares in 2002 and 15,317 shares in 2001</w:t>
            </w:r>
          </w:p>
        </w:tc>
        <w:tc>
          <w:tcPr>
            <w:tcW w:w="2200" w:type="dxa"/>
            <w:vAlign w:val="bottom"/>
          </w:tcPr>
          <w:p>
            <w:pPr>
              <w:jc w:val="right"/>
              <w:ind w:right="493"/>
              <w:spacing w:after="0"/>
              <w:rPr>
                <w:sz w:val="20"/>
                <w:szCs w:val="20"/>
                <w:color w:val="auto"/>
              </w:rPr>
            </w:pPr>
            <w:r>
              <w:rPr>
                <w:rFonts w:ascii="Courier New" w:cs="Courier New" w:eastAsia="Courier New" w:hAnsi="Courier New"/>
                <w:sz w:val="13"/>
                <w:szCs w:val="13"/>
                <w:color w:val="auto"/>
              </w:rPr>
              <w:t>154</w:t>
            </w:r>
          </w:p>
        </w:tc>
        <w:tc>
          <w:tcPr>
            <w:tcW w:w="15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154</w:t>
            </w:r>
          </w:p>
        </w:tc>
      </w:tr>
      <w:tr>
        <w:trPr>
          <w:trHeight w:val="154"/>
        </w:trPr>
        <w:tc>
          <w:tcPr>
            <w:tcW w:w="5420" w:type="dxa"/>
            <w:vAlign w:val="bottom"/>
          </w:tcPr>
          <w:p>
            <w:pPr>
              <w:ind w:left="640"/>
              <w:spacing w:after="0"/>
              <w:rPr>
                <w:sz w:val="20"/>
                <w:szCs w:val="20"/>
                <w:color w:val="auto"/>
              </w:rPr>
            </w:pPr>
            <w:r>
              <w:rPr>
                <w:rFonts w:ascii="Courier New" w:cs="Courier New" w:eastAsia="Courier New" w:hAnsi="Courier New"/>
                <w:sz w:val="13"/>
                <w:szCs w:val="13"/>
                <w:color w:val="auto"/>
              </w:rPr>
              <w:t>Additional paid-in capital</w:t>
            </w:r>
          </w:p>
        </w:tc>
        <w:tc>
          <w:tcPr>
            <w:tcW w:w="2200" w:type="dxa"/>
            <w:vAlign w:val="bottom"/>
          </w:tcPr>
          <w:p>
            <w:pPr>
              <w:jc w:val="right"/>
              <w:ind w:right="493"/>
              <w:spacing w:after="0"/>
              <w:rPr>
                <w:sz w:val="20"/>
                <w:szCs w:val="20"/>
                <w:color w:val="auto"/>
              </w:rPr>
            </w:pPr>
            <w:r>
              <w:rPr>
                <w:rFonts w:ascii="Courier New" w:cs="Courier New" w:eastAsia="Courier New" w:hAnsi="Courier New"/>
                <w:sz w:val="13"/>
                <w:szCs w:val="13"/>
                <w:color w:val="auto"/>
              </w:rPr>
              <w:t>31,187</w:t>
            </w:r>
          </w:p>
        </w:tc>
        <w:tc>
          <w:tcPr>
            <w:tcW w:w="15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30,841</w:t>
            </w:r>
          </w:p>
        </w:tc>
      </w:tr>
      <w:tr>
        <w:trPr>
          <w:trHeight w:val="154"/>
        </w:trPr>
        <w:tc>
          <w:tcPr>
            <w:tcW w:w="5420" w:type="dxa"/>
            <w:vAlign w:val="bottom"/>
          </w:tcPr>
          <w:p>
            <w:pPr>
              <w:ind w:left="640"/>
              <w:spacing w:after="0"/>
              <w:rPr>
                <w:sz w:val="20"/>
                <w:szCs w:val="20"/>
                <w:color w:val="auto"/>
              </w:rPr>
            </w:pPr>
            <w:r>
              <w:rPr>
                <w:rFonts w:ascii="Courier New" w:cs="Courier New" w:eastAsia="Courier New" w:hAnsi="Courier New"/>
                <w:sz w:val="13"/>
                <w:szCs w:val="13"/>
                <w:color w:val="auto"/>
              </w:rPr>
              <w:t>Retained earnings</w:t>
            </w:r>
          </w:p>
        </w:tc>
        <w:tc>
          <w:tcPr>
            <w:tcW w:w="2200" w:type="dxa"/>
            <w:vAlign w:val="bottom"/>
          </w:tcPr>
          <w:p>
            <w:pPr>
              <w:jc w:val="right"/>
              <w:ind w:right="493"/>
              <w:spacing w:after="0"/>
              <w:rPr>
                <w:sz w:val="20"/>
                <w:szCs w:val="20"/>
                <w:color w:val="auto"/>
              </w:rPr>
            </w:pPr>
            <w:r>
              <w:rPr>
                <w:rFonts w:ascii="Courier New" w:cs="Courier New" w:eastAsia="Courier New" w:hAnsi="Courier New"/>
                <w:sz w:val="13"/>
                <w:szCs w:val="13"/>
                <w:color w:val="auto"/>
              </w:rPr>
              <w:t>44,888</w:t>
            </w:r>
          </w:p>
        </w:tc>
        <w:tc>
          <w:tcPr>
            <w:tcW w:w="15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36,139</w:t>
            </w:r>
          </w:p>
        </w:tc>
      </w:tr>
      <w:tr>
        <w:trPr>
          <w:trHeight w:val="154"/>
        </w:trPr>
        <w:tc>
          <w:tcPr>
            <w:tcW w:w="5420" w:type="dxa"/>
            <w:vAlign w:val="bottom"/>
          </w:tcPr>
          <w:p>
            <w:pPr>
              <w:ind w:left="640"/>
              <w:spacing w:after="0"/>
              <w:rPr>
                <w:sz w:val="20"/>
                <w:szCs w:val="20"/>
                <w:color w:val="auto"/>
              </w:rPr>
            </w:pPr>
            <w:r>
              <w:rPr>
                <w:rFonts w:ascii="Courier New" w:cs="Courier New" w:eastAsia="Courier New" w:hAnsi="Courier New"/>
                <w:sz w:val="13"/>
                <w:szCs w:val="13"/>
                <w:color w:val="auto"/>
              </w:rPr>
              <w:t>Accumulated other comprehensive loss</w:t>
            </w:r>
          </w:p>
        </w:tc>
        <w:tc>
          <w:tcPr>
            <w:tcW w:w="2200" w:type="dxa"/>
            <w:vAlign w:val="bottom"/>
          </w:tcPr>
          <w:p>
            <w:pPr>
              <w:jc w:val="right"/>
              <w:ind w:right="493"/>
              <w:spacing w:after="0"/>
              <w:rPr>
                <w:sz w:val="20"/>
                <w:szCs w:val="20"/>
                <w:color w:val="auto"/>
              </w:rPr>
            </w:pPr>
            <w:r>
              <w:rPr>
                <w:rFonts w:ascii="Courier New" w:cs="Courier New" w:eastAsia="Courier New" w:hAnsi="Courier New"/>
                <w:sz w:val="13"/>
                <w:szCs w:val="13"/>
                <w:color w:val="auto"/>
              </w:rPr>
              <w:t>(2,950)</w:t>
            </w:r>
          </w:p>
        </w:tc>
        <w:tc>
          <w:tcPr>
            <w:tcW w:w="15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(5,095)</w:t>
            </w:r>
          </w:p>
        </w:tc>
      </w:tr>
      <w:tr>
        <w:trPr>
          <w:trHeight w:val="154"/>
        </w:trPr>
        <w:tc>
          <w:tcPr>
            <w:tcW w:w="5420" w:type="dxa"/>
            <w:vAlign w:val="bottom"/>
          </w:tcPr>
          <w:p>
            <w:pPr>
              <w:spacing w:after="0"/>
              <w:rPr>
                <w:sz w:val="13"/>
                <w:szCs w:val="13"/>
                <w:color w:val="auto"/>
              </w:rPr>
            </w:pPr>
          </w:p>
        </w:tc>
        <w:tc>
          <w:tcPr>
            <w:tcW w:w="2200" w:type="dxa"/>
            <w:vAlign w:val="bottom"/>
          </w:tcPr>
          <w:p>
            <w:pPr>
              <w:jc w:val="right"/>
              <w:ind w:right="413"/>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5420" w:type="dxa"/>
            <w:vAlign w:val="bottom"/>
          </w:tcPr>
          <w:p>
            <w:pPr>
              <w:ind w:left="1280"/>
              <w:spacing w:after="0"/>
              <w:rPr>
                <w:sz w:val="20"/>
                <w:szCs w:val="20"/>
                <w:color w:val="auto"/>
              </w:rPr>
            </w:pPr>
            <w:r>
              <w:rPr>
                <w:rFonts w:ascii="Courier New" w:cs="Courier New" w:eastAsia="Courier New" w:hAnsi="Courier New"/>
                <w:sz w:val="13"/>
                <w:szCs w:val="13"/>
                <w:color w:val="auto"/>
              </w:rPr>
              <w:t>Total stockholders' equity</w:t>
            </w:r>
          </w:p>
        </w:tc>
        <w:tc>
          <w:tcPr>
            <w:tcW w:w="2200" w:type="dxa"/>
            <w:vAlign w:val="bottom"/>
          </w:tcPr>
          <w:p>
            <w:pPr>
              <w:jc w:val="right"/>
              <w:ind w:right="493"/>
              <w:spacing w:after="0"/>
              <w:rPr>
                <w:sz w:val="20"/>
                <w:szCs w:val="20"/>
                <w:color w:val="auto"/>
              </w:rPr>
            </w:pPr>
            <w:r>
              <w:rPr>
                <w:rFonts w:ascii="Courier New" w:cs="Courier New" w:eastAsia="Courier New" w:hAnsi="Courier New"/>
                <w:sz w:val="13"/>
                <w:szCs w:val="13"/>
                <w:color w:val="auto"/>
              </w:rPr>
              <w:t>73,279</w:t>
            </w:r>
          </w:p>
        </w:tc>
        <w:tc>
          <w:tcPr>
            <w:tcW w:w="15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62,039</w:t>
            </w:r>
          </w:p>
        </w:tc>
      </w:tr>
      <w:tr>
        <w:trPr>
          <w:trHeight w:val="154"/>
        </w:trPr>
        <w:tc>
          <w:tcPr>
            <w:tcW w:w="5420" w:type="dxa"/>
            <w:vAlign w:val="bottom"/>
          </w:tcPr>
          <w:p>
            <w:pPr>
              <w:spacing w:after="0"/>
              <w:rPr>
                <w:sz w:val="13"/>
                <w:szCs w:val="13"/>
                <w:color w:val="auto"/>
              </w:rPr>
            </w:pPr>
          </w:p>
        </w:tc>
        <w:tc>
          <w:tcPr>
            <w:tcW w:w="2200" w:type="dxa"/>
            <w:vAlign w:val="bottom"/>
          </w:tcPr>
          <w:p>
            <w:pPr>
              <w:jc w:val="right"/>
              <w:ind w:right="413"/>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5420" w:type="dxa"/>
            <w:vAlign w:val="bottom"/>
          </w:tcPr>
          <w:p>
            <w:pPr>
              <w:ind w:left="1280"/>
              <w:spacing w:after="0"/>
              <w:rPr>
                <w:sz w:val="20"/>
                <w:szCs w:val="20"/>
                <w:color w:val="auto"/>
              </w:rPr>
            </w:pPr>
            <w:r>
              <w:rPr>
                <w:rFonts w:ascii="Courier New" w:cs="Courier New" w:eastAsia="Courier New" w:hAnsi="Courier New"/>
                <w:sz w:val="13"/>
                <w:szCs w:val="13"/>
                <w:color w:val="auto"/>
              </w:rPr>
              <w:t>Total liabilities and stockholders' equity</w:t>
            </w:r>
          </w:p>
        </w:tc>
        <w:tc>
          <w:tcPr>
            <w:tcW w:w="2200" w:type="dxa"/>
            <w:vAlign w:val="bottom"/>
          </w:tcPr>
          <w:p>
            <w:pPr>
              <w:jc w:val="right"/>
              <w:ind w:right="493"/>
              <w:spacing w:after="0"/>
              <w:rPr>
                <w:sz w:val="20"/>
                <w:szCs w:val="20"/>
                <w:color w:val="auto"/>
              </w:rPr>
            </w:pPr>
            <w:r>
              <w:rPr>
                <w:rFonts w:ascii="Courier New" w:cs="Courier New" w:eastAsia="Courier New" w:hAnsi="Courier New"/>
                <w:sz w:val="13"/>
                <w:szCs w:val="13"/>
                <w:color w:val="auto"/>
              </w:rPr>
              <w:t>$198,007</w:t>
            </w:r>
          </w:p>
        </w:tc>
        <w:tc>
          <w:tcPr>
            <w:tcW w:w="15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$188,135</w:t>
            </w:r>
          </w:p>
        </w:tc>
      </w:tr>
    </w:tbl>
    <w:p>
      <w:pPr>
        <w:sectPr>
          <w:pgSz w:w="11900" w:h="16838" w:orient="portrait"/>
          <w:cols w:equalWidth="0" w:num="1">
            <w:col w:w="10239"/>
          </w:cols>
          <w:pgMar w:left="220" w:top="295" w:right="1440" w:bottom="0" w:gutter="0" w:footer="0" w:header="0"/>
        </w:sectPr>
      </w:pPr>
    </w:p>
    <w:bookmarkStart w:id="20" w:name="page21"/>
    <w:bookmarkEnd w:id="20"/>
    <w:p>
      <w:pPr>
        <w:ind w:left="6100"/>
        <w:spacing w:after="0"/>
        <w:tabs>
          <w:tab w:leader="none" w:pos="8080" w:val="left"/>
        </w:tabs>
        <w:rPr>
          <w:sz w:val="20"/>
          <w:szCs w:val="20"/>
          <w:color w:val="auto"/>
        </w:rPr>
      </w:pP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w:t>
      </w:r>
    </w:p>
    <w:p>
      <w:pPr>
        <w:spacing w:after="0" w:line="315" w:lineRule="exact"/>
        <w:rPr>
          <w:sz w:val="20"/>
          <w:szCs w:val="20"/>
          <w:color w:val="auto"/>
        </w:rPr>
      </w:pPr>
    </w:p>
    <w:p>
      <w:pPr>
        <w:ind w:left="2080"/>
        <w:spacing w:after="0"/>
        <w:rPr>
          <w:sz w:val="20"/>
          <w:szCs w:val="20"/>
          <w:color w:val="auto"/>
        </w:rPr>
      </w:pPr>
      <w:r>
        <w:rPr>
          <w:rFonts w:ascii="Courier New" w:cs="Courier New" w:eastAsia="Courier New" w:hAnsi="Courier New"/>
          <w:sz w:val="13"/>
          <w:szCs w:val="13"/>
          <w:b w:val="1"/>
          <w:bCs w:val="1"/>
          <w:color w:val="auto"/>
        </w:rPr>
        <w:t>See accompanying notes to consolidated financial statements</w:t>
      </w:r>
    </w:p>
    <w:p>
      <w:pPr>
        <w:spacing w:after="0" w:line="200" w:lineRule="exact"/>
        <w:rPr>
          <w:sz w:val="20"/>
          <w:szCs w:val="20"/>
          <w:color w:val="auto"/>
        </w:rPr>
      </w:pPr>
    </w:p>
    <w:p>
      <w:pPr>
        <w:spacing w:after="0" w:line="270"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120"/>
        <w:spacing w:after="0"/>
        <w:rPr>
          <w:sz w:val="20"/>
          <w:szCs w:val="20"/>
          <w:color w:val="auto"/>
        </w:rPr>
      </w:pPr>
      <w:r>
        <w:rPr>
          <w:rFonts w:ascii="Courier New" w:cs="Courier New" w:eastAsia="Courier New" w:hAnsi="Courier New"/>
          <w:sz w:val="13"/>
          <w:szCs w:val="13"/>
          <w:b w:val="1"/>
          <w:bCs w:val="1"/>
          <w:color w:val="auto"/>
        </w:rPr>
        <w:t>NN, Inc.</w:t>
      </w:r>
    </w:p>
    <w:p>
      <w:pPr>
        <w:spacing w:after="0" w:line="7" w:lineRule="exact"/>
        <w:rPr>
          <w:sz w:val="20"/>
          <w:szCs w:val="20"/>
          <w:color w:val="auto"/>
        </w:rPr>
      </w:pPr>
    </w:p>
    <w:p>
      <w:pPr>
        <w:jc w:val="center"/>
        <w:ind w:right="5120"/>
        <w:spacing w:after="0"/>
        <w:rPr>
          <w:sz w:val="20"/>
          <w:szCs w:val="20"/>
          <w:color w:val="auto"/>
        </w:rPr>
      </w:pPr>
      <w:r>
        <w:rPr>
          <w:rFonts w:ascii="Courier New" w:cs="Courier New" w:eastAsia="Courier New" w:hAnsi="Courier New"/>
          <w:sz w:val="13"/>
          <w:szCs w:val="13"/>
          <w:b w:val="1"/>
          <w:bCs w:val="1"/>
          <w:color w:val="auto"/>
        </w:rPr>
        <w:t>Consolidated Statements of Income and Comprehensive Income</w:t>
      </w:r>
    </w:p>
    <w:p>
      <w:pPr>
        <w:spacing w:after="0" w:line="7" w:lineRule="exact"/>
        <w:rPr>
          <w:sz w:val="20"/>
          <w:szCs w:val="20"/>
          <w:color w:val="auto"/>
        </w:rPr>
      </w:pPr>
    </w:p>
    <w:p>
      <w:pPr>
        <w:jc w:val="center"/>
        <w:ind w:right="5120"/>
        <w:spacing w:after="0"/>
        <w:rPr>
          <w:sz w:val="20"/>
          <w:szCs w:val="20"/>
          <w:color w:val="auto"/>
        </w:rPr>
      </w:pPr>
      <w:r>
        <w:rPr>
          <w:rFonts w:ascii="Courier New" w:cs="Courier New" w:eastAsia="Courier New" w:hAnsi="Courier New"/>
          <w:sz w:val="13"/>
          <w:szCs w:val="13"/>
          <w:b w:val="1"/>
          <w:bCs w:val="1"/>
          <w:color w:val="auto"/>
        </w:rPr>
        <w:t>Years ended December 31, 2002, 2001 and 2000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60" w:type="dxa"/>
            <w:vAlign w:val="bottom"/>
            <w:gridSpan w:val="2"/>
          </w:tcPr>
          <w:p>
            <w:pPr>
              <w:ind w:left="1760"/>
              <w:spacing w:after="0"/>
              <w:rPr>
                <w:sz w:val="20"/>
                <w:szCs w:val="20"/>
                <w:color w:val="auto"/>
              </w:rPr>
            </w:pPr>
            <w:r>
              <w:rPr>
                <w:rFonts w:ascii="Courier New" w:cs="Courier New" w:eastAsia="Courier New" w:hAnsi="Courier New"/>
                <w:sz w:val="13"/>
                <w:szCs w:val="13"/>
                <w:b w:val="1"/>
                <w:bCs w:val="1"/>
                <w:color w:val="auto"/>
              </w:rPr>
              <w:t>(In thousands, except per share data)</w:t>
            </w: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308"/>
        </w:trPr>
        <w:tc>
          <w:tcPr>
            <w:tcW w:w="3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gridSpan w:val="2"/>
          </w:tcPr>
          <w:p>
            <w:pPr>
              <w:jc w:val="right"/>
              <w:ind w:right="333"/>
              <w:spacing w:after="0"/>
              <w:rPr>
                <w:sz w:val="20"/>
                <w:szCs w:val="20"/>
                <w:color w:val="auto"/>
              </w:rPr>
            </w:pPr>
            <w:r>
              <w:rPr>
                <w:rFonts w:ascii="Courier New" w:cs="Courier New" w:eastAsia="Courier New" w:hAnsi="Courier New"/>
                <w:sz w:val="13"/>
                <w:szCs w:val="13"/>
                <w:b w:val="1"/>
                <w:bCs w:val="1"/>
                <w:color w:val="auto"/>
              </w:rPr>
              <w:t>2002</w:t>
            </w:r>
          </w:p>
        </w:tc>
        <w:tc>
          <w:tcPr>
            <w:tcW w:w="1440" w:type="dxa"/>
            <w:vAlign w:val="bottom"/>
            <w:gridSpan w:val="2"/>
          </w:tcPr>
          <w:p>
            <w:pPr>
              <w:jc w:val="right"/>
              <w:ind w:right="333"/>
              <w:spacing w:after="0"/>
              <w:rPr>
                <w:sz w:val="20"/>
                <w:szCs w:val="20"/>
                <w:color w:val="auto"/>
              </w:rPr>
            </w:pPr>
            <w:r>
              <w:rPr>
                <w:rFonts w:ascii="Courier New" w:cs="Courier New" w:eastAsia="Courier New" w:hAnsi="Courier New"/>
                <w:sz w:val="13"/>
                <w:szCs w:val="13"/>
                <w:b w:val="1"/>
                <w:bCs w:val="1"/>
                <w:color w:val="auto"/>
              </w:rPr>
              <w:t>2001</w:t>
            </w:r>
          </w:p>
        </w:tc>
        <w:tc>
          <w:tcPr>
            <w:tcW w:w="96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2000</w:t>
            </w:r>
          </w:p>
        </w:tc>
        <w:tc>
          <w:tcPr>
            <w:tcW w:w="1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4"/>
        </w:trPr>
        <w:tc>
          <w:tcPr>
            <w:tcW w:w="3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3"/>
                <w:szCs w:val="13"/>
                <w:b w:val="1"/>
                <w:bCs w:val="1"/>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3"/>
                <w:szCs w:val="13"/>
                <w:b w:val="1"/>
                <w:bCs w:val="1"/>
                <w:color w:val="auto"/>
              </w:rPr>
              <w:t>-------------</w:t>
            </w:r>
          </w:p>
        </w:tc>
        <w:tc>
          <w:tcPr>
            <w:tcW w:w="2920" w:type="dxa"/>
            <w:vAlign w:val="bottom"/>
            <w:gridSpan w:val="2"/>
          </w:tcPr>
          <w:p>
            <w:pPr>
              <w:jc w:val="right"/>
              <w:ind w:right="1493"/>
              <w:spacing w:after="0"/>
              <w:rPr>
                <w:sz w:val="20"/>
                <w:szCs w:val="20"/>
                <w:color w:val="auto"/>
              </w:rPr>
            </w:pPr>
            <w:r>
              <w:rPr>
                <w:rFonts w:ascii="Courier New" w:cs="Courier New" w:eastAsia="Courier New" w:hAnsi="Courier New"/>
                <w:sz w:val="13"/>
                <w:szCs w:val="13"/>
                <w:b w:val="1"/>
                <w:bCs w:val="1"/>
                <w:color w:val="auto"/>
              </w:rPr>
              <w:t>------------</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20"/>
                <w:szCs w:val="20"/>
                <w:color w:val="auto"/>
              </w:rPr>
            </w:pPr>
            <w:r>
              <w:rPr>
                <w:rFonts w:ascii="Courier New" w:cs="Courier New" w:eastAsia="Courier New" w:hAnsi="Courier New"/>
                <w:sz w:val="13"/>
                <w:szCs w:val="13"/>
                <w:color w:val="auto"/>
              </w:rPr>
              <w:t>Net sales</w:t>
            </w:r>
          </w:p>
        </w:tc>
        <w:tc>
          <w:tcPr>
            <w:tcW w:w="1080" w:type="dxa"/>
            <w:vAlign w:val="bottom"/>
          </w:tcPr>
          <w:p>
            <w:pPr>
              <w:spacing w:after="0"/>
              <w:rPr>
                <w:sz w:val="13"/>
                <w:szCs w:val="13"/>
                <w:color w:val="auto"/>
              </w:rPr>
            </w:pPr>
          </w:p>
        </w:tc>
        <w:tc>
          <w:tcPr>
            <w:tcW w:w="124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$192,856</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$180,151</w:t>
            </w:r>
          </w:p>
        </w:tc>
        <w:tc>
          <w:tcPr>
            <w:tcW w:w="2920" w:type="dxa"/>
            <w:vAlign w:val="bottom"/>
            <w:gridSpan w:val="2"/>
          </w:tcPr>
          <w:p>
            <w:pPr>
              <w:jc w:val="right"/>
              <w:ind w:right="1573"/>
              <w:spacing w:after="0"/>
              <w:rPr>
                <w:sz w:val="20"/>
                <w:szCs w:val="20"/>
                <w:color w:val="auto"/>
              </w:rPr>
            </w:pPr>
            <w:r>
              <w:rPr>
                <w:rFonts w:ascii="Courier New" w:cs="Courier New" w:eastAsia="Courier New" w:hAnsi="Courier New"/>
                <w:sz w:val="13"/>
                <w:szCs w:val="13"/>
                <w:color w:val="auto"/>
              </w:rPr>
              <w:t>$132,129</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20"/>
                <w:szCs w:val="20"/>
                <w:color w:val="auto"/>
              </w:rPr>
            </w:pPr>
            <w:r>
              <w:rPr>
                <w:rFonts w:ascii="Courier New" w:cs="Courier New" w:eastAsia="Courier New" w:hAnsi="Courier New"/>
                <w:sz w:val="13"/>
                <w:szCs w:val="13"/>
                <w:color w:val="auto"/>
              </w:rPr>
              <w:t>Cost of products sold</w:t>
            </w:r>
          </w:p>
        </w:tc>
        <w:tc>
          <w:tcPr>
            <w:tcW w:w="1080" w:type="dxa"/>
            <w:vAlign w:val="bottom"/>
          </w:tcPr>
          <w:p>
            <w:pPr>
              <w:spacing w:after="0"/>
              <w:rPr>
                <w:sz w:val="13"/>
                <w:szCs w:val="13"/>
                <w:color w:val="auto"/>
              </w:rPr>
            </w:pPr>
          </w:p>
        </w:tc>
        <w:tc>
          <w:tcPr>
            <w:tcW w:w="124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144,274</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137,221</w:t>
            </w:r>
          </w:p>
        </w:tc>
        <w:tc>
          <w:tcPr>
            <w:tcW w:w="2920" w:type="dxa"/>
            <w:vAlign w:val="bottom"/>
            <w:gridSpan w:val="2"/>
          </w:tcPr>
          <w:p>
            <w:pPr>
              <w:jc w:val="right"/>
              <w:ind w:right="1573"/>
              <w:spacing w:after="0"/>
              <w:rPr>
                <w:sz w:val="20"/>
                <w:szCs w:val="20"/>
                <w:color w:val="auto"/>
              </w:rPr>
            </w:pPr>
            <w:r>
              <w:rPr>
                <w:rFonts w:ascii="Courier New" w:cs="Courier New" w:eastAsia="Courier New" w:hAnsi="Courier New"/>
                <w:sz w:val="13"/>
                <w:szCs w:val="13"/>
                <w:color w:val="auto"/>
              </w:rPr>
              <w:t>93,926</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2920" w:type="dxa"/>
            <w:vAlign w:val="bottom"/>
            <w:gridSpan w:val="2"/>
          </w:tcPr>
          <w:p>
            <w:pPr>
              <w:jc w:val="right"/>
              <w:ind w:right="149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ind w:left="480"/>
              <w:spacing w:after="0"/>
              <w:rPr>
                <w:sz w:val="20"/>
                <w:szCs w:val="20"/>
                <w:color w:val="auto"/>
              </w:rPr>
            </w:pPr>
            <w:r>
              <w:rPr>
                <w:rFonts w:ascii="Courier New" w:cs="Courier New" w:eastAsia="Courier New" w:hAnsi="Courier New"/>
                <w:sz w:val="13"/>
                <w:szCs w:val="13"/>
                <w:color w:val="auto"/>
              </w:rPr>
              <w:t>Gross profit</w:t>
            </w: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8"/>
              </w:rPr>
              <w:t>48,582</w:t>
            </w:r>
          </w:p>
        </w:tc>
        <w:tc>
          <w:tcPr>
            <w:tcW w:w="88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8"/>
              </w:rPr>
              <w:t>42,930</w:t>
            </w:r>
          </w:p>
        </w:tc>
        <w:tc>
          <w:tcPr>
            <w:tcW w:w="2920" w:type="dxa"/>
            <w:vAlign w:val="bottom"/>
            <w:gridSpan w:val="2"/>
          </w:tcPr>
          <w:p>
            <w:pPr>
              <w:jc w:val="right"/>
              <w:ind w:right="1573"/>
              <w:spacing w:after="0"/>
              <w:rPr>
                <w:sz w:val="20"/>
                <w:szCs w:val="20"/>
                <w:color w:val="auto"/>
              </w:rPr>
            </w:pPr>
            <w:r>
              <w:rPr>
                <w:rFonts w:ascii="Courier New" w:cs="Courier New" w:eastAsia="Courier New" w:hAnsi="Courier New"/>
                <w:sz w:val="13"/>
                <w:szCs w:val="13"/>
                <w:color w:val="auto"/>
              </w:rPr>
              <w:t>38,203</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08"/>
        </w:trPr>
        <w:tc>
          <w:tcPr>
            <w:tcW w:w="3780" w:type="dxa"/>
            <w:vAlign w:val="bottom"/>
          </w:tcPr>
          <w:p>
            <w:pPr>
              <w:spacing w:after="0"/>
              <w:rPr>
                <w:sz w:val="20"/>
                <w:szCs w:val="20"/>
                <w:color w:val="auto"/>
              </w:rPr>
            </w:pPr>
            <w:r>
              <w:rPr>
                <w:rFonts w:ascii="Courier New" w:cs="Courier New" w:eastAsia="Courier New" w:hAnsi="Courier New"/>
                <w:sz w:val="13"/>
                <w:szCs w:val="13"/>
                <w:color w:val="auto"/>
              </w:rPr>
              <w:t>Selling, general and administrative</w:t>
            </w: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8"/>
              </w:rPr>
              <w:t>17,134</w:t>
            </w:r>
          </w:p>
        </w:tc>
        <w:tc>
          <w:tcPr>
            <w:tcW w:w="880" w:type="dxa"/>
            <w:vAlign w:val="bottom"/>
          </w:tcPr>
          <w:p>
            <w:pPr>
              <w:spacing w:after="0"/>
              <w:rPr>
                <w:sz w:val="24"/>
                <w:szCs w:val="24"/>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8"/>
              </w:rPr>
              <w:t>16,752</w:t>
            </w:r>
          </w:p>
        </w:tc>
        <w:tc>
          <w:tcPr>
            <w:tcW w:w="2920" w:type="dxa"/>
            <w:vAlign w:val="bottom"/>
            <w:gridSpan w:val="2"/>
          </w:tcPr>
          <w:p>
            <w:pPr>
              <w:jc w:val="right"/>
              <w:ind w:right="1573"/>
              <w:spacing w:after="0"/>
              <w:rPr>
                <w:sz w:val="20"/>
                <w:szCs w:val="20"/>
                <w:color w:val="auto"/>
              </w:rPr>
            </w:pPr>
            <w:r>
              <w:rPr>
                <w:rFonts w:ascii="Courier New" w:cs="Courier New" w:eastAsia="Courier New" w:hAnsi="Courier New"/>
                <w:sz w:val="13"/>
                <w:szCs w:val="13"/>
                <w:color w:val="auto"/>
              </w:rPr>
              <w:t>11,571</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4"/>
        </w:trPr>
        <w:tc>
          <w:tcPr>
            <w:tcW w:w="3780" w:type="dxa"/>
            <w:vAlign w:val="bottom"/>
          </w:tcPr>
          <w:p>
            <w:pPr>
              <w:spacing w:after="0"/>
              <w:rPr>
                <w:sz w:val="20"/>
                <w:szCs w:val="20"/>
                <w:color w:val="auto"/>
              </w:rPr>
            </w:pPr>
            <w:r>
              <w:rPr>
                <w:rFonts w:ascii="Courier New" w:cs="Courier New" w:eastAsia="Courier New" w:hAnsi="Courier New"/>
                <w:sz w:val="13"/>
                <w:szCs w:val="13"/>
                <w:color w:val="auto"/>
              </w:rPr>
              <w:t>Depreciation and amortization</w:t>
            </w: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8"/>
              </w:rPr>
              <w:t>11,212</w:t>
            </w:r>
          </w:p>
        </w:tc>
        <w:tc>
          <w:tcPr>
            <w:tcW w:w="88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8"/>
              </w:rPr>
              <w:t>13,150</w:t>
            </w:r>
          </w:p>
        </w:tc>
        <w:tc>
          <w:tcPr>
            <w:tcW w:w="2920" w:type="dxa"/>
            <w:vAlign w:val="bottom"/>
            <w:gridSpan w:val="2"/>
          </w:tcPr>
          <w:p>
            <w:pPr>
              <w:jc w:val="right"/>
              <w:ind w:right="1573"/>
              <w:spacing w:after="0"/>
              <w:rPr>
                <w:sz w:val="20"/>
                <w:szCs w:val="20"/>
                <w:color w:val="auto"/>
              </w:rPr>
            </w:pPr>
            <w:r>
              <w:rPr>
                <w:rFonts w:ascii="Courier New" w:cs="Courier New" w:eastAsia="Courier New" w:hAnsi="Courier New"/>
                <w:sz w:val="13"/>
                <w:szCs w:val="13"/>
                <w:color w:val="auto"/>
              </w:rPr>
              <w:t>9,165</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20"/>
                <w:szCs w:val="20"/>
                <w:color w:val="auto"/>
              </w:rPr>
            </w:pPr>
            <w:r>
              <w:rPr>
                <w:rFonts w:ascii="Courier New" w:cs="Courier New" w:eastAsia="Courier New" w:hAnsi="Courier New"/>
                <w:sz w:val="13"/>
                <w:szCs w:val="13"/>
                <w:color w:val="auto"/>
              </w:rPr>
              <w:t>Restructuring and impairment costs</w:t>
            </w: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1,277</w:t>
            </w:r>
          </w:p>
        </w:tc>
        <w:tc>
          <w:tcPr>
            <w:tcW w:w="88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2,312</w:t>
            </w:r>
          </w:p>
        </w:tc>
        <w:tc>
          <w:tcPr>
            <w:tcW w:w="960" w:type="dxa"/>
            <w:vAlign w:val="bottom"/>
          </w:tcPr>
          <w:p>
            <w:pPr>
              <w:spacing w:after="0"/>
              <w:rPr>
                <w:sz w:val="13"/>
                <w:szCs w:val="13"/>
                <w:color w:val="auto"/>
              </w:rPr>
            </w:pPr>
          </w:p>
        </w:tc>
        <w:tc>
          <w:tcPr>
            <w:tcW w:w="1960" w:type="dxa"/>
            <w:vAlign w:val="bottom"/>
          </w:tcPr>
          <w:p>
            <w:pPr>
              <w:jc w:val="right"/>
              <w:ind w:right="157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2920" w:type="dxa"/>
            <w:vAlign w:val="bottom"/>
            <w:gridSpan w:val="2"/>
          </w:tcPr>
          <w:p>
            <w:pPr>
              <w:jc w:val="right"/>
              <w:ind w:right="149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20"/>
                <w:szCs w:val="20"/>
                <w:color w:val="auto"/>
              </w:rPr>
            </w:pPr>
            <w:r>
              <w:rPr>
                <w:rFonts w:ascii="Courier New" w:cs="Courier New" w:eastAsia="Courier New" w:hAnsi="Courier New"/>
                <w:sz w:val="13"/>
                <w:szCs w:val="13"/>
                <w:color w:val="auto"/>
              </w:rPr>
              <w:t>Income from operations</w:t>
            </w: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8"/>
              </w:rPr>
              <w:t>18,959</w:t>
            </w:r>
          </w:p>
        </w:tc>
        <w:tc>
          <w:tcPr>
            <w:tcW w:w="88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8"/>
              </w:rPr>
              <w:t>10,716</w:t>
            </w:r>
          </w:p>
        </w:tc>
        <w:tc>
          <w:tcPr>
            <w:tcW w:w="2920" w:type="dxa"/>
            <w:vAlign w:val="bottom"/>
            <w:gridSpan w:val="2"/>
          </w:tcPr>
          <w:p>
            <w:pPr>
              <w:jc w:val="right"/>
              <w:ind w:right="1573"/>
              <w:spacing w:after="0"/>
              <w:rPr>
                <w:sz w:val="20"/>
                <w:szCs w:val="20"/>
                <w:color w:val="auto"/>
              </w:rPr>
            </w:pPr>
            <w:r>
              <w:rPr>
                <w:rFonts w:ascii="Courier New" w:cs="Courier New" w:eastAsia="Courier New" w:hAnsi="Courier New"/>
                <w:sz w:val="13"/>
                <w:szCs w:val="13"/>
                <w:color w:val="auto"/>
              </w:rPr>
              <w:t>17,467</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08"/>
        </w:trPr>
        <w:tc>
          <w:tcPr>
            <w:tcW w:w="3780" w:type="dxa"/>
            <w:vAlign w:val="bottom"/>
          </w:tcPr>
          <w:p>
            <w:pPr>
              <w:spacing w:after="0"/>
              <w:rPr>
                <w:sz w:val="20"/>
                <w:szCs w:val="20"/>
                <w:color w:val="auto"/>
              </w:rPr>
            </w:pPr>
            <w:r>
              <w:rPr>
                <w:rFonts w:ascii="Courier New" w:cs="Courier New" w:eastAsia="Courier New" w:hAnsi="Courier New"/>
                <w:sz w:val="13"/>
                <w:szCs w:val="13"/>
                <w:color w:val="auto"/>
              </w:rPr>
              <w:t>Interest expense</w:t>
            </w: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2,451</w:t>
            </w:r>
          </w:p>
        </w:tc>
        <w:tc>
          <w:tcPr>
            <w:tcW w:w="880" w:type="dxa"/>
            <w:vAlign w:val="bottom"/>
          </w:tcPr>
          <w:p>
            <w:pPr>
              <w:spacing w:after="0"/>
              <w:rPr>
                <w:sz w:val="24"/>
                <w:szCs w:val="24"/>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4,196</w:t>
            </w:r>
          </w:p>
        </w:tc>
        <w:tc>
          <w:tcPr>
            <w:tcW w:w="2920" w:type="dxa"/>
            <w:vAlign w:val="bottom"/>
            <w:gridSpan w:val="2"/>
          </w:tcPr>
          <w:p>
            <w:pPr>
              <w:jc w:val="right"/>
              <w:ind w:right="1573"/>
              <w:spacing w:after="0"/>
              <w:rPr>
                <w:sz w:val="20"/>
                <w:szCs w:val="20"/>
                <w:color w:val="auto"/>
              </w:rPr>
            </w:pPr>
            <w:r>
              <w:rPr>
                <w:rFonts w:ascii="Courier New" w:cs="Courier New" w:eastAsia="Courier New" w:hAnsi="Courier New"/>
                <w:sz w:val="13"/>
                <w:szCs w:val="13"/>
                <w:color w:val="auto"/>
              </w:rPr>
              <w:t>1,773</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4"/>
        </w:trPr>
        <w:tc>
          <w:tcPr>
            <w:tcW w:w="3780" w:type="dxa"/>
            <w:vAlign w:val="bottom"/>
          </w:tcPr>
          <w:p>
            <w:pPr>
              <w:spacing w:after="0"/>
              <w:rPr>
                <w:sz w:val="20"/>
                <w:szCs w:val="20"/>
                <w:color w:val="auto"/>
              </w:rPr>
            </w:pPr>
            <w:r>
              <w:rPr>
                <w:rFonts w:ascii="Courier New" w:cs="Courier New" w:eastAsia="Courier New" w:hAnsi="Courier New"/>
                <w:sz w:val="13"/>
                <w:szCs w:val="13"/>
                <w:color w:val="auto"/>
              </w:rPr>
              <w:t>Equity in earnings of unconsolidated affiliates</w:t>
            </w: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88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960" w:type="dxa"/>
            <w:vAlign w:val="bottom"/>
          </w:tcPr>
          <w:p>
            <w:pPr>
              <w:spacing w:after="0"/>
              <w:rPr>
                <w:sz w:val="13"/>
                <w:szCs w:val="13"/>
                <w:color w:val="auto"/>
              </w:rPr>
            </w:pPr>
          </w:p>
        </w:tc>
        <w:tc>
          <w:tcPr>
            <w:tcW w:w="1960" w:type="dxa"/>
            <w:vAlign w:val="bottom"/>
          </w:tcPr>
          <w:p>
            <w:pPr>
              <w:jc w:val="right"/>
              <w:ind w:right="1573"/>
              <w:spacing w:after="0"/>
              <w:rPr>
                <w:sz w:val="20"/>
                <w:szCs w:val="20"/>
                <w:color w:val="auto"/>
              </w:rPr>
            </w:pPr>
            <w:r>
              <w:rPr>
                <w:rFonts w:ascii="Courier New" w:cs="Courier New" w:eastAsia="Courier New" w:hAnsi="Courier New"/>
                <w:sz w:val="13"/>
                <w:szCs w:val="13"/>
                <w:color w:val="auto"/>
                <w:w w:val="95"/>
              </w:rPr>
              <w:t>(48)</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20"/>
                <w:szCs w:val="20"/>
                <w:color w:val="auto"/>
              </w:rPr>
            </w:pPr>
            <w:r>
              <w:rPr>
                <w:rFonts w:ascii="Courier New" w:cs="Courier New" w:eastAsia="Courier New" w:hAnsi="Courier New"/>
                <w:sz w:val="13"/>
                <w:szCs w:val="13"/>
                <w:color w:val="auto"/>
              </w:rPr>
              <w:t>Net gain on involuntary conversion</w:t>
            </w: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(3,901)</w:t>
            </w:r>
          </w:p>
        </w:tc>
        <w:tc>
          <w:tcPr>
            <w:tcW w:w="2920" w:type="dxa"/>
            <w:vAlign w:val="bottom"/>
            <w:gridSpan w:val="2"/>
          </w:tcPr>
          <w:p>
            <w:pPr>
              <w:jc w:val="right"/>
              <w:ind w:right="1573"/>
              <w:spacing w:after="0"/>
              <w:rPr>
                <w:sz w:val="20"/>
                <w:szCs w:val="20"/>
                <w:color w:val="auto"/>
              </w:rPr>
            </w:pPr>
            <w:r>
              <w:rPr>
                <w:rFonts w:ascii="Courier New" w:cs="Courier New" w:eastAsia="Courier New" w:hAnsi="Courier New"/>
                <w:sz w:val="13"/>
                <w:szCs w:val="13"/>
                <w:color w:val="auto"/>
              </w:rPr>
              <w:t>(728)</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20"/>
                <w:szCs w:val="20"/>
                <w:color w:val="auto"/>
              </w:rPr>
            </w:pPr>
            <w:r>
              <w:rPr>
                <w:rFonts w:ascii="Courier New" w:cs="Courier New" w:eastAsia="Courier New" w:hAnsi="Courier New"/>
                <w:sz w:val="13"/>
                <w:szCs w:val="13"/>
                <w:color w:val="auto"/>
              </w:rPr>
              <w:t>Gain on purchase of minority interest</w:t>
            </w:r>
          </w:p>
        </w:tc>
        <w:tc>
          <w:tcPr>
            <w:tcW w:w="1080" w:type="dxa"/>
            <w:vAlign w:val="bottom"/>
          </w:tcPr>
          <w:p>
            <w:pPr>
              <w:spacing w:after="0"/>
              <w:rPr>
                <w:sz w:val="13"/>
                <w:szCs w:val="13"/>
                <w:color w:val="auto"/>
              </w:rPr>
            </w:pPr>
          </w:p>
        </w:tc>
        <w:tc>
          <w:tcPr>
            <w:tcW w:w="124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(5,904)</w:t>
            </w:r>
          </w:p>
        </w:tc>
        <w:tc>
          <w:tcPr>
            <w:tcW w:w="88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960" w:type="dxa"/>
            <w:vAlign w:val="bottom"/>
          </w:tcPr>
          <w:p>
            <w:pPr>
              <w:spacing w:after="0"/>
              <w:rPr>
                <w:sz w:val="13"/>
                <w:szCs w:val="13"/>
                <w:color w:val="auto"/>
              </w:rPr>
            </w:pPr>
          </w:p>
        </w:tc>
        <w:tc>
          <w:tcPr>
            <w:tcW w:w="1960" w:type="dxa"/>
            <w:vAlign w:val="bottom"/>
          </w:tcPr>
          <w:p>
            <w:pPr>
              <w:jc w:val="right"/>
              <w:ind w:right="157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20"/>
                <w:szCs w:val="20"/>
                <w:color w:val="auto"/>
              </w:rPr>
            </w:pPr>
            <w:r>
              <w:rPr>
                <w:rFonts w:ascii="Courier New" w:cs="Courier New" w:eastAsia="Courier New" w:hAnsi="Courier New"/>
                <w:sz w:val="13"/>
                <w:szCs w:val="13"/>
                <w:color w:val="auto"/>
              </w:rPr>
              <w:t>Other income</w:t>
            </w: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(487)</w:t>
            </w:r>
          </w:p>
        </w:tc>
        <w:tc>
          <w:tcPr>
            <w:tcW w:w="88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(186)</w:t>
            </w:r>
          </w:p>
        </w:tc>
        <w:tc>
          <w:tcPr>
            <w:tcW w:w="2920" w:type="dxa"/>
            <w:vAlign w:val="bottom"/>
            <w:gridSpan w:val="2"/>
          </w:tcPr>
          <w:p>
            <w:pPr>
              <w:jc w:val="right"/>
              <w:ind w:right="1573"/>
              <w:spacing w:after="0"/>
              <w:rPr>
                <w:sz w:val="20"/>
                <w:szCs w:val="20"/>
                <w:color w:val="auto"/>
              </w:rPr>
            </w:pPr>
            <w:r>
              <w:rPr>
                <w:rFonts w:ascii="Courier New" w:cs="Courier New" w:eastAsia="Courier New" w:hAnsi="Courier New"/>
                <w:sz w:val="13"/>
                <w:szCs w:val="13"/>
                <w:color w:val="auto"/>
              </w:rPr>
              <w:t>(136)</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2920" w:type="dxa"/>
            <w:vAlign w:val="bottom"/>
            <w:gridSpan w:val="2"/>
          </w:tcPr>
          <w:p>
            <w:pPr>
              <w:jc w:val="right"/>
              <w:ind w:right="149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20"/>
                <w:szCs w:val="20"/>
                <w:color w:val="auto"/>
              </w:rPr>
            </w:pPr>
            <w:r>
              <w:rPr>
                <w:rFonts w:ascii="Courier New" w:cs="Courier New" w:eastAsia="Courier New" w:hAnsi="Courier New"/>
                <w:sz w:val="13"/>
                <w:szCs w:val="13"/>
                <w:color w:val="auto"/>
              </w:rPr>
              <w:t>Income before provision for income taxes</w:t>
            </w: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8"/>
              </w:rPr>
              <w:t>22,899</w:t>
            </w:r>
          </w:p>
        </w:tc>
        <w:tc>
          <w:tcPr>
            <w:tcW w:w="88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8"/>
              </w:rPr>
              <w:t>10,607</w:t>
            </w:r>
          </w:p>
        </w:tc>
        <w:tc>
          <w:tcPr>
            <w:tcW w:w="2920" w:type="dxa"/>
            <w:vAlign w:val="bottom"/>
            <w:gridSpan w:val="2"/>
          </w:tcPr>
          <w:p>
            <w:pPr>
              <w:jc w:val="right"/>
              <w:ind w:right="1573"/>
              <w:spacing w:after="0"/>
              <w:rPr>
                <w:sz w:val="20"/>
                <w:szCs w:val="20"/>
                <w:color w:val="auto"/>
              </w:rPr>
            </w:pPr>
            <w:r>
              <w:rPr>
                <w:rFonts w:ascii="Courier New" w:cs="Courier New" w:eastAsia="Courier New" w:hAnsi="Courier New"/>
                <w:sz w:val="13"/>
                <w:szCs w:val="13"/>
                <w:color w:val="auto"/>
              </w:rPr>
              <w:t>16,606</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20"/>
                <w:szCs w:val="20"/>
                <w:color w:val="auto"/>
              </w:rPr>
            </w:pPr>
            <w:r>
              <w:rPr>
                <w:rFonts w:ascii="Courier New" w:cs="Courier New" w:eastAsia="Courier New" w:hAnsi="Courier New"/>
                <w:sz w:val="13"/>
                <w:szCs w:val="13"/>
                <w:color w:val="auto"/>
              </w:rPr>
              <w:t>Provision for income taxes</w:t>
            </w: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6,457</w:t>
            </w:r>
          </w:p>
        </w:tc>
        <w:tc>
          <w:tcPr>
            <w:tcW w:w="88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4,094</w:t>
            </w:r>
          </w:p>
        </w:tc>
        <w:tc>
          <w:tcPr>
            <w:tcW w:w="2920" w:type="dxa"/>
            <w:vAlign w:val="bottom"/>
            <w:gridSpan w:val="2"/>
          </w:tcPr>
          <w:p>
            <w:pPr>
              <w:jc w:val="right"/>
              <w:ind w:right="1573"/>
              <w:spacing w:after="0"/>
              <w:rPr>
                <w:sz w:val="20"/>
                <w:szCs w:val="20"/>
                <w:color w:val="auto"/>
              </w:rPr>
            </w:pPr>
            <w:r>
              <w:rPr>
                <w:rFonts w:ascii="Courier New" w:cs="Courier New" w:eastAsia="Courier New" w:hAnsi="Courier New"/>
                <w:sz w:val="13"/>
                <w:szCs w:val="13"/>
                <w:color w:val="auto"/>
              </w:rPr>
              <w:t>5,959</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20"/>
                <w:szCs w:val="20"/>
                <w:color w:val="auto"/>
              </w:rPr>
            </w:pPr>
            <w:r>
              <w:rPr>
                <w:rFonts w:ascii="Courier New" w:cs="Courier New" w:eastAsia="Courier New" w:hAnsi="Courier New"/>
                <w:sz w:val="13"/>
                <w:szCs w:val="13"/>
                <w:color w:val="auto"/>
              </w:rPr>
              <w:t>Minority interest in consolidated subsidiaries</w:t>
            </w: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2,778</w:t>
            </w:r>
          </w:p>
        </w:tc>
        <w:tc>
          <w:tcPr>
            <w:tcW w:w="88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1,753</w:t>
            </w:r>
          </w:p>
        </w:tc>
        <w:tc>
          <w:tcPr>
            <w:tcW w:w="960" w:type="dxa"/>
            <w:vAlign w:val="bottom"/>
          </w:tcPr>
          <w:p>
            <w:pPr>
              <w:spacing w:after="0"/>
              <w:rPr>
                <w:sz w:val="13"/>
                <w:szCs w:val="13"/>
                <w:color w:val="auto"/>
              </w:rPr>
            </w:pPr>
          </w:p>
        </w:tc>
        <w:tc>
          <w:tcPr>
            <w:tcW w:w="1960" w:type="dxa"/>
            <w:vAlign w:val="bottom"/>
          </w:tcPr>
          <w:p>
            <w:pPr>
              <w:jc w:val="right"/>
              <w:ind w:right="1573"/>
              <w:spacing w:after="0"/>
              <w:rPr>
                <w:sz w:val="20"/>
                <w:szCs w:val="20"/>
                <w:color w:val="auto"/>
              </w:rPr>
            </w:pPr>
            <w:r>
              <w:rPr>
                <w:rFonts w:ascii="Courier New" w:cs="Courier New" w:eastAsia="Courier New" w:hAnsi="Courier New"/>
                <w:sz w:val="13"/>
                <w:szCs w:val="13"/>
                <w:color w:val="auto"/>
              </w:rPr>
              <w:t>660</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2920" w:type="dxa"/>
            <w:vAlign w:val="bottom"/>
            <w:gridSpan w:val="2"/>
          </w:tcPr>
          <w:p>
            <w:pPr>
              <w:jc w:val="right"/>
              <w:ind w:right="149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ind w:left="480"/>
              <w:spacing w:after="0"/>
              <w:rPr>
                <w:sz w:val="20"/>
                <w:szCs w:val="20"/>
                <w:color w:val="auto"/>
              </w:rPr>
            </w:pPr>
            <w:r>
              <w:rPr>
                <w:rFonts w:ascii="Courier New" w:cs="Courier New" w:eastAsia="Courier New" w:hAnsi="Courier New"/>
                <w:sz w:val="13"/>
                <w:szCs w:val="13"/>
                <w:color w:val="auto"/>
              </w:rPr>
              <w:t>Income before cumulative effect of change</w:t>
            </w: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ind w:left="720"/>
              <w:spacing w:after="0"/>
              <w:rPr>
                <w:sz w:val="20"/>
                <w:szCs w:val="20"/>
                <w:color w:val="auto"/>
              </w:rPr>
            </w:pPr>
            <w:r>
              <w:rPr>
                <w:rFonts w:ascii="Courier New" w:cs="Courier New" w:eastAsia="Courier New" w:hAnsi="Courier New"/>
                <w:sz w:val="13"/>
                <w:szCs w:val="13"/>
                <w:color w:val="auto"/>
              </w:rPr>
              <w:t>in accounting principle</w:t>
            </w: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8"/>
              </w:rPr>
              <w:t>13,664</w:t>
            </w:r>
          </w:p>
        </w:tc>
        <w:tc>
          <w:tcPr>
            <w:tcW w:w="88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4,760</w:t>
            </w:r>
          </w:p>
        </w:tc>
        <w:tc>
          <w:tcPr>
            <w:tcW w:w="2920" w:type="dxa"/>
            <w:vAlign w:val="bottom"/>
            <w:gridSpan w:val="2"/>
          </w:tcPr>
          <w:p>
            <w:pPr>
              <w:jc w:val="right"/>
              <w:ind w:right="1573"/>
              <w:spacing w:after="0"/>
              <w:rPr>
                <w:sz w:val="20"/>
                <w:szCs w:val="20"/>
                <w:color w:val="auto"/>
              </w:rPr>
            </w:pPr>
            <w:r>
              <w:rPr>
                <w:rFonts w:ascii="Courier New" w:cs="Courier New" w:eastAsia="Courier New" w:hAnsi="Courier New"/>
                <w:sz w:val="13"/>
                <w:szCs w:val="13"/>
                <w:color w:val="auto"/>
              </w:rPr>
              <w:t>9,987</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ind w:left="480"/>
              <w:spacing w:after="0"/>
              <w:rPr>
                <w:sz w:val="20"/>
                <w:szCs w:val="20"/>
                <w:color w:val="auto"/>
              </w:rPr>
            </w:pPr>
            <w:r>
              <w:rPr>
                <w:rFonts w:ascii="Courier New" w:cs="Courier New" w:eastAsia="Courier New" w:hAnsi="Courier New"/>
                <w:sz w:val="13"/>
                <w:szCs w:val="13"/>
                <w:color w:val="auto"/>
              </w:rPr>
              <w:t>Cumulative effect of change in accounting</w:t>
            </w: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4860" w:type="dxa"/>
            <w:vAlign w:val="bottom"/>
            <w:gridSpan w:val="2"/>
          </w:tcPr>
          <w:p>
            <w:pPr>
              <w:ind w:left="720"/>
              <w:spacing w:after="0"/>
              <w:rPr>
                <w:sz w:val="20"/>
                <w:szCs w:val="20"/>
                <w:color w:val="auto"/>
              </w:rPr>
            </w:pPr>
            <w:r>
              <w:rPr>
                <w:rFonts w:ascii="Courier New" w:cs="Courier New" w:eastAsia="Courier New" w:hAnsi="Courier New"/>
                <w:sz w:val="13"/>
                <w:szCs w:val="13"/>
                <w:color w:val="auto"/>
              </w:rPr>
              <w:t>principle, net of income tax benefit of $112</w:t>
            </w: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4860" w:type="dxa"/>
            <w:vAlign w:val="bottom"/>
            <w:gridSpan w:val="2"/>
          </w:tcPr>
          <w:p>
            <w:pPr>
              <w:ind w:left="720"/>
              <w:spacing w:after="0"/>
              <w:rPr>
                <w:sz w:val="20"/>
                <w:szCs w:val="20"/>
                <w:color w:val="auto"/>
              </w:rPr>
            </w:pPr>
            <w:r>
              <w:rPr>
                <w:rFonts w:ascii="Courier New" w:cs="Courier New" w:eastAsia="Courier New" w:hAnsi="Courier New"/>
                <w:sz w:val="13"/>
                <w:szCs w:val="13"/>
                <w:color w:val="auto"/>
              </w:rPr>
              <w:t>and related minority interest impact of $84</w:t>
            </w:r>
          </w:p>
        </w:tc>
        <w:tc>
          <w:tcPr>
            <w:tcW w:w="68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88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98</w:t>
            </w:r>
          </w:p>
        </w:tc>
        <w:tc>
          <w:tcPr>
            <w:tcW w:w="960" w:type="dxa"/>
            <w:vAlign w:val="bottom"/>
          </w:tcPr>
          <w:p>
            <w:pPr>
              <w:spacing w:after="0"/>
              <w:rPr>
                <w:sz w:val="13"/>
                <w:szCs w:val="13"/>
                <w:color w:val="auto"/>
              </w:rPr>
            </w:pPr>
          </w:p>
        </w:tc>
        <w:tc>
          <w:tcPr>
            <w:tcW w:w="1960" w:type="dxa"/>
            <w:vAlign w:val="bottom"/>
          </w:tcPr>
          <w:p>
            <w:pPr>
              <w:jc w:val="right"/>
              <w:ind w:right="157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2920" w:type="dxa"/>
            <w:vAlign w:val="bottom"/>
            <w:gridSpan w:val="2"/>
          </w:tcPr>
          <w:p>
            <w:pPr>
              <w:jc w:val="right"/>
              <w:ind w:right="149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20"/>
                <w:szCs w:val="20"/>
                <w:color w:val="auto"/>
              </w:rPr>
            </w:pPr>
            <w:r>
              <w:rPr>
                <w:rFonts w:ascii="Courier New" w:cs="Courier New" w:eastAsia="Courier New" w:hAnsi="Courier New"/>
                <w:sz w:val="13"/>
                <w:szCs w:val="13"/>
                <w:color w:val="auto"/>
              </w:rPr>
              <w:t>Net income</w:t>
            </w: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8"/>
              </w:rPr>
              <w:t>13,664</w:t>
            </w:r>
          </w:p>
        </w:tc>
        <w:tc>
          <w:tcPr>
            <w:tcW w:w="88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4,662</w:t>
            </w:r>
          </w:p>
        </w:tc>
        <w:tc>
          <w:tcPr>
            <w:tcW w:w="2920" w:type="dxa"/>
            <w:vAlign w:val="bottom"/>
            <w:gridSpan w:val="2"/>
          </w:tcPr>
          <w:p>
            <w:pPr>
              <w:jc w:val="right"/>
              <w:ind w:right="1573"/>
              <w:spacing w:after="0"/>
              <w:rPr>
                <w:sz w:val="20"/>
                <w:szCs w:val="20"/>
                <w:color w:val="auto"/>
              </w:rPr>
            </w:pPr>
            <w:r>
              <w:rPr>
                <w:rFonts w:ascii="Courier New" w:cs="Courier New" w:eastAsia="Courier New" w:hAnsi="Courier New"/>
                <w:sz w:val="13"/>
                <w:szCs w:val="13"/>
                <w:color w:val="auto"/>
              </w:rPr>
              <w:t>9,987</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08"/>
        </w:trPr>
        <w:tc>
          <w:tcPr>
            <w:tcW w:w="3780" w:type="dxa"/>
            <w:vAlign w:val="bottom"/>
          </w:tcPr>
          <w:p>
            <w:pPr>
              <w:spacing w:after="0"/>
              <w:rPr>
                <w:sz w:val="20"/>
                <w:szCs w:val="20"/>
                <w:color w:val="auto"/>
              </w:rPr>
            </w:pPr>
            <w:r>
              <w:rPr>
                <w:rFonts w:ascii="Courier New" w:cs="Courier New" w:eastAsia="Courier New" w:hAnsi="Courier New"/>
                <w:sz w:val="13"/>
                <w:szCs w:val="13"/>
                <w:color w:val="auto"/>
              </w:rPr>
              <w:t>Other comprehensive income (loss):</w:t>
            </w: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4"/>
        </w:trPr>
        <w:tc>
          <w:tcPr>
            <w:tcW w:w="4860" w:type="dxa"/>
            <w:vAlign w:val="bottom"/>
            <w:gridSpan w:val="2"/>
          </w:tcPr>
          <w:p>
            <w:pPr>
              <w:ind w:left="480"/>
              <w:spacing w:after="0"/>
              <w:rPr>
                <w:sz w:val="20"/>
                <w:szCs w:val="20"/>
                <w:color w:val="auto"/>
              </w:rPr>
            </w:pPr>
            <w:r>
              <w:rPr>
                <w:rFonts w:ascii="Courier New" w:cs="Courier New" w:eastAsia="Courier New" w:hAnsi="Courier New"/>
                <w:sz w:val="13"/>
                <w:szCs w:val="13"/>
                <w:color w:val="auto"/>
              </w:rPr>
              <w:t>Additional minimum pension liability, net of tax</w:t>
            </w:r>
          </w:p>
        </w:tc>
        <w:tc>
          <w:tcPr>
            <w:tcW w:w="68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(28)</w:t>
            </w:r>
          </w:p>
        </w:tc>
        <w:tc>
          <w:tcPr>
            <w:tcW w:w="88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(53)</w:t>
            </w:r>
          </w:p>
        </w:tc>
        <w:tc>
          <w:tcPr>
            <w:tcW w:w="960" w:type="dxa"/>
            <w:vAlign w:val="bottom"/>
          </w:tcPr>
          <w:p>
            <w:pPr>
              <w:spacing w:after="0"/>
              <w:rPr>
                <w:sz w:val="13"/>
                <w:szCs w:val="13"/>
                <w:color w:val="auto"/>
              </w:rPr>
            </w:pPr>
          </w:p>
        </w:tc>
        <w:tc>
          <w:tcPr>
            <w:tcW w:w="1960" w:type="dxa"/>
            <w:vAlign w:val="bottom"/>
          </w:tcPr>
          <w:p>
            <w:pPr>
              <w:jc w:val="right"/>
              <w:ind w:right="157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ind w:left="480"/>
              <w:spacing w:after="0"/>
              <w:rPr>
                <w:sz w:val="20"/>
                <w:szCs w:val="20"/>
                <w:color w:val="auto"/>
              </w:rPr>
            </w:pPr>
            <w:r>
              <w:rPr>
                <w:rFonts w:ascii="Courier New" w:cs="Courier New" w:eastAsia="Courier New" w:hAnsi="Courier New"/>
                <w:sz w:val="13"/>
                <w:szCs w:val="13"/>
                <w:color w:val="auto"/>
              </w:rPr>
              <w:t>Foreign currency translation</w:t>
            </w: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2,173</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(3,357)</w:t>
            </w:r>
          </w:p>
        </w:tc>
        <w:tc>
          <w:tcPr>
            <w:tcW w:w="960" w:type="dxa"/>
            <w:vAlign w:val="bottom"/>
          </w:tcPr>
          <w:p>
            <w:pPr>
              <w:spacing w:after="0"/>
              <w:rPr>
                <w:sz w:val="13"/>
                <w:szCs w:val="13"/>
                <w:color w:val="auto"/>
              </w:rPr>
            </w:pPr>
          </w:p>
        </w:tc>
        <w:tc>
          <w:tcPr>
            <w:tcW w:w="1960" w:type="dxa"/>
            <w:vAlign w:val="bottom"/>
          </w:tcPr>
          <w:p>
            <w:pPr>
              <w:jc w:val="right"/>
              <w:ind w:right="1573"/>
              <w:spacing w:after="0"/>
              <w:rPr>
                <w:sz w:val="20"/>
                <w:szCs w:val="20"/>
                <w:color w:val="auto"/>
              </w:rPr>
            </w:pPr>
            <w:r>
              <w:rPr>
                <w:rFonts w:ascii="Courier New" w:cs="Courier New" w:eastAsia="Courier New" w:hAnsi="Courier New"/>
                <w:sz w:val="13"/>
                <w:szCs w:val="13"/>
                <w:color w:val="auto"/>
              </w:rPr>
              <w:t>(7)</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2920" w:type="dxa"/>
            <w:vAlign w:val="bottom"/>
            <w:gridSpan w:val="2"/>
          </w:tcPr>
          <w:p>
            <w:pPr>
              <w:jc w:val="right"/>
              <w:ind w:right="149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ind w:left="720"/>
              <w:spacing w:after="0"/>
              <w:rPr>
                <w:sz w:val="20"/>
                <w:szCs w:val="20"/>
                <w:color w:val="auto"/>
              </w:rPr>
            </w:pPr>
            <w:r>
              <w:rPr>
                <w:rFonts w:ascii="Courier New" w:cs="Courier New" w:eastAsia="Courier New" w:hAnsi="Courier New"/>
                <w:sz w:val="13"/>
                <w:szCs w:val="13"/>
                <w:color w:val="auto"/>
              </w:rPr>
              <w:t>Comprehensive income</w:t>
            </w:r>
          </w:p>
        </w:tc>
        <w:tc>
          <w:tcPr>
            <w:tcW w:w="1080" w:type="dxa"/>
            <w:vAlign w:val="bottom"/>
          </w:tcPr>
          <w:p>
            <w:pPr>
              <w:spacing w:after="0"/>
              <w:rPr>
                <w:sz w:val="13"/>
                <w:szCs w:val="13"/>
                <w:color w:val="auto"/>
              </w:rPr>
            </w:pPr>
          </w:p>
        </w:tc>
        <w:tc>
          <w:tcPr>
            <w:tcW w:w="124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$ 15,809</w:t>
            </w:r>
          </w:p>
        </w:tc>
        <w:tc>
          <w:tcPr>
            <w:tcW w:w="8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1,252</w:t>
            </w:r>
          </w:p>
        </w:tc>
        <w:tc>
          <w:tcPr>
            <w:tcW w:w="2920" w:type="dxa"/>
            <w:vAlign w:val="bottom"/>
            <w:gridSpan w:val="2"/>
          </w:tcPr>
          <w:p>
            <w:pPr>
              <w:jc w:val="right"/>
              <w:ind w:right="1573"/>
              <w:spacing w:after="0"/>
              <w:rPr>
                <w:sz w:val="20"/>
                <w:szCs w:val="20"/>
                <w:color w:val="auto"/>
              </w:rPr>
            </w:pPr>
            <w:r>
              <w:rPr>
                <w:rFonts w:ascii="Courier New" w:cs="Courier New" w:eastAsia="Courier New" w:hAnsi="Courier New"/>
                <w:sz w:val="13"/>
                <w:szCs w:val="13"/>
                <w:color w:val="auto"/>
              </w:rPr>
              <w:t>$ 9,980</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2920" w:type="dxa"/>
            <w:vAlign w:val="bottom"/>
            <w:gridSpan w:val="2"/>
          </w:tcPr>
          <w:p>
            <w:pPr>
              <w:jc w:val="right"/>
              <w:ind w:right="149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08"/>
        </w:trPr>
        <w:tc>
          <w:tcPr>
            <w:tcW w:w="3780" w:type="dxa"/>
            <w:vAlign w:val="bottom"/>
          </w:tcPr>
          <w:p>
            <w:pPr>
              <w:spacing w:after="0"/>
              <w:rPr>
                <w:sz w:val="20"/>
                <w:szCs w:val="20"/>
                <w:color w:val="auto"/>
              </w:rPr>
            </w:pPr>
            <w:r>
              <w:rPr>
                <w:rFonts w:ascii="Courier New" w:cs="Courier New" w:eastAsia="Courier New" w:hAnsi="Courier New"/>
                <w:sz w:val="13"/>
                <w:szCs w:val="13"/>
                <w:color w:val="auto"/>
              </w:rPr>
              <w:t>Basic income per share:</w:t>
            </w: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4"/>
        </w:trPr>
        <w:tc>
          <w:tcPr>
            <w:tcW w:w="3780" w:type="dxa"/>
            <w:vAlign w:val="bottom"/>
          </w:tcPr>
          <w:p>
            <w:pPr>
              <w:ind w:left="480"/>
              <w:spacing w:after="0"/>
              <w:rPr>
                <w:sz w:val="20"/>
                <w:szCs w:val="20"/>
                <w:color w:val="auto"/>
              </w:rPr>
            </w:pPr>
            <w:r>
              <w:rPr>
                <w:rFonts w:ascii="Courier New" w:cs="Courier New" w:eastAsia="Courier New" w:hAnsi="Courier New"/>
                <w:sz w:val="13"/>
                <w:szCs w:val="13"/>
                <w:color w:val="auto"/>
              </w:rPr>
              <w:t>Income before cumulative effect of change</w:t>
            </w: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ind w:left="720"/>
              <w:spacing w:after="0"/>
              <w:rPr>
                <w:sz w:val="20"/>
                <w:szCs w:val="20"/>
                <w:color w:val="auto"/>
              </w:rPr>
            </w:pPr>
            <w:r>
              <w:rPr>
                <w:rFonts w:ascii="Courier New" w:cs="Courier New" w:eastAsia="Courier New" w:hAnsi="Courier New"/>
                <w:sz w:val="13"/>
                <w:szCs w:val="13"/>
                <w:color w:val="auto"/>
              </w:rPr>
              <w:t>in accounting principle</w:t>
            </w:r>
          </w:p>
        </w:tc>
        <w:tc>
          <w:tcPr>
            <w:tcW w:w="10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0.89</w:t>
            </w:r>
          </w:p>
        </w:tc>
        <w:tc>
          <w:tcPr>
            <w:tcW w:w="8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0.31</w:t>
            </w:r>
          </w:p>
        </w:tc>
        <w:tc>
          <w:tcPr>
            <w:tcW w:w="960" w:type="dxa"/>
            <w:vAlign w:val="bottom"/>
          </w:tcPr>
          <w:p>
            <w:pPr>
              <w:ind w:left="720"/>
              <w:spacing w:after="0"/>
              <w:rPr>
                <w:sz w:val="20"/>
                <w:szCs w:val="20"/>
                <w:color w:val="auto"/>
              </w:rPr>
            </w:pPr>
            <w:r>
              <w:rPr>
                <w:rFonts w:ascii="Courier New" w:cs="Courier New" w:eastAsia="Courier New" w:hAnsi="Courier New"/>
                <w:sz w:val="13"/>
                <w:szCs w:val="13"/>
                <w:color w:val="auto"/>
              </w:rPr>
              <w:t>$</w:t>
            </w:r>
          </w:p>
        </w:tc>
        <w:tc>
          <w:tcPr>
            <w:tcW w:w="1960" w:type="dxa"/>
            <w:vAlign w:val="bottom"/>
          </w:tcPr>
          <w:p>
            <w:pPr>
              <w:jc w:val="right"/>
              <w:ind w:right="1573"/>
              <w:spacing w:after="0"/>
              <w:rPr>
                <w:sz w:val="20"/>
                <w:szCs w:val="20"/>
                <w:color w:val="auto"/>
              </w:rPr>
            </w:pPr>
            <w:r>
              <w:rPr>
                <w:rFonts w:ascii="Courier New" w:cs="Courier New" w:eastAsia="Courier New" w:hAnsi="Courier New"/>
                <w:sz w:val="13"/>
                <w:szCs w:val="13"/>
                <w:color w:val="auto"/>
                <w:w w:val="95"/>
              </w:rPr>
              <w:t>0.66</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ind w:left="480"/>
              <w:spacing w:after="0"/>
              <w:rPr>
                <w:sz w:val="20"/>
                <w:szCs w:val="20"/>
                <w:color w:val="auto"/>
              </w:rPr>
            </w:pPr>
            <w:r>
              <w:rPr>
                <w:rFonts w:ascii="Courier New" w:cs="Courier New" w:eastAsia="Courier New" w:hAnsi="Courier New"/>
                <w:sz w:val="13"/>
                <w:szCs w:val="13"/>
                <w:color w:val="auto"/>
              </w:rPr>
              <w:t>Cumulative effect of change in accounting</w:t>
            </w: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ind w:left="720"/>
              <w:spacing w:after="0"/>
              <w:rPr>
                <w:sz w:val="20"/>
                <w:szCs w:val="20"/>
                <w:color w:val="auto"/>
              </w:rPr>
            </w:pPr>
            <w:r>
              <w:rPr>
                <w:rFonts w:ascii="Courier New" w:cs="Courier New" w:eastAsia="Courier New" w:hAnsi="Courier New"/>
                <w:sz w:val="13"/>
                <w:szCs w:val="13"/>
                <w:color w:val="auto"/>
              </w:rPr>
              <w:t>principle</w:t>
            </w: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88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8"/>
              </w:rPr>
              <w:t>(0.01)</w:t>
            </w:r>
          </w:p>
        </w:tc>
        <w:tc>
          <w:tcPr>
            <w:tcW w:w="960" w:type="dxa"/>
            <w:vAlign w:val="bottom"/>
          </w:tcPr>
          <w:p>
            <w:pPr>
              <w:spacing w:after="0"/>
              <w:rPr>
                <w:sz w:val="13"/>
                <w:szCs w:val="13"/>
                <w:color w:val="auto"/>
              </w:rPr>
            </w:pPr>
          </w:p>
        </w:tc>
        <w:tc>
          <w:tcPr>
            <w:tcW w:w="1960" w:type="dxa"/>
            <w:vAlign w:val="bottom"/>
          </w:tcPr>
          <w:p>
            <w:pPr>
              <w:jc w:val="right"/>
              <w:ind w:right="157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2920" w:type="dxa"/>
            <w:vAlign w:val="bottom"/>
            <w:gridSpan w:val="2"/>
          </w:tcPr>
          <w:p>
            <w:pPr>
              <w:jc w:val="right"/>
              <w:ind w:right="149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ind w:left="480"/>
              <w:spacing w:after="0"/>
              <w:rPr>
                <w:sz w:val="20"/>
                <w:szCs w:val="20"/>
                <w:color w:val="auto"/>
              </w:rPr>
            </w:pPr>
            <w:r>
              <w:rPr>
                <w:rFonts w:ascii="Courier New" w:cs="Courier New" w:eastAsia="Courier New" w:hAnsi="Courier New"/>
                <w:sz w:val="13"/>
                <w:szCs w:val="13"/>
                <w:color w:val="auto"/>
              </w:rPr>
              <w:t>Net income</w:t>
            </w:r>
          </w:p>
        </w:tc>
        <w:tc>
          <w:tcPr>
            <w:tcW w:w="10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0.89</w:t>
            </w:r>
          </w:p>
        </w:tc>
        <w:tc>
          <w:tcPr>
            <w:tcW w:w="8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0.31</w:t>
            </w:r>
          </w:p>
        </w:tc>
        <w:tc>
          <w:tcPr>
            <w:tcW w:w="960" w:type="dxa"/>
            <w:vAlign w:val="bottom"/>
          </w:tcPr>
          <w:p>
            <w:pPr>
              <w:ind w:left="720"/>
              <w:spacing w:after="0"/>
              <w:rPr>
                <w:sz w:val="20"/>
                <w:szCs w:val="20"/>
                <w:color w:val="auto"/>
              </w:rPr>
            </w:pPr>
            <w:r>
              <w:rPr>
                <w:rFonts w:ascii="Courier New" w:cs="Courier New" w:eastAsia="Courier New" w:hAnsi="Courier New"/>
                <w:sz w:val="13"/>
                <w:szCs w:val="13"/>
                <w:color w:val="auto"/>
              </w:rPr>
              <w:t>$</w:t>
            </w:r>
          </w:p>
        </w:tc>
        <w:tc>
          <w:tcPr>
            <w:tcW w:w="1960" w:type="dxa"/>
            <w:vAlign w:val="bottom"/>
          </w:tcPr>
          <w:p>
            <w:pPr>
              <w:jc w:val="right"/>
              <w:ind w:right="1573"/>
              <w:spacing w:after="0"/>
              <w:rPr>
                <w:sz w:val="20"/>
                <w:szCs w:val="20"/>
                <w:color w:val="auto"/>
              </w:rPr>
            </w:pPr>
            <w:r>
              <w:rPr>
                <w:rFonts w:ascii="Courier New" w:cs="Courier New" w:eastAsia="Courier New" w:hAnsi="Courier New"/>
                <w:sz w:val="13"/>
                <w:szCs w:val="13"/>
                <w:color w:val="auto"/>
                <w:w w:val="95"/>
              </w:rPr>
              <w:t>0.66</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2920" w:type="dxa"/>
            <w:vAlign w:val="bottom"/>
            <w:gridSpan w:val="2"/>
          </w:tcPr>
          <w:p>
            <w:pPr>
              <w:jc w:val="right"/>
              <w:ind w:right="149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ind w:left="480"/>
              <w:spacing w:after="0"/>
              <w:rPr>
                <w:sz w:val="20"/>
                <w:szCs w:val="20"/>
                <w:color w:val="auto"/>
              </w:rPr>
            </w:pPr>
            <w:r>
              <w:rPr>
                <w:rFonts w:ascii="Courier New" w:cs="Courier New" w:eastAsia="Courier New" w:hAnsi="Courier New"/>
                <w:sz w:val="13"/>
                <w:szCs w:val="13"/>
                <w:color w:val="auto"/>
              </w:rPr>
              <w:t>Weighted average shares outstanding</w:t>
            </w: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8"/>
              </w:rPr>
              <w:t>15,343</w:t>
            </w:r>
          </w:p>
        </w:tc>
        <w:tc>
          <w:tcPr>
            <w:tcW w:w="88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8"/>
              </w:rPr>
              <w:t>15,259</w:t>
            </w:r>
          </w:p>
        </w:tc>
        <w:tc>
          <w:tcPr>
            <w:tcW w:w="2920" w:type="dxa"/>
            <w:vAlign w:val="bottom"/>
            <w:gridSpan w:val="2"/>
          </w:tcPr>
          <w:p>
            <w:pPr>
              <w:jc w:val="right"/>
              <w:ind w:right="1573"/>
              <w:spacing w:after="0"/>
              <w:rPr>
                <w:sz w:val="20"/>
                <w:szCs w:val="20"/>
                <w:color w:val="auto"/>
              </w:rPr>
            </w:pPr>
            <w:r>
              <w:rPr>
                <w:rFonts w:ascii="Courier New" w:cs="Courier New" w:eastAsia="Courier New" w:hAnsi="Courier New"/>
                <w:sz w:val="13"/>
                <w:szCs w:val="13"/>
                <w:color w:val="auto"/>
              </w:rPr>
              <w:t>15,247</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2920" w:type="dxa"/>
            <w:vAlign w:val="bottom"/>
            <w:gridSpan w:val="2"/>
          </w:tcPr>
          <w:p>
            <w:pPr>
              <w:jc w:val="right"/>
              <w:ind w:right="149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08"/>
        </w:trPr>
        <w:tc>
          <w:tcPr>
            <w:tcW w:w="3780" w:type="dxa"/>
            <w:vAlign w:val="bottom"/>
          </w:tcPr>
          <w:p>
            <w:pPr>
              <w:spacing w:after="0"/>
              <w:rPr>
                <w:sz w:val="20"/>
                <w:szCs w:val="20"/>
                <w:color w:val="auto"/>
              </w:rPr>
            </w:pPr>
            <w:r>
              <w:rPr>
                <w:rFonts w:ascii="Courier New" w:cs="Courier New" w:eastAsia="Courier New" w:hAnsi="Courier New"/>
                <w:sz w:val="13"/>
                <w:szCs w:val="13"/>
                <w:color w:val="auto"/>
              </w:rPr>
              <w:t>Diluted income per share:</w:t>
            </w: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4"/>
        </w:trPr>
        <w:tc>
          <w:tcPr>
            <w:tcW w:w="3780" w:type="dxa"/>
            <w:vAlign w:val="bottom"/>
          </w:tcPr>
          <w:p>
            <w:pPr>
              <w:ind w:left="480"/>
              <w:spacing w:after="0"/>
              <w:rPr>
                <w:sz w:val="20"/>
                <w:szCs w:val="20"/>
                <w:color w:val="auto"/>
              </w:rPr>
            </w:pPr>
            <w:r>
              <w:rPr>
                <w:rFonts w:ascii="Courier New" w:cs="Courier New" w:eastAsia="Courier New" w:hAnsi="Courier New"/>
                <w:sz w:val="13"/>
                <w:szCs w:val="13"/>
                <w:color w:val="auto"/>
              </w:rPr>
              <w:t>Income before cumulative effect of change</w:t>
            </w: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ind w:left="720"/>
              <w:spacing w:after="0"/>
              <w:rPr>
                <w:sz w:val="20"/>
                <w:szCs w:val="20"/>
                <w:color w:val="auto"/>
              </w:rPr>
            </w:pPr>
            <w:r>
              <w:rPr>
                <w:rFonts w:ascii="Courier New" w:cs="Courier New" w:eastAsia="Courier New" w:hAnsi="Courier New"/>
                <w:sz w:val="13"/>
                <w:szCs w:val="13"/>
                <w:color w:val="auto"/>
              </w:rPr>
              <w:t>in accounting principle</w:t>
            </w:r>
          </w:p>
        </w:tc>
        <w:tc>
          <w:tcPr>
            <w:tcW w:w="10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0.87</w:t>
            </w:r>
          </w:p>
        </w:tc>
        <w:tc>
          <w:tcPr>
            <w:tcW w:w="8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0.31</w:t>
            </w:r>
          </w:p>
        </w:tc>
        <w:tc>
          <w:tcPr>
            <w:tcW w:w="960" w:type="dxa"/>
            <w:vAlign w:val="bottom"/>
          </w:tcPr>
          <w:p>
            <w:pPr>
              <w:ind w:left="720"/>
              <w:spacing w:after="0"/>
              <w:rPr>
                <w:sz w:val="20"/>
                <w:szCs w:val="20"/>
                <w:color w:val="auto"/>
              </w:rPr>
            </w:pPr>
            <w:r>
              <w:rPr>
                <w:rFonts w:ascii="Courier New" w:cs="Courier New" w:eastAsia="Courier New" w:hAnsi="Courier New"/>
                <w:sz w:val="13"/>
                <w:szCs w:val="13"/>
                <w:color w:val="auto"/>
              </w:rPr>
              <w:t>$</w:t>
            </w:r>
          </w:p>
        </w:tc>
        <w:tc>
          <w:tcPr>
            <w:tcW w:w="1960" w:type="dxa"/>
            <w:vAlign w:val="bottom"/>
          </w:tcPr>
          <w:p>
            <w:pPr>
              <w:jc w:val="right"/>
              <w:ind w:right="1573"/>
              <w:spacing w:after="0"/>
              <w:rPr>
                <w:sz w:val="20"/>
                <w:szCs w:val="20"/>
                <w:color w:val="auto"/>
              </w:rPr>
            </w:pPr>
            <w:r>
              <w:rPr>
                <w:rFonts w:ascii="Courier New" w:cs="Courier New" w:eastAsia="Courier New" w:hAnsi="Courier New"/>
                <w:sz w:val="13"/>
                <w:szCs w:val="13"/>
                <w:color w:val="auto"/>
                <w:w w:val="95"/>
              </w:rPr>
              <w:t>0.64</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ind w:left="480"/>
              <w:spacing w:after="0"/>
              <w:rPr>
                <w:sz w:val="20"/>
                <w:szCs w:val="20"/>
                <w:color w:val="auto"/>
              </w:rPr>
            </w:pPr>
            <w:r>
              <w:rPr>
                <w:rFonts w:ascii="Courier New" w:cs="Courier New" w:eastAsia="Courier New" w:hAnsi="Courier New"/>
                <w:sz w:val="13"/>
                <w:szCs w:val="13"/>
                <w:color w:val="auto"/>
              </w:rPr>
              <w:t>Cumulative effect of change in accounting</w:t>
            </w: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ind w:left="720"/>
              <w:spacing w:after="0"/>
              <w:rPr>
                <w:sz w:val="20"/>
                <w:szCs w:val="20"/>
                <w:color w:val="auto"/>
              </w:rPr>
            </w:pPr>
            <w:r>
              <w:rPr>
                <w:rFonts w:ascii="Courier New" w:cs="Courier New" w:eastAsia="Courier New" w:hAnsi="Courier New"/>
                <w:sz w:val="13"/>
                <w:szCs w:val="13"/>
                <w:color w:val="auto"/>
              </w:rPr>
              <w:t>principle</w:t>
            </w: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88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8"/>
              </w:rPr>
              <w:t>(0.01)</w:t>
            </w:r>
          </w:p>
        </w:tc>
        <w:tc>
          <w:tcPr>
            <w:tcW w:w="960" w:type="dxa"/>
            <w:vAlign w:val="bottom"/>
          </w:tcPr>
          <w:p>
            <w:pPr>
              <w:spacing w:after="0"/>
              <w:rPr>
                <w:sz w:val="13"/>
                <w:szCs w:val="13"/>
                <w:color w:val="auto"/>
              </w:rPr>
            </w:pPr>
          </w:p>
        </w:tc>
        <w:tc>
          <w:tcPr>
            <w:tcW w:w="1960" w:type="dxa"/>
            <w:vAlign w:val="bottom"/>
          </w:tcPr>
          <w:p>
            <w:pPr>
              <w:jc w:val="right"/>
              <w:ind w:right="157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2920" w:type="dxa"/>
            <w:vAlign w:val="bottom"/>
            <w:gridSpan w:val="2"/>
          </w:tcPr>
          <w:p>
            <w:pPr>
              <w:jc w:val="right"/>
              <w:ind w:right="149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ind w:left="480"/>
              <w:spacing w:after="0"/>
              <w:rPr>
                <w:sz w:val="20"/>
                <w:szCs w:val="20"/>
                <w:color w:val="auto"/>
              </w:rPr>
            </w:pPr>
            <w:r>
              <w:rPr>
                <w:rFonts w:ascii="Courier New" w:cs="Courier New" w:eastAsia="Courier New" w:hAnsi="Courier New"/>
                <w:sz w:val="13"/>
                <w:szCs w:val="13"/>
                <w:color w:val="auto"/>
              </w:rPr>
              <w:t>Net income</w:t>
            </w:r>
          </w:p>
        </w:tc>
        <w:tc>
          <w:tcPr>
            <w:tcW w:w="10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0.87</w:t>
            </w:r>
          </w:p>
        </w:tc>
        <w:tc>
          <w:tcPr>
            <w:tcW w:w="8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0.30</w:t>
            </w:r>
          </w:p>
        </w:tc>
        <w:tc>
          <w:tcPr>
            <w:tcW w:w="960" w:type="dxa"/>
            <w:vAlign w:val="bottom"/>
          </w:tcPr>
          <w:p>
            <w:pPr>
              <w:ind w:left="720"/>
              <w:spacing w:after="0"/>
              <w:rPr>
                <w:sz w:val="20"/>
                <w:szCs w:val="20"/>
                <w:color w:val="auto"/>
              </w:rPr>
            </w:pPr>
            <w:r>
              <w:rPr>
                <w:rFonts w:ascii="Courier New" w:cs="Courier New" w:eastAsia="Courier New" w:hAnsi="Courier New"/>
                <w:sz w:val="13"/>
                <w:szCs w:val="13"/>
                <w:color w:val="auto"/>
              </w:rPr>
              <w:t>$</w:t>
            </w:r>
          </w:p>
        </w:tc>
        <w:tc>
          <w:tcPr>
            <w:tcW w:w="1960" w:type="dxa"/>
            <w:vAlign w:val="bottom"/>
          </w:tcPr>
          <w:p>
            <w:pPr>
              <w:jc w:val="right"/>
              <w:ind w:right="1573"/>
              <w:spacing w:after="0"/>
              <w:rPr>
                <w:sz w:val="20"/>
                <w:szCs w:val="20"/>
                <w:color w:val="auto"/>
              </w:rPr>
            </w:pPr>
            <w:r>
              <w:rPr>
                <w:rFonts w:ascii="Courier New" w:cs="Courier New" w:eastAsia="Courier New" w:hAnsi="Courier New"/>
                <w:sz w:val="13"/>
                <w:szCs w:val="13"/>
                <w:color w:val="auto"/>
                <w:w w:val="95"/>
              </w:rPr>
              <w:t>0.64</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2920" w:type="dxa"/>
            <w:vAlign w:val="bottom"/>
            <w:gridSpan w:val="2"/>
          </w:tcPr>
          <w:p>
            <w:pPr>
              <w:jc w:val="right"/>
              <w:ind w:right="149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20"/>
                <w:szCs w:val="20"/>
                <w:color w:val="auto"/>
              </w:rPr>
            </w:pPr>
            <w:r>
              <w:rPr>
                <w:rFonts w:ascii="Courier New" w:cs="Courier New" w:eastAsia="Courier New" w:hAnsi="Courier New"/>
                <w:sz w:val="13"/>
                <w:szCs w:val="13"/>
                <w:color w:val="auto"/>
              </w:rPr>
              <w:t>Weighted average shares outstanding</w:t>
            </w: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8"/>
              </w:rPr>
              <w:t>15,714</w:t>
            </w:r>
          </w:p>
        </w:tc>
        <w:tc>
          <w:tcPr>
            <w:tcW w:w="88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8"/>
              </w:rPr>
              <w:t>15,540</w:t>
            </w:r>
          </w:p>
        </w:tc>
        <w:tc>
          <w:tcPr>
            <w:tcW w:w="2920" w:type="dxa"/>
            <w:vAlign w:val="bottom"/>
            <w:gridSpan w:val="2"/>
          </w:tcPr>
          <w:p>
            <w:pPr>
              <w:jc w:val="right"/>
              <w:ind w:right="1573"/>
              <w:spacing w:after="0"/>
              <w:rPr>
                <w:sz w:val="20"/>
                <w:szCs w:val="20"/>
                <w:color w:val="auto"/>
              </w:rPr>
            </w:pPr>
            <w:r>
              <w:rPr>
                <w:rFonts w:ascii="Courier New" w:cs="Courier New" w:eastAsia="Courier New" w:hAnsi="Courier New"/>
                <w:sz w:val="13"/>
                <w:szCs w:val="13"/>
                <w:color w:val="auto"/>
              </w:rPr>
              <w:t>15,531</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2920" w:type="dxa"/>
            <w:vAlign w:val="bottom"/>
            <w:gridSpan w:val="2"/>
          </w:tcPr>
          <w:p>
            <w:pPr>
              <w:jc w:val="right"/>
              <w:ind w:right="149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771"/>
        </w:trPr>
        <w:tc>
          <w:tcPr>
            <w:tcW w:w="6980" w:type="dxa"/>
            <w:vAlign w:val="bottom"/>
            <w:gridSpan w:val="5"/>
          </w:tcPr>
          <w:p>
            <w:pPr>
              <w:ind w:left="2080"/>
              <w:spacing w:after="0"/>
              <w:rPr>
                <w:sz w:val="20"/>
                <w:szCs w:val="20"/>
                <w:color w:val="auto"/>
              </w:rPr>
            </w:pPr>
            <w:r>
              <w:rPr>
                <w:rFonts w:ascii="Courier New" w:cs="Courier New" w:eastAsia="Courier New" w:hAnsi="Courier New"/>
                <w:sz w:val="13"/>
                <w:szCs w:val="13"/>
                <w:b w:val="1"/>
                <w:bCs w:val="1"/>
                <w:color w:val="auto"/>
              </w:rPr>
              <w:t>See accompanying notes to consolidated financial statements</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3"/>
        </w:trPr>
        <w:tc>
          <w:tcPr>
            <w:tcW w:w="3780" w:type="dxa"/>
            <w:vAlign w:val="bottom"/>
          </w:tcPr>
          <w:p>
            <w:pPr>
              <w:ind w:left="3120"/>
              <w:spacing w:after="0"/>
              <w:rPr>
                <w:sz w:val="20"/>
                <w:szCs w:val="20"/>
                <w:color w:val="auto"/>
              </w:rPr>
            </w:pPr>
            <w:r>
              <w:rPr>
                <w:rFonts w:ascii="Courier New" w:cs="Courier New" w:eastAsia="Courier New" w:hAnsi="Courier New"/>
                <w:sz w:val="13"/>
                <w:szCs w:val="13"/>
                <w:color w:val="auto"/>
              </w:rPr>
              <w:t>28</w:t>
            </w: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2"/>
        </w:trPr>
        <w:tc>
          <w:tcPr>
            <w:tcW w:w="37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gridSpan w:val="2"/>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Pr>
          <w:p>
            <w:pPr>
              <w:spacing w:after="0"/>
              <w:rPr>
                <w:sz w:val="24"/>
                <w:szCs w:val="24"/>
                <w:color w:val="auto"/>
              </w:rPr>
            </w:pPr>
          </w:p>
        </w:tc>
      </w:tr>
      <w:tr>
        <w:trPr>
          <w:trHeight w:val="439"/>
        </w:trPr>
        <w:tc>
          <w:tcPr>
            <w:tcW w:w="3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gridSpan w:val="2"/>
          </w:tcPr>
          <w:p>
            <w:pPr>
              <w:jc w:val="center"/>
              <w:ind w:left="373"/>
              <w:spacing w:after="0"/>
              <w:rPr>
                <w:sz w:val="20"/>
                <w:szCs w:val="20"/>
                <w:color w:val="auto"/>
              </w:rPr>
            </w:pPr>
            <w:r>
              <w:rPr>
                <w:rFonts w:ascii="Courier New" w:cs="Courier New" w:eastAsia="Courier New" w:hAnsi="Courier New"/>
                <w:sz w:val="13"/>
                <w:szCs w:val="13"/>
                <w:b w:val="1"/>
                <w:bCs w:val="1"/>
                <w:color w:val="auto"/>
              </w:rPr>
              <w:t>NN, Inc.</w:t>
            </w: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4"/>
        </w:trPr>
        <w:tc>
          <w:tcPr>
            <w:tcW w:w="8500" w:type="dxa"/>
            <w:vAlign w:val="bottom"/>
            <w:gridSpan w:val="7"/>
          </w:tcPr>
          <w:p>
            <w:pPr>
              <w:jc w:val="center"/>
              <w:ind w:left="2833"/>
              <w:spacing w:after="0"/>
              <w:rPr>
                <w:sz w:val="20"/>
                <w:szCs w:val="20"/>
                <w:color w:val="auto"/>
              </w:rPr>
            </w:pPr>
            <w:r>
              <w:rPr>
                <w:rFonts w:ascii="Courier New" w:cs="Courier New" w:eastAsia="Courier New" w:hAnsi="Courier New"/>
                <w:sz w:val="13"/>
                <w:szCs w:val="13"/>
                <w:b w:val="1"/>
                <w:bCs w:val="1"/>
                <w:color w:val="auto"/>
              </w:rPr>
              <w:t>Consolidated Statements of Changes in Stockholders' Equity</w:t>
            </w:r>
          </w:p>
        </w:tc>
        <w:tc>
          <w:tcPr>
            <w:tcW w:w="1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13"/>
                <w:szCs w:val="13"/>
                <w:color w:val="auto"/>
              </w:rPr>
            </w:pPr>
          </w:p>
        </w:tc>
        <w:tc>
          <w:tcPr>
            <w:tcW w:w="3760" w:type="dxa"/>
            <w:vAlign w:val="bottom"/>
            <w:gridSpan w:val="5"/>
          </w:tcPr>
          <w:p>
            <w:pPr>
              <w:jc w:val="center"/>
              <w:ind w:left="13"/>
              <w:spacing w:after="0"/>
              <w:rPr>
                <w:sz w:val="20"/>
                <w:szCs w:val="20"/>
                <w:color w:val="auto"/>
              </w:rPr>
            </w:pPr>
            <w:r>
              <w:rPr>
                <w:rFonts w:ascii="Courier New" w:cs="Courier New" w:eastAsia="Courier New" w:hAnsi="Courier New"/>
                <w:sz w:val="13"/>
                <w:szCs w:val="13"/>
                <w:b w:val="1"/>
                <w:bCs w:val="1"/>
                <w:color w:val="auto"/>
              </w:rPr>
              <w:t>Years ended December 31, 2002, 2001 and 2000</w:t>
            </w:r>
          </w:p>
        </w:tc>
        <w:tc>
          <w:tcPr>
            <w:tcW w:w="9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120" w:type="dxa"/>
            <w:vAlign w:val="bottom"/>
            <w:gridSpan w:val="3"/>
          </w:tcPr>
          <w:p>
            <w:pPr>
              <w:jc w:val="center"/>
              <w:ind w:right="373"/>
              <w:spacing w:after="0"/>
              <w:rPr>
                <w:sz w:val="20"/>
                <w:szCs w:val="20"/>
                <w:color w:val="auto"/>
              </w:rPr>
            </w:pPr>
            <w:r>
              <w:rPr>
                <w:rFonts w:ascii="Courier New" w:cs="Courier New" w:eastAsia="Courier New" w:hAnsi="Courier New"/>
                <w:sz w:val="13"/>
                <w:szCs w:val="13"/>
                <w:b w:val="1"/>
                <w:bCs w:val="1"/>
                <w:color w:val="auto"/>
              </w:rPr>
              <w:t>(In thousands)</w:t>
            </w:r>
          </w:p>
        </w:tc>
        <w:tc>
          <w:tcPr>
            <w:tcW w:w="5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463"/>
        </w:trPr>
        <w:tc>
          <w:tcPr>
            <w:tcW w:w="3780" w:type="dxa"/>
            <w:vAlign w:val="bottom"/>
          </w:tcPr>
          <w:p>
            <w:pPr>
              <w:spacing w:after="0"/>
              <w:rPr>
                <w:sz w:val="24"/>
                <w:szCs w:val="24"/>
                <w:color w:val="auto"/>
              </w:rPr>
            </w:pPr>
          </w:p>
        </w:tc>
        <w:tc>
          <w:tcPr>
            <w:tcW w:w="1760" w:type="dxa"/>
            <w:vAlign w:val="bottom"/>
            <w:gridSpan w:val="2"/>
          </w:tcPr>
          <w:p>
            <w:pPr>
              <w:jc w:val="right"/>
              <w:ind w:right="333"/>
              <w:spacing w:after="0"/>
              <w:rPr>
                <w:sz w:val="20"/>
                <w:szCs w:val="20"/>
                <w:color w:val="auto"/>
              </w:rPr>
            </w:pPr>
            <w:r>
              <w:rPr>
                <w:rFonts w:ascii="Courier New" w:cs="Courier New" w:eastAsia="Courier New" w:hAnsi="Courier New"/>
                <w:sz w:val="13"/>
                <w:szCs w:val="13"/>
                <w:b w:val="1"/>
                <w:bCs w:val="1"/>
                <w:color w:val="auto"/>
              </w:rPr>
              <w:t>Common Stock</w:t>
            </w: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Courier New" w:cs="Courier New" w:eastAsia="Courier New" w:hAnsi="Courier New"/>
                <w:sz w:val="13"/>
                <w:szCs w:val="13"/>
                <w:b w:val="1"/>
                <w:bCs w:val="1"/>
                <w:color w:val="auto"/>
              </w:rPr>
              <w:t>Accumulated</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4"/>
        </w:trPr>
        <w:tc>
          <w:tcPr>
            <w:tcW w:w="6100" w:type="dxa"/>
            <w:vAlign w:val="bottom"/>
            <w:gridSpan w:val="4"/>
          </w:tcPr>
          <w:p>
            <w:pPr>
              <w:jc w:val="right"/>
              <w:ind w:right="253"/>
              <w:spacing w:after="0"/>
              <w:rPr>
                <w:sz w:val="20"/>
                <w:szCs w:val="20"/>
                <w:color w:val="auto"/>
              </w:rPr>
            </w:pPr>
            <w:r>
              <w:rPr>
                <w:rFonts w:ascii="Courier New" w:cs="Courier New" w:eastAsia="Courier New" w:hAnsi="Courier New"/>
                <w:sz w:val="13"/>
                <w:szCs w:val="13"/>
                <w:b w:val="1"/>
                <w:bCs w:val="1"/>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Additional</w:t>
            </w:r>
          </w:p>
        </w:tc>
        <w:tc>
          <w:tcPr>
            <w:tcW w:w="5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Courier New" w:cs="Courier New" w:eastAsia="Courier New" w:hAnsi="Courier New"/>
                <w:sz w:val="13"/>
                <w:szCs w:val="13"/>
                <w:b w:val="1"/>
                <w:bCs w:val="1"/>
                <w:color w:val="auto"/>
              </w:rPr>
              <w:t>Other</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13"/>
                <w:szCs w:val="13"/>
                <w:color w:val="auto"/>
              </w:rPr>
            </w:pPr>
          </w:p>
        </w:tc>
        <w:tc>
          <w:tcPr>
            <w:tcW w:w="1080" w:type="dxa"/>
            <w:vAlign w:val="bottom"/>
          </w:tcPr>
          <w:p>
            <w:pPr>
              <w:jc w:val="right"/>
              <w:ind w:right="453"/>
              <w:spacing w:after="0"/>
              <w:rPr>
                <w:sz w:val="20"/>
                <w:szCs w:val="20"/>
                <w:color w:val="auto"/>
              </w:rPr>
            </w:pPr>
            <w:r>
              <w:rPr>
                <w:rFonts w:ascii="Courier New" w:cs="Courier New" w:eastAsia="Courier New" w:hAnsi="Courier New"/>
                <w:sz w:val="13"/>
                <w:szCs w:val="13"/>
                <w:b w:val="1"/>
                <w:bCs w:val="1"/>
                <w:color w:val="auto"/>
              </w:rPr>
              <w:t>Number</w:t>
            </w:r>
          </w:p>
        </w:tc>
        <w:tc>
          <w:tcPr>
            <w:tcW w:w="680" w:type="dxa"/>
            <w:vAlign w:val="bottom"/>
          </w:tcPr>
          <w:p>
            <w:pPr>
              <w:jc w:val="right"/>
              <w:ind w:right="13"/>
              <w:spacing w:after="0"/>
              <w:rPr>
                <w:sz w:val="20"/>
                <w:szCs w:val="20"/>
                <w:color w:val="auto"/>
              </w:rPr>
            </w:pPr>
            <w:r>
              <w:rPr>
                <w:rFonts w:ascii="Courier New" w:cs="Courier New" w:eastAsia="Courier New" w:hAnsi="Courier New"/>
                <w:sz w:val="13"/>
                <w:szCs w:val="13"/>
                <w:b w:val="1"/>
                <w:bCs w:val="1"/>
                <w:color w:val="auto"/>
              </w:rPr>
              <w:t>Par</w:t>
            </w:r>
          </w:p>
        </w:tc>
        <w:tc>
          <w:tcPr>
            <w:tcW w:w="560" w:type="dxa"/>
            <w:vAlign w:val="bottom"/>
          </w:tcPr>
          <w:p>
            <w:pPr>
              <w:spacing w:after="0"/>
              <w:rPr>
                <w:sz w:val="13"/>
                <w:szCs w:val="13"/>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3"/>
                <w:szCs w:val="13"/>
                <w:b w:val="1"/>
                <w:bCs w:val="1"/>
                <w:color w:val="auto"/>
              </w:rPr>
              <w:t>Paid-In</w:t>
            </w:r>
          </w:p>
        </w:tc>
        <w:tc>
          <w:tcPr>
            <w:tcW w:w="560" w:type="dxa"/>
            <w:vAlign w:val="bottom"/>
          </w:tcPr>
          <w:p>
            <w:pPr>
              <w:spacing w:after="0"/>
              <w:rPr>
                <w:sz w:val="13"/>
                <w:szCs w:val="13"/>
                <w:color w:val="auto"/>
              </w:rPr>
            </w:pPr>
          </w:p>
        </w:tc>
        <w:tc>
          <w:tcPr>
            <w:tcW w:w="960" w:type="dxa"/>
            <w:vAlign w:val="bottom"/>
          </w:tcPr>
          <w:p>
            <w:pPr>
              <w:ind w:left="80"/>
              <w:spacing w:after="0"/>
              <w:rPr>
                <w:sz w:val="20"/>
                <w:szCs w:val="20"/>
                <w:color w:val="auto"/>
              </w:rPr>
            </w:pPr>
            <w:r>
              <w:rPr>
                <w:rFonts w:ascii="Courier New" w:cs="Courier New" w:eastAsia="Courier New" w:hAnsi="Courier New"/>
                <w:sz w:val="13"/>
                <w:szCs w:val="13"/>
                <w:b w:val="1"/>
                <w:bCs w:val="1"/>
                <w:color w:val="auto"/>
              </w:rPr>
              <w:t>Retained</w:t>
            </w:r>
          </w:p>
        </w:tc>
        <w:tc>
          <w:tcPr>
            <w:tcW w:w="1960" w:type="dxa"/>
            <w:vAlign w:val="bottom"/>
          </w:tcPr>
          <w:p>
            <w:pPr>
              <w:jc w:val="center"/>
              <w:spacing w:after="0"/>
              <w:rPr>
                <w:sz w:val="20"/>
                <w:szCs w:val="20"/>
                <w:color w:val="auto"/>
              </w:rPr>
            </w:pPr>
            <w:r>
              <w:rPr>
                <w:rFonts w:ascii="Courier New" w:cs="Courier New" w:eastAsia="Courier New" w:hAnsi="Courier New"/>
                <w:sz w:val="13"/>
                <w:szCs w:val="13"/>
                <w:b w:val="1"/>
                <w:bCs w:val="1"/>
                <w:color w:val="auto"/>
              </w:rPr>
              <w:t>Comprehensive</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13"/>
                <w:szCs w:val="13"/>
                <w:color w:val="auto"/>
              </w:rPr>
            </w:pPr>
          </w:p>
        </w:tc>
        <w:tc>
          <w:tcPr>
            <w:tcW w:w="1080" w:type="dxa"/>
            <w:vAlign w:val="bottom"/>
          </w:tcPr>
          <w:p>
            <w:pPr>
              <w:jc w:val="right"/>
              <w:ind w:right="293"/>
              <w:spacing w:after="0"/>
              <w:rPr>
                <w:sz w:val="20"/>
                <w:szCs w:val="20"/>
                <w:color w:val="auto"/>
              </w:rPr>
            </w:pPr>
            <w:r>
              <w:rPr>
                <w:rFonts w:ascii="Courier New" w:cs="Courier New" w:eastAsia="Courier New" w:hAnsi="Courier New"/>
                <w:sz w:val="13"/>
                <w:szCs w:val="13"/>
                <w:b w:val="1"/>
                <w:bCs w:val="1"/>
                <w:color w:val="auto"/>
                <w:w w:val="99"/>
              </w:rPr>
              <w:t>of shares</w:t>
            </w:r>
          </w:p>
        </w:tc>
        <w:tc>
          <w:tcPr>
            <w:tcW w:w="68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Value</w:t>
            </w:r>
          </w:p>
        </w:tc>
        <w:tc>
          <w:tcPr>
            <w:tcW w:w="560" w:type="dxa"/>
            <w:vAlign w:val="bottom"/>
          </w:tcPr>
          <w:p>
            <w:pPr>
              <w:spacing w:after="0"/>
              <w:rPr>
                <w:sz w:val="13"/>
                <w:szCs w:val="13"/>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3"/>
                <w:szCs w:val="13"/>
                <w:b w:val="1"/>
                <w:bCs w:val="1"/>
                <w:color w:val="auto"/>
              </w:rPr>
              <w:t>Capital</w:t>
            </w:r>
          </w:p>
        </w:tc>
        <w:tc>
          <w:tcPr>
            <w:tcW w:w="560" w:type="dxa"/>
            <w:vAlign w:val="bottom"/>
          </w:tcPr>
          <w:p>
            <w:pPr>
              <w:spacing w:after="0"/>
              <w:rPr>
                <w:sz w:val="13"/>
                <w:szCs w:val="13"/>
                <w:color w:val="auto"/>
              </w:rPr>
            </w:pPr>
          </w:p>
        </w:tc>
        <w:tc>
          <w:tcPr>
            <w:tcW w:w="960" w:type="dxa"/>
            <w:vAlign w:val="bottom"/>
          </w:tcPr>
          <w:p>
            <w:pPr>
              <w:ind w:left="80"/>
              <w:spacing w:after="0"/>
              <w:rPr>
                <w:sz w:val="20"/>
                <w:szCs w:val="20"/>
                <w:color w:val="auto"/>
              </w:rPr>
            </w:pPr>
            <w:r>
              <w:rPr>
                <w:rFonts w:ascii="Courier New" w:cs="Courier New" w:eastAsia="Courier New" w:hAnsi="Courier New"/>
                <w:sz w:val="13"/>
                <w:szCs w:val="13"/>
                <w:b w:val="1"/>
                <w:bCs w:val="1"/>
                <w:color w:val="auto"/>
              </w:rPr>
              <w:t>Earnings</w:t>
            </w:r>
          </w:p>
        </w:tc>
        <w:tc>
          <w:tcPr>
            <w:tcW w:w="1960" w:type="dxa"/>
            <w:vAlign w:val="bottom"/>
          </w:tcPr>
          <w:p>
            <w:pPr>
              <w:jc w:val="right"/>
              <w:ind w:right="773"/>
              <w:spacing w:after="0"/>
              <w:rPr>
                <w:sz w:val="20"/>
                <w:szCs w:val="20"/>
                <w:color w:val="auto"/>
              </w:rPr>
            </w:pPr>
            <w:r>
              <w:rPr>
                <w:rFonts w:ascii="Courier New" w:cs="Courier New" w:eastAsia="Courier New" w:hAnsi="Courier New"/>
                <w:sz w:val="13"/>
                <w:szCs w:val="13"/>
                <w:b w:val="1"/>
                <w:bCs w:val="1"/>
                <w:color w:val="auto"/>
              </w:rPr>
              <w:t>Loss</w:t>
            </w:r>
          </w:p>
        </w:tc>
        <w:tc>
          <w:tcPr>
            <w:tcW w:w="1080" w:type="dxa"/>
            <w:vAlign w:val="bottom"/>
            <w:gridSpan w:val="2"/>
          </w:tcPr>
          <w:p>
            <w:pPr>
              <w:jc w:val="right"/>
              <w:ind w:right="320"/>
              <w:spacing w:after="0"/>
              <w:rPr>
                <w:sz w:val="20"/>
                <w:szCs w:val="20"/>
                <w:color w:val="auto"/>
              </w:rPr>
            </w:pPr>
            <w:r>
              <w:rPr>
                <w:rFonts w:ascii="Courier New" w:cs="Courier New" w:eastAsia="Courier New" w:hAnsi="Courier New"/>
                <w:sz w:val="13"/>
                <w:szCs w:val="13"/>
                <w:b w:val="1"/>
                <w:bCs w:val="1"/>
                <w:color w:val="auto"/>
              </w:rPr>
              <w:t>Total</w:t>
            </w:r>
          </w:p>
        </w:tc>
      </w:tr>
      <w:tr>
        <w:trPr>
          <w:trHeight w:val="154"/>
        </w:trPr>
        <w:tc>
          <w:tcPr>
            <w:tcW w:w="4860" w:type="dxa"/>
            <w:vAlign w:val="bottom"/>
            <w:gridSpan w:val="2"/>
          </w:tcPr>
          <w:p>
            <w:pPr>
              <w:ind w:left="3700"/>
              <w:spacing w:after="0"/>
              <w:rPr>
                <w:sz w:val="20"/>
                <w:szCs w:val="20"/>
                <w:color w:val="auto"/>
              </w:rPr>
            </w:pPr>
            <w:r>
              <w:rPr>
                <w:rFonts w:ascii="Courier New" w:cs="Courier New" w:eastAsia="Courier New" w:hAnsi="Courier New"/>
                <w:sz w:val="13"/>
                <w:szCs w:val="13"/>
                <w:b w:val="1"/>
                <w:bCs w:val="1"/>
                <w:color w:val="auto"/>
              </w:rPr>
              <w:t>------------</w:t>
            </w:r>
          </w:p>
        </w:tc>
        <w:tc>
          <w:tcPr>
            <w:tcW w:w="1240" w:type="dxa"/>
            <w:vAlign w:val="bottom"/>
            <w:gridSpan w:val="2"/>
          </w:tcPr>
          <w:p>
            <w:pPr>
              <w:jc w:val="right"/>
              <w:ind w:right="253"/>
              <w:spacing w:after="0"/>
              <w:rPr>
                <w:sz w:val="20"/>
                <w:szCs w:val="20"/>
                <w:color w:val="auto"/>
              </w:rPr>
            </w:pPr>
            <w:r>
              <w:rPr>
                <w:rFonts w:ascii="Courier New" w:cs="Courier New" w:eastAsia="Courier New" w:hAnsi="Courier New"/>
                <w:sz w:val="13"/>
                <w:szCs w:val="13"/>
                <w:b w:val="1"/>
                <w:bCs w:val="1"/>
                <w:color w:val="auto"/>
              </w:rPr>
              <w:t>----------</w:t>
            </w:r>
          </w:p>
        </w:tc>
        <w:tc>
          <w:tcPr>
            <w:tcW w:w="1440" w:type="dxa"/>
            <w:vAlign w:val="bottom"/>
            <w:gridSpan w:val="2"/>
          </w:tcPr>
          <w:p>
            <w:pPr>
              <w:jc w:val="right"/>
              <w:ind w:right="253"/>
              <w:spacing w:after="0"/>
              <w:rPr>
                <w:sz w:val="20"/>
                <w:szCs w:val="20"/>
                <w:color w:val="auto"/>
              </w:rPr>
            </w:pPr>
            <w:r>
              <w:rPr>
                <w:rFonts w:ascii="Courier New" w:cs="Courier New" w:eastAsia="Courier New" w:hAnsi="Courier New"/>
                <w:sz w:val="13"/>
                <w:szCs w:val="13"/>
                <w:b w:val="1"/>
                <w:bCs w:val="1"/>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w:t>
            </w:r>
          </w:p>
        </w:tc>
        <w:tc>
          <w:tcPr>
            <w:tcW w:w="1960" w:type="dxa"/>
            <w:vAlign w:val="bottom"/>
          </w:tcPr>
          <w:p>
            <w:pPr>
              <w:jc w:val="right"/>
              <w:ind w:right="133"/>
              <w:spacing w:after="0"/>
              <w:rPr>
                <w:sz w:val="20"/>
                <w:szCs w:val="20"/>
                <w:color w:val="auto"/>
              </w:rPr>
            </w:pPr>
            <w:r>
              <w:rPr>
                <w:rFonts w:ascii="Courier New" w:cs="Courier New" w:eastAsia="Courier New" w:hAnsi="Courier New"/>
                <w:sz w:val="13"/>
                <w:szCs w:val="13"/>
                <w:b w:val="1"/>
                <w:bCs w:val="1"/>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3"/>
                <w:szCs w:val="13"/>
                <w:b w:val="1"/>
                <w:bCs w:val="1"/>
                <w:color w:val="auto"/>
              </w:rPr>
              <w:t>-----------</w:t>
            </w:r>
          </w:p>
        </w:tc>
      </w:tr>
      <w:tr>
        <w:trPr>
          <w:trHeight w:val="308"/>
        </w:trPr>
        <w:tc>
          <w:tcPr>
            <w:tcW w:w="3780" w:type="dxa"/>
            <w:vAlign w:val="bottom"/>
          </w:tcPr>
          <w:p>
            <w:pPr>
              <w:spacing w:after="0"/>
              <w:rPr>
                <w:sz w:val="20"/>
                <w:szCs w:val="20"/>
                <w:color w:val="auto"/>
              </w:rPr>
            </w:pPr>
            <w:r>
              <w:rPr>
                <w:rFonts w:ascii="Courier New" w:cs="Courier New" w:eastAsia="Courier New" w:hAnsi="Courier New"/>
                <w:sz w:val="13"/>
                <w:szCs w:val="13"/>
                <w:color w:val="auto"/>
              </w:rPr>
              <w:t>Balance, December 31, 1999</w:t>
            </w:r>
          </w:p>
        </w:tc>
        <w:tc>
          <w:tcPr>
            <w:tcW w:w="108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15,244</w:t>
            </w:r>
          </w:p>
        </w:tc>
        <w:tc>
          <w:tcPr>
            <w:tcW w:w="1240" w:type="dxa"/>
            <w:vAlign w:val="bottom"/>
            <w:gridSpan w:val="2"/>
          </w:tcPr>
          <w:p>
            <w:pPr>
              <w:jc w:val="right"/>
              <w:ind w:right="333"/>
              <w:spacing w:after="0"/>
              <w:rPr>
                <w:sz w:val="20"/>
                <w:szCs w:val="20"/>
                <w:color w:val="auto"/>
              </w:rPr>
            </w:pPr>
            <w:r>
              <w:rPr>
                <w:rFonts w:ascii="Courier New" w:cs="Courier New" w:eastAsia="Courier New" w:hAnsi="Courier New"/>
                <w:sz w:val="13"/>
                <w:szCs w:val="13"/>
                <w:color w:val="auto"/>
              </w:rPr>
              <w:t>$153</w:t>
            </w:r>
          </w:p>
        </w:tc>
        <w:tc>
          <w:tcPr>
            <w:tcW w:w="1440" w:type="dxa"/>
            <w:vAlign w:val="bottom"/>
            <w:gridSpan w:val="2"/>
          </w:tcPr>
          <w:p>
            <w:pPr>
              <w:jc w:val="right"/>
              <w:ind w:right="333"/>
              <w:spacing w:after="0"/>
              <w:rPr>
                <w:sz w:val="20"/>
                <w:szCs w:val="20"/>
                <w:color w:val="auto"/>
              </w:rPr>
            </w:pPr>
            <w:r>
              <w:rPr>
                <w:rFonts w:ascii="Courier New" w:cs="Courier New" w:eastAsia="Courier New" w:hAnsi="Courier New"/>
                <w:sz w:val="13"/>
                <w:szCs w:val="13"/>
                <w:color w:val="auto"/>
              </w:rPr>
              <w:t>$30,398</w:t>
            </w:r>
          </w:p>
        </w:tc>
        <w:tc>
          <w:tcPr>
            <w:tcW w:w="9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$31,255</w:t>
            </w:r>
          </w:p>
        </w:tc>
        <w:tc>
          <w:tcPr>
            <w:tcW w:w="196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 (1,678)</w:t>
            </w:r>
          </w:p>
        </w:tc>
        <w:tc>
          <w:tcPr>
            <w:tcW w:w="1080" w:type="dxa"/>
            <w:vAlign w:val="bottom"/>
            <w:gridSpan w:val="2"/>
          </w:tcPr>
          <w:p>
            <w:pPr>
              <w:jc w:val="right"/>
              <w:ind w:right="80"/>
              <w:spacing w:after="0"/>
              <w:rPr>
                <w:sz w:val="20"/>
                <w:szCs w:val="20"/>
                <w:color w:val="auto"/>
              </w:rPr>
            </w:pPr>
            <w:r>
              <w:rPr>
                <w:rFonts w:ascii="Courier New" w:cs="Courier New" w:eastAsia="Courier New" w:hAnsi="Courier New"/>
                <w:sz w:val="13"/>
                <w:szCs w:val="13"/>
                <w:color w:val="auto"/>
              </w:rPr>
              <w:t>$60,128</w:t>
            </w:r>
          </w:p>
        </w:tc>
      </w:tr>
      <w:tr>
        <w:trPr>
          <w:trHeight w:val="154"/>
        </w:trPr>
        <w:tc>
          <w:tcPr>
            <w:tcW w:w="3780" w:type="dxa"/>
            <w:vAlign w:val="bottom"/>
          </w:tcPr>
          <w:p>
            <w:pPr>
              <w:ind w:left="480"/>
              <w:spacing w:after="0"/>
              <w:rPr>
                <w:sz w:val="20"/>
                <w:szCs w:val="20"/>
                <w:color w:val="auto"/>
              </w:rPr>
            </w:pPr>
            <w:r>
              <w:rPr>
                <w:rFonts w:ascii="Courier New" w:cs="Courier New" w:eastAsia="Courier New" w:hAnsi="Courier New"/>
                <w:sz w:val="13"/>
                <w:szCs w:val="13"/>
                <w:color w:val="auto"/>
              </w:rPr>
              <w:t>Shares Issued</w:t>
            </w:r>
          </w:p>
        </w:tc>
        <w:tc>
          <w:tcPr>
            <w:tcW w:w="108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3</w:t>
            </w:r>
          </w:p>
        </w:tc>
        <w:tc>
          <w:tcPr>
            <w:tcW w:w="680" w:type="dxa"/>
            <w:vAlign w:val="bottom"/>
          </w:tcPr>
          <w:p>
            <w:pPr>
              <w:spacing w:after="0"/>
              <w:rPr>
                <w:sz w:val="13"/>
                <w:szCs w:val="13"/>
                <w:color w:val="auto"/>
              </w:rPr>
            </w:pPr>
          </w:p>
        </w:tc>
        <w:tc>
          <w:tcPr>
            <w:tcW w:w="560" w:type="dxa"/>
            <w:vAlign w:val="bottom"/>
          </w:tcPr>
          <w:p>
            <w:pPr>
              <w:jc w:val="right"/>
              <w:ind w:right="333"/>
              <w:spacing w:after="0"/>
              <w:rPr>
                <w:sz w:val="20"/>
                <w:szCs w:val="20"/>
                <w:color w:val="auto"/>
              </w:rPr>
            </w:pPr>
            <w:r>
              <w:rPr>
                <w:rFonts w:ascii="Courier New" w:cs="Courier New" w:eastAsia="Courier New" w:hAnsi="Courier New"/>
                <w:sz w:val="13"/>
                <w:szCs w:val="13"/>
                <w:color w:val="auto"/>
                <w:w w:val="89"/>
              </w:rPr>
              <w:t>--</w:t>
            </w:r>
          </w:p>
        </w:tc>
        <w:tc>
          <w:tcPr>
            <w:tcW w:w="880" w:type="dxa"/>
            <w:vAlign w:val="bottom"/>
          </w:tcPr>
          <w:p>
            <w:pPr>
              <w:spacing w:after="0"/>
              <w:rPr>
                <w:sz w:val="13"/>
                <w:szCs w:val="13"/>
                <w:color w:val="auto"/>
              </w:rPr>
            </w:pPr>
          </w:p>
        </w:tc>
        <w:tc>
          <w:tcPr>
            <w:tcW w:w="560" w:type="dxa"/>
            <w:vAlign w:val="bottom"/>
          </w:tcPr>
          <w:p>
            <w:pPr>
              <w:jc w:val="right"/>
              <w:ind w:right="333"/>
              <w:spacing w:after="0"/>
              <w:rPr>
                <w:sz w:val="20"/>
                <w:szCs w:val="20"/>
                <w:color w:val="auto"/>
              </w:rPr>
            </w:pPr>
            <w:r>
              <w:rPr>
                <w:rFonts w:ascii="Courier New" w:cs="Courier New" w:eastAsia="Courier New" w:hAnsi="Courier New"/>
                <w:sz w:val="13"/>
                <w:szCs w:val="13"/>
                <w:color w:val="auto"/>
                <w:w w:val="89"/>
              </w:rPr>
              <w:t>16</w:t>
            </w:r>
          </w:p>
        </w:tc>
        <w:tc>
          <w:tcPr>
            <w:tcW w:w="960" w:type="dxa"/>
            <w:vAlign w:val="bottom"/>
          </w:tcPr>
          <w:p>
            <w:pPr>
              <w:ind w:left="720"/>
              <w:spacing w:after="0"/>
              <w:rPr>
                <w:sz w:val="20"/>
                <w:szCs w:val="20"/>
                <w:color w:val="auto"/>
              </w:rPr>
            </w:pPr>
            <w:r>
              <w:rPr>
                <w:rFonts w:ascii="Courier New" w:cs="Courier New" w:eastAsia="Courier New" w:hAnsi="Courier New"/>
                <w:sz w:val="13"/>
                <w:szCs w:val="13"/>
                <w:color w:val="auto"/>
              </w:rPr>
              <w:t>--</w:t>
            </w:r>
          </w:p>
        </w:tc>
        <w:tc>
          <w:tcPr>
            <w:tcW w:w="196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080" w:type="dxa"/>
            <w:vAlign w:val="bottom"/>
            <w:gridSpan w:val="2"/>
          </w:tcPr>
          <w:p>
            <w:pPr>
              <w:jc w:val="right"/>
              <w:ind w:right="80"/>
              <w:spacing w:after="0"/>
              <w:rPr>
                <w:sz w:val="20"/>
                <w:szCs w:val="20"/>
                <w:color w:val="auto"/>
              </w:rPr>
            </w:pPr>
            <w:r>
              <w:rPr>
                <w:rFonts w:ascii="Courier New" w:cs="Courier New" w:eastAsia="Courier New" w:hAnsi="Courier New"/>
                <w:sz w:val="13"/>
                <w:szCs w:val="13"/>
                <w:color w:val="auto"/>
              </w:rPr>
              <w:t>16</w:t>
            </w:r>
          </w:p>
        </w:tc>
      </w:tr>
      <w:tr>
        <w:trPr>
          <w:trHeight w:val="154"/>
        </w:trPr>
        <w:tc>
          <w:tcPr>
            <w:tcW w:w="3780" w:type="dxa"/>
            <w:vAlign w:val="bottom"/>
          </w:tcPr>
          <w:p>
            <w:pPr>
              <w:ind w:left="480"/>
              <w:spacing w:after="0"/>
              <w:rPr>
                <w:sz w:val="20"/>
                <w:szCs w:val="20"/>
                <w:color w:val="auto"/>
              </w:rPr>
            </w:pPr>
            <w:r>
              <w:rPr>
                <w:rFonts w:ascii="Courier New" w:cs="Courier New" w:eastAsia="Courier New" w:hAnsi="Courier New"/>
                <w:sz w:val="13"/>
                <w:szCs w:val="13"/>
                <w:color w:val="auto"/>
              </w:rPr>
              <w:t>Net income</w:t>
            </w:r>
          </w:p>
        </w:tc>
        <w:tc>
          <w:tcPr>
            <w:tcW w:w="108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spacing w:after="0"/>
              <w:rPr>
                <w:sz w:val="13"/>
                <w:szCs w:val="13"/>
                <w:color w:val="auto"/>
              </w:rPr>
            </w:pPr>
          </w:p>
        </w:tc>
        <w:tc>
          <w:tcPr>
            <w:tcW w:w="560" w:type="dxa"/>
            <w:vAlign w:val="bottom"/>
          </w:tcPr>
          <w:p>
            <w:pPr>
              <w:jc w:val="right"/>
              <w:ind w:right="333"/>
              <w:spacing w:after="0"/>
              <w:rPr>
                <w:sz w:val="20"/>
                <w:szCs w:val="20"/>
                <w:color w:val="auto"/>
              </w:rPr>
            </w:pPr>
            <w:r>
              <w:rPr>
                <w:rFonts w:ascii="Courier New" w:cs="Courier New" w:eastAsia="Courier New" w:hAnsi="Courier New"/>
                <w:sz w:val="13"/>
                <w:szCs w:val="13"/>
                <w:color w:val="auto"/>
                <w:w w:val="89"/>
              </w:rPr>
              <w:t>--</w:t>
            </w:r>
          </w:p>
        </w:tc>
        <w:tc>
          <w:tcPr>
            <w:tcW w:w="880" w:type="dxa"/>
            <w:vAlign w:val="bottom"/>
          </w:tcPr>
          <w:p>
            <w:pPr>
              <w:spacing w:after="0"/>
              <w:rPr>
                <w:sz w:val="13"/>
                <w:szCs w:val="13"/>
                <w:color w:val="auto"/>
              </w:rPr>
            </w:pPr>
          </w:p>
        </w:tc>
        <w:tc>
          <w:tcPr>
            <w:tcW w:w="560" w:type="dxa"/>
            <w:vAlign w:val="bottom"/>
          </w:tcPr>
          <w:p>
            <w:pPr>
              <w:jc w:val="right"/>
              <w:ind w:right="333"/>
              <w:spacing w:after="0"/>
              <w:rPr>
                <w:sz w:val="20"/>
                <w:szCs w:val="20"/>
                <w:color w:val="auto"/>
              </w:rPr>
            </w:pPr>
            <w:r>
              <w:rPr>
                <w:rFonts w:ascii="Courier New" w:cs="Courier New" w:eastAsia="Courier New" w:hAnsi="Courier New"/>
                <w:sz w:val="13"/>
                <w:szCs w:val="13"/>
                <w:color w:val="auto"/>
                <w:w w:val="89"/>
              </w:rPr>
              <w:t>--</w:t>
            </w:r>
          </w:p>
        </w:tc>
        <w:tc>
          <w:tcPr>
            <w:tcW w:w="9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9,987</w:t>
            </w:r>
          </w:p>
        </w:tc>
        <w:tc>
          <w:tcPr>
            <w:tcW w:w="196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080" w:type="dxa"/>
            <w:vAlign w:val="bottom"/>
            <w:gridSpan w:val="2"/>
          </w:tcPr>
          <w:p>
            <w:pPr>
              <w:jc w:val="right"/>
              <w:ind w:right="80"/>
              <w:spacing w:after="0"/>
              <w:rPr>
                <w:sz w:val="20"/>
                <w:szCs w:val="20"/>
                <w:color w:val="auto"/>
              </w:rPr>
            </w:pPr>
            <w:r>
              <w:rPr>
                <w:rFonts w:ascii="Courier New" w:cs="Courier New" w:eastAsia="Courier New" w:hAnsi="Courier New"/>
                <w:sz w:val="13"/>
                <w:szCs w:val="13"/>
                <w:color w:val="auto"/>
              </w:rPr>
              <w:t>9,987</w:t>
            </w:r>
          </w:p>
        </w:tc>
      </w:tr>
      <w:tr>
        <w:trPr>
          <w:trHeight w:val="154"/>
        </w:trPr>
        <w:tc>
          <w:tcPr>
            <w:tcW w:w="3780" w:type="dxa"/>
            <w:vAlign w:val="bottom"/>
          </w:tcPr>
          <w:p>
            <w:pPr>
              <w:ind w:left="480"/>
              <w:spacing w:after="0"/>
              <w:rPr>
                <w:sz w:val="20"/>
                <w:szCs w:val="20"/>
                <w:color w:val="auto"/>
              </w:rPr>
            </w:pPr>
            <w:r>
              <w:rPr>
                <w:rFonts w:ascii="Courier New" w:cs="Courier New" w:eastAsia="Courier New" w:hAnsi="Courier New"/>
                <w:sz w:val="13"/>
                <w:szCs w:val="13"/>
                <w:color w:val="auto"/>
              </w:rPr>
              <w:t>Dividends paid</w:t>
            </w:r>
          </w:p>
        </w:tc>
        <w:tc>
          <w:tcPr>
            <w:tcW w:w="108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spacing w:after="0"/>
              <w:rPr>
                <w:sz w:val="13"/>
                <w:szCs w:val="13"/>
                <w:color w:val="auto"/>
              </w:rPr>
            </w:pPr>
          </w:p>
        </w:tc>
        <w:tc>
          <w:tcPr>
            <w:tcW w:w="560" w:type="dxa"/>
            <w:vAlign w:val="bottom"/>
          </w:tcPr>
          <w:p>
            <w:pPr>
              <w:jc w:val="right"/>
              <w:ind w:right="333"/>
              <w:spacing w:after="0"/>
              <w:rPr>
                <w:sz w:val="20"/>
                <w:szCs w:val="20"/>
                <w:color w:val="auto"/>
              </w:rPr>
            </w:pPr>
            <w:r>
              <w:rPr>
                <w:rFonts w:ascii="Courier New" w:cs="Courier New" w:eastAsia="Courier New" w:hAnsi="Courier New"/>
                <w:sz w:val="13"/>
                <w:szCs w:val="13"/>
                <w:color w:val="auto"/>
                <w:w w:val="89"/>
              </w:rPr>
              <w:t>--</w:t>
            </w:r>
          </w:p>
        </w:tc>
        <w:tc>
          <w:tcPr>
            <w:tcW w:w="880" w:type="dxa"/>
            <w:vAlign w:val="bottom"/>
          </w:tcPr>
          <w:p>
            <w:pPr>
              <w:spacing w:after="0"/>
              <w:rPr>
                <w:sz w:val="13"/>
                <w:szCs w:val="13"/>
                <w:color w:val="auto"/>
              </w:rPr>
            </w:pPr>
          </w:p>
        </w:tc>
        <w:tc>
          <w:tcPr>
            <w:tcW w:w="560" w:type="dxa"/>
            <w:vAlign w:val="bottom"/>
          </w:tcPr>
          <w:p>
            <w:pPr>
              <w:jc w:val="right"/>
              <w:ind w:right="333"/>
              <w:spacing w:after="0"/>
              <w:rPr>
                <w:sz w:val="20"/>
                <w:szCs w:val="20"/>
                <w:color w:val="auto"/>
              </w:rPr>
            </w:pPr>
            <w:r>
              <w:rPr>
                <w:rFonts w:ascii="Courier New" w:cs="Courier New" w:eastAsia="Courier New" w:hAnsi="Courier New"/>
                <w:sz w:val="13"/>
                <w:szCs w:val="13"/>
                <w:color w:val="auto"/>
                <w:w w:val="89"/>
              </w:rPr>
              <w:t>--</w:t>
            </w:r>
          </w:p>
        </w:tc>
        <w:tc>
          <w:tcPr>
            <w:tcW w:w="9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(4,878)</w:t>
            </w:r>
          </w:p>
        </w:tc>
        <w:tc>
          <w:tcPr>
            <w:tcW w:w="196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080" w:type="dxa"/>
            <w:vAlign w:val="bottom"/>
            <w:gridSpan w:val="2"/>
          </w:tcPr>
          <w:p>
            <w:pPr>
              <w:jc w:val="right"/>
              <w:ind w:right="80"/>
              <w:spacing w:after="0"/>
              <w:rPr>
                <w:sz w:val="20"/>
                <w:szCs w:val="20"/>
                <w:color w:val="auto"/>
              </w:rPr>
            </w:pPr>
            <w:r>
              <w:rPr>
                <w:rFonts w:ascii="Courier New" w:cs="Courier New" w:eastAsia="Courier New" w:hAnsi="Courier New"/>
                <w:sz w:val="13"/>
                <w:szCs w:val="13"/>
                <w:color w:val="auto"/>
              </w:rPr>
              <w:t>(4,878)</w:t>
            </w:r>
          </w:p>
        </w:tc>
      </w:tr>
      <w:tr>
        <w:trPr>
          <w:trHeight w:val="154"/>
        </w:trPr>
        <w:tc>
          <w:tcPr>
            <w:tcW w:w="3780" w:type="dxa"/>
            <w:vAlign w:val="bottom"/>
          </w:tcPr>
          <w:p>
            <w:pPr>
              <w:ind w:left="480"/>
              <w:spacing w:after="0"/>
              <w:rPr>
                <w:sz w:val="20"/>
                <w:szCs w:val="20"/>
                <w:color w:val="auto"/>
              </w:rPr>
            </w:pPr>
            <w:r>
              <w:rPr>
                <w:rFonts w:ascii="Courier New" w:cs="Courier New" w:eastAsia="Courier New" w:hAnsi="Courier New"/>
                <w:sz w:val="13"/>
                <w:szCs w:val="13"/>
                <w:color w:val="auto"/>
              </w:rPr>
              <w:t>Cumulative translation loss</w:t>
            </w:r>
          </w:p>
        </w:tc>
        <w:tc>
          <w:tcPr>
            <w:tcW w:w="108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spacing w:after="0"/>
              <w:rPr>
                <w:sz w:val="13"/>
                <w:szCs w:val="13"/>
                <w:color w:val="auto"/>
              </w:rPr>
            </w:pPr>
          </w:p>
        </w:tc>
        <w:tc>
          <w:tcPr>
            <w:tcW w:w="560" w:type="dxa"/>
            <w:vAlign w:val="bottom"/>
          </w:tcPr>
          <w:p>
            <w:pPr>
              <w:jc w:val="right"/>
              <w:ind w:right="333"/>
              <w:spacing w:after="0"/>
              <w:rPr>
                <w:sz w:val="20"/>
                <w:szCs w:val="20"/>
                <w:color w:val="auto"/>
              </w:rPr>
            </w:pPr>
            <w:r>
              <w:rPr>
                <w:rFonts w:ascii="Courier New" w:cs="Courier New" w:eastAsia="Courier New" w:hAnsi="Courier New"/>
                <w:sz w:val="13"/>
                <w:szCs w:val="13"/>
                <w:color w:val="auto"/>
                <w:w w:val="89"/>
              </w:rPr>
              <w:t>--</w:t>
            </w:r>
          </w:p>
        </w:tc>
        <w:tc>
          <w:tcPr>
            <w:tcW w:w="880" w:type="dxa"/>
            <w:vAlign w:val="bottom"/>
          </w:tcPr>
          <w:p>
            <w:pPr>
              <w:spacing w:after="0"/>
              <w:rPr>
                <w:sz w:val="13"/>
                <w:szCs w:val="13"/>
                <w:color w:val="auto"/>
              </w:rPr>
            </w:pPr>
          </w:p>
        </w:tc>
        <w:tc>
          <w:tcPr>
            <w:tcW w:w="560" w:type="dxa"/>
            <w:vAlign w:val="bottom"/>
          </w:tcPr>
          <w:p>
            <w:pPr>
              <w:jc w:val="right"/>
              <w:ind w:right="333"/>
              <w:spacing w:after="0"/>
              <w:rPr>
                <w:sz w:val="20"/>
                <w:szCs w:val="20"/>
                <w:color w:val="auto"/>
              </w:rPr>
            </w:pPr>
            <w:r>
              <w:rPr>
                <w:rFonts w:ascii="Courier New" w:cs="Courier New" w:eastAsia="Courier New" w:hAnsi="Courier New"/>
                <w:sz w:val="13"/>
                <w:szCs w:val="13"/>
                <w:color w:val="auto"/>
                <w:w w:val="89"/>
              </w:rPr>
              <w:t>--</w:t>
            </w:r>
          </w:p>
        </w:tc>
        <w:tc>
          <w:tcPr>
            <w:tcW w:w="960" w:type="dxa"/>
            <w:vAlign w:val="bottom"/>
          </w:tcPr>
          <w:p>
            <w:pPr>
              <w:ind w:left="720"/>
              <w:spacing w:after="0"/>
              <w:rPr>
                <w:sz w:val="20"/>
                <w:szCs w:val="20"/>
                <w:color w:val="auto"/>
              </w:rPr>
            </w:pPr>
            <w:r>
              <w:rPr>
                <w:rFonts w:ascii="Courier New" w:cs="Courier New" w:eastAsia="Courier New" w:hAnsi="Courier New"/>
                <w:sz w:val="13"/>
                <w:szCs w:val="13"/>
                <w:color w:val="auto"/>
              </w:rPr>
              <w:t>--</w:t>
            </w:r>
          </w:p>
        </w:tc>
        <w:tc>
          <w:tcPr>
            <w:tcW w:w="196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(7)</w:t>
            </w:r>
          </w:p>
        </w:tc>
        <w:tc>
          <w:tcPr>
            <w:tcW w:w="1080" w:type="dxa"/>
            <w:vAlign w:val="bottom"/>
            <w:gridSpan w:val="2"/>
          </w:tcPr>
          <w:p>
            <w:pPr>
              <w:jc w:val="right"/>
              <w:ind w:right="80"/>
              <w:spacing w:after="0"/>
              <w:rPr>
                <w:sz w:val="20"/>
                <w:szCs w:val="20"/>
                <w:color w:val="auto"/>
              </w:rPr>
            </w:pPr>
            <w:r>
              <w:rPr>
                <w:rFonts w:ascii="Courier New" w:cs="Courier New" w:eastAsia="Courier New" w:hAnsi="Courier New"/>
                <w:sz w:val="13"/>
                <w:szCs w:val="13"/>
                <w:color w:val="auto"/>
              </w:rPr>
              <w:t>(7)</w:t>
            </w:r>
          </w:p>
        </w:tc>
      </w:tr>
      <w:tr>
        <w:trPr>
          <w:trHeight w:val="154"/>
        </w:trPr>
        <w:tc>
          <w:tcPr>
            <w:tcW w:w="4860" w:type="dxa"/>
            <w:vAlign w:val="bottom"/>
            <w:gridSpan w:val="2"/>
          </w:tcPr>
          <w:p>
            <w:pPr>
              <w:ind w:left="3700"/>
              <w:spacing w:after="0"/>
              <w:rPr>
                <w:sz w:val="20"/>
                <w:szCs w:val="20"/>
                <w:color w:val="auto"/>
              </w:rPr>
            </w:pPr>
            <w:r>
              <w:rPr>
                <w:rFonts w:ascii="Courier New" w:cs="Courier New" w:eastAsia="Courier New" w:hAnsi="Courier New"/>
                <w:sz w:val="13"/>
                <w:szCs w:val="13"/>
                <w:color w:val="auto"/>
              </w:rPr>
              <w:t>------------</w:t>
            </w:r>
          </w:p>
        </w:tc>
        <w:tc>
          <w:tcPr>
            <w:tcW w:w="1240" w:type="dxa"/>
            <w:vAlign w:val="bottom"/>
            <w:gridSpan w:val="2"/>
          </w:tcPr>
          <w:p>
            <w:pPr>
              <w:jc w:val="right"/>
              <w:ind w:right="253"/>
              <w:spacing w:after="0"/>
              <w:rPr>
                <w:sz w:val="20"/>
                <w:szCs w:val="20"/>
                <w:color w:val="auto"/>
              </w:rPr>
            </w:pPr>
            <w:r>
              <w:rPr>
                <w:rFonts w:ascii="Courier New" w:cs="Courier New" w:eastAsia="Courier New" w:hAnsi="Courier New"/>
                <w:sz w:val="13"/>
                <w:szCs w:val="13"/>
                <w:color w:val="auto"/>
              </w:rPr>
              <w:t>----------</w:t>
            </w:r>
          </w:p>
        </w:tc>
        <w:tc>
          <w:tcPr>
            <w:tcW w:w="1440" w:type="dxa"/>
            <w:vAlign w:val="bottom"/>
            <w:gridSpan w:val="2"/>
          </w:tcPr>
          <w:p>
            <w:pPr>
              <w:jc w:val="right"/>
              <w:ind w:right="253"/>
              <w:spacing w:after="0"/>
              <w:rPr>
                <w:sz w:val="20"/>
                <w:szCs w:val="20"/>
                <w:color w:val="auto"/>
              </w:rPr>
            </w:pPr>
            <w:r>
              <w:rPr>
                <w:rFonts w:ascii="Courier New" w:cs="Courier New" w:eastAsia="Courier New" w:hAnsi="Courier New"/>
                <w:sz w:val="13"/>
                <w:szCs w:val="13"/>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96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-1968500</wp:posOffset>
            </wp:positionV>
            <wp:extent cx="3175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-1968500</wp:posOffset>
            </wp:positionV>
            <wp:extent cx="3175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540"/>
          </w:cols>
          <w:pgMar w:left="220" w:top="141" w:right="139" w:bottom="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49"/>
        </w:trPr>
        <w:tc>
          <w:tcPr>
            <w:tcW w:w="4060" w:type="dxa"/>
            <w:vAlign w:val="bottom"/>
          </w:tcPr>
          <w:p>
            <w:pPr>
              <w:spacing w:after="0"/>
              <w:rPr>
                <w:sz w:val="20"/>
                <w:szCs w:val="20"/>
                <w:color w:val="auto"/>
              </w:rPr>
            </w:pPr>
            <w:r>
              <w:rPr>
                <w:rFonts w:ascii="Courier New" w:cs="Courier New" w:eastAsia="Courier New" w:hAnsi="Courier New"/>
                <w:sz w:val="13"/>
                <w:szCs w:val="13"/>
                <w:color w:val="auto"/>
              </w:rPr>
              <w:t>Balance, December 31, 2000</w:t>
            </w:r>
          </w:p>
        </w:tc>
        <w:tc>
          <w:tcPr>
            <w:tcW w:w="92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15,247</w:t>
            </w:r>
          </w:p>
        </w:tc>
        <w:tc>
          <w:tcPr>
            <w:tcW w:w="108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$153</w:t>
            </w:r>
          </w:p>
        </w:tc>
        <w:tc>
          <w:tcPr>
            <w:tcW w:w="148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$30,414</w:t>
            </w:r>
          </w:p>
        </w:tc>
        <w:tc>
          <w:tcPr>
            <w:tcW w:w="1000" w:type="dxa"/>
            <w:vAlign w:val="bottom"/>
            <w:gridSpan w:val="2"/>
          </w:tcPr>
          <w:p>
            <w:pPr>
              <w:jc w:val="right"/>
              <w:ind w:right="53"/>
              <w:spacing w:after="0"/>
              <w:rPr>
                <w:sz w:val="20"/>
                <w:szCs w:val="20"/>
                <w:color w:val="auto"/>
              </w:rPr>
            </w:pPr>
            <w:r>
              <w:rPr>
                <w:rFonts w:ascii="Courier New" w:cs="Courier New" w:eastAsia="Courier New" w:hAnsi="Courier New"/>
                <w:sz w:val="13"/>
                <w:szCs w:val="13"/>
                <w:color w:val="auto"/>
              </w:rPr>
              <w:t>$36,364</w:t>
            </w:r>
          </w:p>
        </w:tc>
        <w:tc>
          <w:tcPr>
            <w:tcW w:w="840" w:type="dxa"/>
            <w:vAlign w:val="bottom"/>
          </w:tcPr>
          <w:p>
            <w:pPr>
              <w:spacing w:after="0"/>
              <w:rPr>
                <w:sz w:val="12"/>
                <w:szCs w:val="12"/>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 (1,685)</w:t>
            </w:r>
          </w:p>
        </w:tc>
        <w:tc>
          <w:tcPr>
            <w:tcW w:w="1280" w:type="dxa"/>
            <w:vAlign w:val="bottom"/>
            <w:gridSpan w:val="2"/>
          </w:tcPr>
          <w:p>
            <w:pPr>
              <w:jc w:val="right"/>
              <w:ind w:right="80"/>
              <w:spacing w:after="0"/>
              <w:rPr>
                <w:sz w:val="20"/>
                <w:szCs w:val="20"/>
                <w:color w:val="auto"/>
              </w:rPr>
            </w:pPr>
            <w:r>
              <w:rPr>
                <w:rFonts w:ascii="Courier New" w:cs="Courier New" w:eastAsia="Courier New" w:hAnsi="Courier New"/>
                <w:sz w:val="13"/>
                <w:szCs w:val="13"/>
                <w:color w:val="auto"/>
              </w:rPr>
              <w:t>$65,246</w:t>
            </w: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Shares Issued</w:t>
            </w:r>
          </w:p>
        </w:tc>
        <w:tc>
          <w:tcPr>
            <w:tcW w:w="92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70</w:t>
            </w:r>
          </w:p>
        </w:tc>
        <w:tc>
          <w:tcPr>
            <w:tcW w:w="108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1</w:t>
            </w:r>
          </w:p>
        </w:tc>
        <w:tc>
          <w:tcPr>
            <w:tcW w:w="148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427</w:t>
            </w:r>
          </w:p>
        </w:tc>
        <w:tc>
          <w:tcPr>
            <w:tcW w:w="480" w:type="dxa"/>
            <w:vAlign w:val="bottom"/>
          </w:tcPr>
          <w:p>
            <w:pPr>
              <w:spacing w:after="0"/>
              <w:rPr>
                <w:sz w:val="13"/>
                <w:szCs w:val="13"/>
                <w:color w:val="auto"/>
              </w:rPr>
            </w:pPr>
          </w:p>
        </w:tc>
        <w:tc>
          <w:tcPr>
            <w:tcW w:w="5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840" w:type="dxa"/>
            <w:vAlign w:val="bottom"/>
          </w:tcPr>
          <w:p>
            <w:pPr>
              <w:spacing w:after="0"/>
              <w:rPr>
                <w:sz w:val="13"/>
                <w:szCs w:val="13"/>
                <w:color w:val="auto"/>
              </w:rPr>
            </w:pPr>
          </w:p>
        </w:tc>
        <w:tc>
          <w:tcPr>
            <w:tcW w:w="880" w:type="dxa"/>
            <w:vAlign w:val="bottom"/>
          </w:tcPr>
          <w:p>
            <w:pPr>
              <w:jc w:val="center"/>
              <w:ind w:left="493"/>
              <w:spacing w:after="0"/>
              <w:rPr>
                <w:sz w:val="20"/>
                <w:szCs w:val="20"/>
                <w:color w:val="auto"/>
              </w:rPr>
            </w:pPr>
            <w:r>
              <w:rPr>
                <w:rFonts w:ascii="Courier New" w:cs="Courier New" w:eastAsia="Courier New" w:hAnsi="Courier New"/>
                <w:sz w:val="13"/>
                <w:szCs w:val="13"/>
                <w:color w:val="auto"/>
              </w:rPr>
              <w:t>--</w:t>
            </w:r>
          </w:p>
        </w:tc>
        <w:tc>
          <w:tcPr>
            <w:tcW w:w="1280" w:type="dxa"/>
            <w:vAlign w:val="bottom"/>
            <w:gridSpan w:val="2"/>
          </w:tcPr>
          <w:p>
            <w:pPr>
              <w:jc w:val="right"/>
              <w:ind w:right="80"/>
              <w:spacing w:after="0"/>
              <w:rPr>
                <w:sz w:val="20"/>
                <w:szCs w:val="20"/>
                <w:color w:val="auto"/>
              </w:rPr>
            </w:pPr>
            <w:r>
              <w:rPr>
                <w:rFonts w:ascii="Courier New" w:cs="Courier New" w:eastAsia="Courier New" w:hAnsi="Courier New"/>
                <w:sz w:val="13"/>
                <w:szCs w:val="13"/>
                <w:color w:val="auto"/>
              </w:rPr>
              <w:t>428</w:t>
            </w: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Net income</w:t>
            </w:r>
          </w:p>
        </w:tc>
        <w:tc>
          <w:tcPr>
            <w:tcW w:w="92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w:t>
            </w:r>
          </w:p>
        </w:tc>
        <w:tc>
          <w:tcPr>
            <w:tcW w:w="148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480" w:type="dxa"/>
            <w:vAlign w:val="bottom"/>
          </w:tcPr>
          <w:p>
            <w:pPr>
              <w:spacing w:after="0"/>
              <w:rPr>
                <w:sz w:val="13"/>
                <w:szCs w:val="13"/>
                <w:color w:val="auto"/>
              </w:rPr>
            </w:pPr>
          </w:p>
        </w:tc>
        <w:tc>
          <w:tcPr>
            <w:tcW w:w="520" w:type="dxa"/>
            <w:vAlign w:val="bottom"/>
          </w:tcPr>
          <w:p>
            <w:pPr>
              <w:jc w:val="right"/>
              <w:ind w:right="53"/>
              <w:spacing w:after="0"/>
              <w:rPr>
                <w:sz w:val="20"/>
                <w:szCs w:val="20"/>
                <w:color w:val="auto"/>
              </w:rPr>
            </w:pPr>
            <w:r>
              <w:rPr>
                <w:rFonts w:ascii="Courier New" w:cs="Courier New" w:eastAsia="Courier New" w:hAnsi="Courier New"/>
                <w:sz w:val="13"/>
                <w:szCs w:val="13"/>
                <w:color w:val="auto"/>
                <w:w w:val="97"/>
              </w:rPr>
              <w:t>4,662</w:t>
            </w:r>
          </w:p>
        </w:tc>
        <w:tc>
          <w:tcPr>
            <w:tcW w:w="840" w:type="dxa"/>
            <w:vAlign w:val="bottom"/>
          </w:tcPr>
          <w:p>
            <w:pPr>
              <w:spacing w:after="0"/>
              <w:rPr>
                <w:sz w:val="13"/>
                <w:szCs w:val="13"/>
                <w:color w:val="auto"/>
              </w:rPr>
            </w:pPr>
          </w:p>
        </w:tc>
        <w:tc>
          <w:tcPr>
            <w:tcW w:w="880" w:type="dxa"/>
            <w:vAlign w:val="bottom"/>
          </w:tcPr>
          <w:p>
            <w:pPr>
              <w:jc w:val="center"/>
              <w:ind w:left="493"/>
              <w:spacing w:after="0"/>
              <w:rPr>
                <w:sz w:val="20"/>
                <w:szCs w:val="20"/>
                <w:color w:val="auto"/>
              </w:rPr>
            </w:pPr>
            <w:r>
              <w:rPr>
                <w:rFonts w:ascii="Courier New" w:cs="Courier New" w:eastAsia="Courier New" w:hAnsi="Courier New"/>
                <w:sz w:val="13"/>
                <w:szCs w:val="13"/>
                <w:color w:val="auto"/>
              </w:rPr>
              <w:t>--</w:t>
            </w:r>
          </w:p>
        </w:tc>
        <w:tc>
          <w:tcPr>
            <w:tcW w:w="1280" w:type="dxa"/>
            <w:vAlign w:val="bottom"/>
            <w:gridSpan w:val="2"/>
          </w:tcPr>
          <w:p>
            <w:pPr>
              <w:jc w:val="right"/>
              <w:ind w:right="80"/>
              <w:spacing w:after="0"/>
              <w:rPr>
                <w:sz w:val="20"/>
                <w:szCs w:val="20"/>
                <w:color w:val="auto"/>
              </w:rPr>
            </w:pPr>
            <w:r>
              <w:rPr>
                <w:rFonts w:ascii="Courier New" w:cs="Courier New" w:eastAsia="Courier New" w:hAnsi="Courier New"/>
                <w:sz w:val="13"/>
                <w:szCs w:val="13"/>
                <w:color w:val="auto"/>
              </w:rPr>
              <w:t>4,662</w:t>
            </w: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Dividends paid</w:t>
            </w:r>
          </w:p>
        </w:tc>
        <w:tc>
          <w:tcPr>
            <w:tcW w:w="92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w:t>
            </w:r>
          </w:p>
        </w:tc>
        <w:tc>
          <w:tcPr>
            <w:tcW w:w="148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1000" w:type="dxa"/>
            <w:vAlign w:val="bottom"/>
            <w:gridSpan w:val="2"/>
          </w:tcPr>
          <w:p>
            <w:pPr>
              <w:jc w:val="right"/>
              <w:ind w:right="53"/>
              <w:spacing w:after="0"/>
              <w:rPr>
                <w:sz w:val="20"/>
                <w:szCs w:val="20"/>
                <w:color w:val="auto"/>
              </w:rPr>
            </w:pPr>
            <w:r>
              <w:rPr>
                <w:rFonts w:ascii="Courier New" w:cs="Courier New" w:eastAsia="Courier New" w:hAnsi="Courier New"/>
                <w:sz w:val="13"/>
                <w:szCs w:val="13"/>
                <w:color w:val="auto"/>
              </w:rPr>
              <w:t>(4,887)</w:t>
            </w:r>
          </w:p>
        </w:tc>
        <w:tc>
          <w:tcPr>
            <w:tcW w:w="840" w:type="dxa"/>
            <w:vAlign w:val="bottom"/>
          </w:tcPr>
          <w:p>
            <w:pPr>
              <w:spacing w:after="0"/>
              <w:rPr>
                <w:sz w:val="13"/>
                <w:szCs w:val="13"/>
                <w:color w:val="auto"/>
              </w:rPr>
            </w:pPr>
          </w:p>
        </w:tc>
        <w:tc>
          <w:tcPr>
            <w:tcW w:w="880" w:type="dxa"/>
            <w:vAlign w:val="bottom"/>
          </w:tcPr>
          <w:p>
            <w:pPr>
              <w:jc w:val="center"/>
              <w:ind w:left="493"/>
              <w:spacing w:after="0"/>
              <w:rPr>
                <w:sz w:val="20"/>
                <w:szCs w:val="20"/>
                <w:color w:val="auto"/>
              </w:rPr>
            </w:pPr>
            <w:r>
              <w:rPr>
                <w:rFonts w:ascii="Courier New" w:cs="Courier New" w:eastAsia="Courier New" w:hAnsi="Courier New"/>
                <w:sz w:val="13"/>
                <w:szCs w:val="13"/>
                <w:color w:val="auto"/>
              </w:rPr>
              <w:t>--</w:t>
            </w:r>
          </w:p>
        </w:tc>
        <w:tc>
          <w:tcPr>
            <w:tcW w:w="1280" w:type="dxa"/>
            <w:vAlign w:val="bottom"/>
            <w:gridSpan w:val="2"/>
          </w:tcPr>
          <w:p>
            <w:pPr>
              <w:jc w:val="right"/>
              <w:ind w:right="80"/>
              <w:spacing w:after="0"/>
              <w:rPr>
                <w:sz w:val="20"/>
                <w:szCs w:val="20"/>
                <w:color w:val="auto"/>
              </w:rPr>
            </w:pPr>
            <w:r>
              <w:rPr>
                <w:rFonts w:ascii="Courier New" w:cs="Courier New" w:eastAsia="Courier New" w:hAnsi="Courier New"/>
                <w:sz w:val="13"/>
                <w:szCs w:val="13"/>
                <w:color w:val="auto"/>
              </w:rPr>
              <w:t>(4,887)</w:t>
            </w: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Additional minimum pension liability</w:t>
            </w:r>
          </w:p>
        </w:tc>
        <w:tc>
          <w:tcPr>
            <w:tcW w:w="92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w:t>
            </w:r>
          </w:p>
        </w:tc>
        <w:tc>
          <w:tcPr>
            <w:tcW w:w="148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480" w:type="dxa"/>
            <w:vAlign w:val="bottom"/>
          </w:tcPr>
          <w:p>
            <w:pPr>
              <w:spacing w:after="0"/>
              <w:rPr>
                <w:sz w:val="13"/>
                <w:szCs w:val="13"/>
                <w:color w:val="auto"/>
              </w:rPr>
            </w:pPr>
          </w:p>
        </w:tc>
        <w:tc>
          <w:tcPr>
            <w:tcW w:w="5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840" w:type="dxa"/>
            <w:vAlign w:val="bottom"/>
          </w:tcPr>
          <w:p>
            <w:pPr>
              <w:spacing w:after="0"/>
              <w:rPr>
                <w:sz w:val="13"/>
                <w:szCs w:val="13"/>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(53)</w:t>
            </w:r>
          </w:p>
        </w:tc>
        <w:tc>
          <w:tcPr>
            <w:tcW w:w="1280" w:type="dxa"/>
            <w:vAlign w:val="bottom"/>
            <w:gridSpan w:val="2"/>
          </w:tcPr>
          <w:p>
            <w:pPr>
              <w:jc w:val="right"/>
              <w:ind w:right="80"/>
              <w:spacing w:after="0"/>
              <w:rPr>
                <w:sz w:val="20"/>
                <w:szCs w:val="20"/>
                <w:color w:val="auto"/>
              </w:rPr>
            </w:pPr>
            <w:r>
              <w:rPr>
                <w:rFonts w:ascii="Courier New" w:cs="Courier New" w:eastAsia="Courier New" w:hAnsi="Courier New"/>
                <w:sz w:val="13"/>
                <w:szCs w:val="13"/>
                <w:color w:val="auto"/>
              </w:rPr>
              <w:t>(53)</w:t>
            </w: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Cumulative translation loss</w:t>
            </w:r>
          </w:p>
        </w:tc>
        <w:tc>
          <w:tcPr>
            <w:tcW w:w="92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w:t>
            </w:r>
          </w:p>
        </w:tc>
        <w:tc>
          <w:tcPr>
            <w:tcW w:w="148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480" w:type="dxa"/>
            <w:vAlign w:val="bottom"/>
          </w:tcPr>
          <w:p>
            <w:pPr>
              <w:spacing w:after="0"/>
              <w:rPr>
                <w:sz w:val="13"/>
                <w:szCs w:val="13"/>
                <w:color w:val="auto"/>
              </w:rPr>
            </w:pPr>
          </w:p>
        </w:tc>
        <w:tc>
          <w:tcPr>
            <w:tcW w:w="5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840" w:type="dxa"/>
            <w:vAlign w:val="bottom"/>
          </w:tcPr>
          <w:p>
            <w:pPr>
              <w:spacing w:after="0"/>
              <w:rPr>
                <w:sz w:val="13"/>
                <w:szCs w:val="13"/>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(3,357)</w:t>
            </w:r>
          </w:p>
        </w:tc>
        <w:tc>
          <w:tcPr>
            <w:tcW w:w="1280" w:type="dxa"/>
            <w:vAlign w:val="bottom"/>
            <w:gridSpan w:val="2"/>
          </w:tcPr>
          <w:p>
            <w:pPr>
              <w:jc w:val="right"/>
              <w:ind w:right="80"/>
              <w:spacing w:after="0"/>
              <w:rPr>
                <w:sz w:val="20"/>
                <w:szCs w:val="20"/>
                <w:color w:val="auto"/>
              </w:rPr>
            </w:pPr>
            <w:r>
              <w:rPr>
                <w:rFonts w:ascii="Courier New" w:cs="Courier New" w:eastAsia="Courier New" w:hAnsi="Courier New"/>
                <w:sz w:val="13"/>
                <w:szCs w:val="13"/>
                <w:color w:val="auto"/>
              </w:rPr>
              <w:t>(3,357)</w:t>
            </w:r>
          </w:p>
        </w:tc>
      </w:tr>
      <w:tr>
        <w:trPr>
          <w:trHeight w:val="154"/>
        </w:trPr>
        <w:tc>
          <w:tcPr>
            <w:tcW w:w="4980" w:type="dxa"/>
            <w:vAlign w:val="bottom"/>
            <w:gridSpan w:val="2"/>
          </w:tcPr>
          <w:p>
            <w:pPr>
              <w:ind w:left="3700"/>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center"/>
              <w:ind w:right="213"/>
              <w:spacing w:after="0"/>
              <w:rPr>
                <w:sz w:val="20"/>
                <w:szCs w:val="20"/>
                <w:color w:val="auto"/>
              </w:rPr>
            </w:pPr>
            <w:r>
              <w:rPr>
                <w:rFonts w:ascii="Courier New" w:cs="Courier New" w:eastAsia="Courier New" w:hAnsi="Courier New"/>
                <w:sz w:val="13"/>
                <w:szCs w:val="13"/>
                <w:color w:val="auto"/>
              </w:rPr>
              <w:t>----------</w:t>
            </w:r>
          </w:p>
        </w:tc>
        <w:tc>
          <w:tcPr>
            <w:tcW w:w="148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r>
      <w:tr>
        <w:trPr>
          <w:trHeight w:val="308"/>
        </w:trPr>
        <w:tc>
          <w:tcPr>
            <w:tcW w:w="4060" w:type="dxa"/>
            <w:vAlign w:val="bottom"/>
          </w:tcPr>
          <w:p>
            <w:pPr>
              <w:spacing w:after="0"/>
              <w:rPr>
                <w:sz w:val="20"/>
                <w:szCs w:val="20"/>
                <w:color w:val="auto"/>
              </w:rPr>
            </w:pPr>
            <w:r>
              <w:rPr>
                <w:rFonts w:ascii="Courier New" w:cs="Courier New" w:eastAsia="Courier New" w:hAnsi="Courier New"/>
                <w:sz w:val="13"/>
                <w:szCs w:val="13"/>
                <w:color w:val="auto"/>
              </w:rPr>
              <w:t>Balance, December 31, 2001</w:t>
            </w:r>
          </w:p>
        </w:tc>
        <w:tc>
          <w:tcPr>
            <w:tcW w:w="92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15,317</w:t>
            </w:r>
          </w:p>
        </w:tc>
        <w:tc>
          <w:tcPr>
            <w:tcW w:w="108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$154</w:t>
            </w:r>
          </w:p>
        </w:tc>
        <w:tc>
          <w:tcPr>
            <w:tcW w:w="148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$30,841</w:t>
            </w:r>
          </w:p>
        </w:tc>
        <w:tc>
          <w:tcPr>
            <w:tcW w:w="1000" w:type="dxa"/>
            <w:vAlign w:val="bottom"/>
            <w:gridSpan w:val="2"/>
          </w:tcPr>
          <w:p>
            <w:pPr>
              <w:jc w:val="right"/>
              <w:ind w:right="53"/>
              <w:spacing w:after="0"/>
              <w:rPr>
                <w:sz w:val="20"/>
                <w:szCs w:val="20"/>
                <w:color w:val="auto"/>
              </w:rPr>
            </w:pPr>
            <w:r>
              <w:rPr>
                <w:rFonts w:ascii="Courier New" w:cs="Courier New" w:eastAsia="Courier New" w:hAnsi="Courier New"/>
                <w:sz w:val="13"/>
                <w:szCs w:val="13"/>
                <w:color w:val="auto"/>
              </w:rPr>
              <w:t>$36,139</w:t>
            </w:r>
          </w:p>
        </w:tc>
        <w:tc>
          <w:tcPr>
            <w:tcW w:w="840" w:type="dxa"/>
            <w:vAlign w:val="bottom"/>
          </w:tcPr>
          <w:p>
            <w:pPr>
              <w:spacing w:after="0"/>
              <w:rPr>
                <w:sz w:val="24"/>
                <w:szCs w:val="24"/>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 (5,095)</w:t>
            </w:r>
          </w:p>
        </w:tc>
        <w:tc>
          <w:tcPr>
            <w:tcW w:w="1280" w:type="dxa"/>
            <w:vAlign w:val="bottom"/>
            <w:gridSpan w:val="2"/>
          </w:tcPr>
          <w:p>
            <w:pPr>
              <w:jc w:val="right"/>
              <w:ind w:right="80"/>
              <w:spacing w:after="0"/>
              <w:rPr>
                <w:sz w:val="20"/>
                <w:szCs w:val="20"/>
                <w:color w:val="auto"/>
              </w:rPr>
            </w:pPr>
            <w:r>
              <w:rPr>
                <w:rFonts w:ascii="Courier New" w:cs="Courier New" w:eastAsia="Courier New" w:hAnsi="Courier New"/>
                <w:sz w:val="13"/>
                <w:szCs w:val="13"/>
                <w:color w:val="auto"/>
              </w:rPr>
              <w:t>$62,039</w:t>
            </w: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Shares Issued</w:t>
            </w:r>
          </w:p>
        </w:tc>
        <w:tc>
          <w:tcPr>
            <w:tcW w:w="92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50</w:t>
            </w:r>
          </w:p>
        </w:tc>
        <w:tc>
          <w:tcPr>
            <w:tcW w:w="108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w:t>
            </w:r>
          </w:p>
        </w:tc>
        <w:tc>
          <w:tcPr>
            <w:tcW w:w="148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346</w:t>
            </w:r>
          </w:p>
        </w:tc>
        <w:tc>
          <w:tcPr>
            <w:tcW w:w="480" w:type="dxa"/>
            <w:vAlign w:val="bottom"/>
          </w:tcPr>
          <w:p>
            <w:pPr>
              <w:spacing w:after="0"/>
              <w:rPr>
                <w:sz w:val="13"/>
                <w:szCs w:val="13"/>
                <w:color w:val="auto"/>
              </w:rPr>
            </w:pPr>
          </w:p>
        </w:tc>
        <w:tc>
          <w:tcPr>
            <w:tcW w:w="5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840" w:type="dxa"/>
            <w:vAlign w:val="bottom"/>
          </w:tcPr>
          <w:p>
            <w:pPr>
              <w:spacing w:after="0"/>
              <w:rPr>
                <w:sz w:val="13"/>
                <w:szCs w:val="13"/>
                <w:color w:val="auto"/>
              </w:rPr>
            </w:pPr>
          </w:p>
        </w:tc>
        <w:tc>
          <w:tcPr>
            <w:tcW w:w="880" w:type="dxa"/>
            <w:vAlign w:val="bottom"/>
          </w:tcPr>
          <w:p>
            <w:pPr>
              <w:jc w:val="center"/>
              <w:ind w:left="493"/>
              <w:spacing w:after="0"/>
              <w:rPr>
                <w:sz w:val="20"/>
                <w:szCs w:val="20"/>
                <w:color w:val="auto"/>
              </w:rPr>
            </w:pPr>
            <w:r>
              <w:rPr>
                <w:rFonts w:ascii="Courier New" w:cs="Courier New" w:eastAsia="Courier New" w:hAnsi="Courier New"/>
                <w:sz w:val="13"/>
                <w:szCs w:val="13"/>
                <w:color w:val="auto"/>
              </w:rPr>
              <w:t>--</w:t>
            </w:r>
          </w:p>
        </w:tc>
        <w:tc>
          <w:tcPr>
            <w:tcW w:w="1280" w:type="dxa"/>
            <w:vAlign w:val="bottom"/>
            <w:gridSpan w:val="2"/>
          </w:tcPr>
          <w:p>
            <w:pPr>
              <w:jc w:val="right"/>
              <w:ind w:right="80"/>
              <w:spacing w:after="0"/>
              <w:rPr>
                <w:sz w:val="20"/>
                <w:szCs w:val="20"/>
                <w:color w:val="auto"/>
              </w:rPr>
            </w:pPr>
            <w:r>
              <w:rPr>
                <w:rFonts w:ascii="Courier New" w:cs="Courier New" w:eastAsia="Courier New" w:hAnsi="Courier New"/>
                <w:sz w:val="13"/>
                <w:szCs w:val="13"/>
                <w:color w:val="auto"/>
              </w:rPr>
              <w:t>346</w:t>
            </w: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Net income</w:t>
            </w:r>
          </w:p>
        </w:tc>
        <w:tc>
          <w:tcPr>
            <w:tcW w:w="92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w:t>
            </w:r>
          </w:p>
        </w:tc>
        <w:tc>
          <w:tcPr>
            <w:tcW w:w="148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1000" w:type="dxa"/>
            <w:vAlign w:val="bottom"/>
            <w:gridSpan w:val="2"/>
          </w:tcPr>
          <w:p>
            <w:pPr>
              <w:jc w:val="right"/>
              <w:ind w:right="53"/>
              <w:spacing w:after="0"/>
              <w:rPr>
                <w:sz w:val="20"/>
                <w:szCs w:val="20"/>
                <w:color w:val="auto"/>
              </w:rPr>
            </w:pPr>
            <w:r>
              <w:rPr>
                <w:rFonts w:ascii="Courier New" w:cs="Courier New" w:eastAsia="Courier New" w:hAnsi="Courier New"/>
                <w:sz w:val="13"/>
                <w:szCs w:val="13"/>
                <w:color w:val="auto"/>
              </w:rPr>
              <w:t>13,664</w:t>
            </w:r>
          </w:p>
        </w:tc>
        <w:tc>
          <w:tcPr>
            <w:tcW w:w="840" w:type="dxa"/>
            <w:vAlign w:val="bottom"/>
          </w:tcPr>
          <w:p>
            <w:pPr>
              <w:spacing w:after="0"/>
              <w:rPr>
                <w:sz w:val="13"/>
                <w:szCs w:val="13"/>
                <w:color w:val="auto"/>
              </w:rPr>
            </w:pPr>
          </w:p>
        </w:tc>
        <w:tc>
          <w:tcPr>
            <w:tcW w:w="880" w:type="dxa"/>
            <w:vAlign w:val="bottom"/>
          </w:tcPr>
          <w:p>
            <w:pPr>
              <w:jc w:val="center"/>
              <w:ind w:left="493"/>
              <w:spacing w:after="0"/>
              <w:rPr>
                <w:sz w:val="20"/>
                <w:szCs w:val="20"/>
                <w:color w:val="auto"/>
              </w:rPr>
            </w:pPr>
            <w:r>
              <w:rPr>
                <w:rFonts w:ascii="Courier New" w:cs="Courier New" w:eastAsia="Courier New" w:hAnsi="Courier New"/>
                <w:sz w:val="13"/>
                <w:szCs w:val="13"/>
                <w:color w:val="auto"/>
              </w:rPr>
              <w:t>--</w:t>
            </w:r>
          </w:p>
        </w:tc>
        <w:tc>
          <w:tcPr>
            <w:tcW w:w="1280" w:type="dxa"/>
            <w:vAlign w:val="bottom"/>
            <w:gridSpan w:val="2"/>
          </w:tcPr>
          <w:p>
            <w:pPr>
              <w:jc w:val="right"/>
              <w:ind w:right="80"/>
              <w:spacing w:after="0"/>
              <w:rPr>
                <w:sz w:val="20"/>
                <w:szCs w:val="20"/>
                <w:color w:val="auto"/>
              </w:rPr>
            </w:pPr>
            <w:r>
              <w:rPr>
                <w:rFonts w:ascii="Courier New" w:cs="Courier New" w:eastAsia="Courier New" w:hAnsi="Courier New"/>
                <w:sz w:val="13"/>
                <w:szCs w:val="13"/>
                <w:color w:val="auto"/>
              </w:rPr>
              <w:t>13,664</w:t>
            </w: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Dividends paid</w:t>
            </w:r>
          </w:p>
        </w:tc>
        <w:tc>
          <w:tcPr>
            <w:tcW w:w="92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w:t>
            </w:r>
          </w:p>
        </w:tc>
        <w:tc>
          <w:tcPr>
            <w:tcW w:w="148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1000" w:type="dxa"/>
            <w:vAlign w:val="bottom"/>
            <w:gridSpan w:val="2"/>
          </w:tcPr>
          <w:p>
            <w:pPr>
              <w:jc w:val="right"/>
              <w:ind w:right="53"/>
              <w:spacing w:after="0"/>
              <w:rPr>
                <w:sz w:val="20"/>
                <w:szCs w:val="20"/>
                <w:color w:val="auto"/>
              </w:rPr>
            </w:pPr>
            <w:r>
              <w:rPr>
                <w:rFonts w:ascii="Courier New" w:cs="Courier New" w:eastAsia="Courier New" w:hAnsi="Courier New"/>
                <w:sz w:val="13"/>
                <w:szCs w:val="13"/>
                <w:color w:val="auto"/>
              </w:rPr>
              <w:t>(4,915)</w:t>
            </w:r>
          </w:p>
        </w:tc>
        <w:tc>
          <w:tcPr>
            <w:tcW w:w="840" w:type="dxa"/>
            <w:vAlign w:val="bottom"/>
          </w:tcPr>
          <w:p>
            <w:pPr>
              <w:spacing w:after="0"/>
              <w:rPr>
                <w:sz w:val="13"/>
                <w:szCs w:val="13"/>
                <w:color w:val="auto"/>
              </w:rPr>
            </w:pPr>
          </w:p>
        </w:tc>
        <w:tc>
          <w:tcPr>
            <w:tcW w:w="880" w:type="dxa"/>
            <w:vAlign w:val="bottom"/>
          </w:tcPr>
          <w:p>
            <w:pPr>
              <w:jc w:val="center"/>
              <w:ind w:left="493"/>
              <w:spacing w:after="0"/>
              <w:rPr>
                <w:sz w:val="20"/>
                <w:szCs w:val="20"/>
                <w:color w:val="auto"/>
              </w:rPr>
            </w:pPr>
            <w:r>
              <w:rPr>
                <w:rFonts w:ascii="Courier New" w:cs="Courier New" w:eastAsia="Courier New" w:hAnsi="Courier New"/>
                <w:sz w:val="13"/>
                <w:szCs w:val="13"/>
                <w:color w:val="auto"/>
              </w:rPr>
              <w:t>--</w:t>
            </w:r>
          </w:p>
        </w:tc>
        <w:tc>
          <w:tcPr>
            <w:tcW w:w="1280" w:type="dxa"/>
            <w:vAlign w:val="bottom"/>
            <w:gridSpan w:val="2"/>
          </w:tcPr>
          <w:p>
            <w:pPr>
              <w:jc w:val="right"/>
              <w:ind w:right="80"/>
              <w:spacing w:after="0"/>
              <w:rPr>
                <w:sz w:val="20"/>
                <w:szCs w:val="20"/>
                <w:color w:val="auto"/>
              </w:rPr>
            </w:pPr>
            <w:r>
              <w:rPr>
                <w:rFonts w:ascii="Courier New" w:cs="Courier New" w:eastAsia="Courier New" w:hAnsi="Courier New"/>
                <w:sz w:val="13"/>
                <w:szCs w:val="13"/>
                <w:color w:val="auto"/>
              </w:rPr>
              <w:t>(4,915)</w:t>
            </w: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Additional minimum pension liability</w:t>
            </w:r>
          </w:p>
        </w:tc>
        <w:tc>
          <w:tcPr>
            <w:tcW w:w="92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w:t>
            </w:r>
          </w:p>
        </w:tc>
        <w:tc>
          <w:tcPr>
            <w:tcW w:w="148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480" w:type="dxa"/>
            <w:vAlign w:val="bottom"/>
          </w:tcPr>
          <w:p>
            <w:pPr>
              <w:spacing w:after="0"/>
              <w:rPr>
                <w:sz w:val="13"/>
                <w:szCs w:val="13"/>
                <w:color w:val="auto"/>
              </w:rPr>
            </w:pPr>
          </w:p>
        </w:tc>
        <w:tc>
          <w:tcPr>
            <w:tcW w:w="5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840" w:type="dxa"/>
            <w:vAlign w:val="bottom"/>
          </w:tcPr>
          <w:p>
            <w:pPr>
              <w:spacing w:after="0"/>
              <w:rPr>
                <w:sz w:val="13"/>
                <w:szCs w:val="13"/>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(28)</w:t>
            </w:r>
          </w:p>
        </w:tc>
        <w:tc>
          <w:tcPr>
            <w:tcW w:w="1280" w:type="dxa"/>
            <w:vAlign w:val="bottom"/>
            <w:gridSpan w:val="2"/>
          </w:tcPr>
          <w:p>
            <w:pPr>
              <w:jc w:val="right"/>
              <w:ind w:right="80"/>
              <w:spacing w:after="0"/>
              <w:rPr>
                <w:sz w:val="20"/>
                <w:szCs w:val="20"/>
                <w:color w:val="auto"/>
              </w:rPr>
            </w:pPr>
            <w:r>
              <w:rPr>
                <w:rFonts w:ascii="Courier New" w:cs="Courier New" w:eastAsia="Courier New" w:hAnsi="Courier New"/>
                <w:sz w:val="13"/>
                <w:szCs w:val="13"/>
                <w:color w:val="auto"/>
              </w:rPr>
              <w:t>(28)</w:t>
            </w: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Cumulative translation gain</w:t>
            </w:r>
          </w:p>
        </w:tc>
        <w:tc>
          <w:tcPr>
            <w:tcW w:w="92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w:t>
            </w:r>
          </w:p>
        </w:tc>
        <w:tc>
          <w:tcPr>
            <w:tcW w:w="148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480" w:type="dxa"/>
            <w:vAlign w:val="bottom"/>
          </w:tcPr>
          <w:p>
            <w:pPr>
              <w:spacing w:after="0"/>
              <w:rPr>
                <w:sz w:val="13"/>
                <w:szCs w:val="13"/>
                <w:color w:val="auto"/>
              </w:rPr>
            </w:pPr>
          </w:p>
        </w:tc>
        <w:tc>
          <w:tcPr>
            <w:tcW w:w="5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840" w:type="dxa"/>
            <w:vAlign w:val="bottom"/>
          </w:tcPr>
          <w:p>
            <w:pPr>
              <w:spacing w:after="0"/>
              <w:rPr>
                <w:sz w:val="13"/>
                <w:szCs w:val="13"/>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2,173</w:t>
            </w:r>
          </w:p>
        </w:tc>
        <w:tc>
          <w:tcPr>
            <w:tcW w:w="1280" w:type="dxa"/>
            <w:vAlign w:val="bottom"/>
            <w:gridSpan w:val="2"/>
          </w:tcPr>
          <w:p>
            <w:pPr>
              <w:jc w:val="right"/>
              <w:ind w:right="80"/>
              <w:spacing w:after="0"/>
              <w:rPr>
                <w:sz w:val="20"/>
                <w:szCs w:val="20"/>
                <w:color w:val="auto"/>
              </w:rPr>
            </w:pPr>
            <w:r>
              <w:rPr>
                <w:rFonts w:ascii="Courier New" w:cs="Courier New" w:eastAsia="Courier New" w:hAnsi="Courier New"/>
                <w:sz w:val="13"/>
                <w:szCs w:val="13"/>
                <w:color w:val="auto"/>
              </w:rPr>
              <w:t>2,173</w:t>
            </w:r>
          </w:p>
        </w:tc>
      </w:tr>
      <w:tr>
        <w:trPr>
          <w:trHeight w:val="154"/>
        </w:trPr>
        <w:tc>
          <w:tcPr>
            <w:tcW w:w="4980" w:type="dxa"/>
            <w:vAlign w:val="bottom"/>
            <w:gridSpan w:val="2"/>
          </w:tcPr>
          <w:p>
            <w:pPr>
              <w:ind w:left="3700"/>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center"/>
              <w:ind w:right="213"/>
              <w:spacing w:after="0"/>
              <w:rPr>
                <w:sz w:val="20"/>
                <w:szCs w:val="20"/>
                <w:color w:val="auto"/>
              </w:rPr>
            </w:pPr>
            <w:r>
              <w:rPr>
                <w:rFonts w:ascii="Courier New" w:cs="Courier New" w:eastAsia="Courier New" w:hAnsi="Courier New"/>
                <w:sz w:val="13"/>
                <w:szCs w:val="13"/>
                <w:color w:val="auto"/>
              </w:rPr>
              <w:t>----------</w:t>
            </w:r>
          </w:p>
        </w:tc>
        <w:tc>
          <w:tcPr>
            <w:tcW w:w="148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r>
      <w:tr>
        <w:trPr>
          <w:trHeight w:val="463"/>
        </w:trPr>
        <w:tc>
          <w:tcPr>
            <w:tcW w:w="4060" w:type="dxa"/>
            <w:vAlign w:val="bottom"/>
          </w:tcPr>
          <w:p>
            <w:pPr>
              <w:spacing w:after="0"/>
              <w:rPr>
                <w:sz w:val="20"/>
                <w:szCs w:val="20"/>
                <w:color w:val="auto"/>
              </w:rPr>
            </w:pPr>
            <w:r>
              <w:rPr>
                <w:rFonts w:ascii="Courier New" w:cs="Courier New" w:eastAsia="Courier New" w:hAnsi="Courier New"/>
                <w:sz w:val="13"/>
                <w:szCs w:val="13"/>
                <w:color w:val="auto"/>
              </w:rPr>
              <w:t>Balance, December 31, 2002</w:t>
            </w:r>
          </w:p>
        </w:tc>
        <w:tc>
          <w:tcPr>
            <w:tcW w:w="92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15,367</w:t>
            </w:r>
          </w:p>
        </w:tc>
        <w:tc>
          <w:tcPr>
            <w:tcW w:w="108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$154</w:t>
            </w:r>
          </w:p>
        </w:tc>
        <w:tc>
          <w:tcPr>
            <w:tcW w:w="148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$31,187</w:t>
            </w:r>
          </w:p>
        </w:tc>
        <w:tc>
          <w:tcPr>
            <w:tcW w:w="1000" w:type="dxa"/>
            <w:vAlign w:val="bottom"/>
            <w:gridSpan w:val="2"/>
          </w:tcPr>
          <w:p>
            <w:pPr>
              <w:jc w:val="right"/>
              <w:ind w:right="53"/>
              <w:spacing w:after="0"/>
              <w:rPr>
                <w:sz w:val="20"/>
                <w:szCs w:val="20"/>
                <w:color w:val="auto"/>
              </w:rPr>
            </w:pPr>
            <w:r>
              <w:rPr>
                <w:rFonts w:ascii="Courier New" w:cs="Courier New" w:eastAsia="Courier New" w:hAnsi="Courier New"/>
                <w:sz w:val="13"/>
                <w:szCs w:val="13"/>
                <w:color w:val="auto"/>
              </w:rPr>
              <w:t>$44,888</w:t>
            </w:r>
          </w:p>
        </w:tc>
        <w:tc>
          <w:tcPr>
            <w:tcW w:w="840" w:type="dxa"/>
            <w:vAlign w:val="bottom"/>
          </w:tcPr>
          <w:p>
            <w:pPr>
              <w:spacing w:after="0"/>
              <w:rPr>
                <w:sz w:val="24"/>
                <w:szCs w:val="24"/>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$(2,950)</w:t>
            </w:r>
          </w:p>
        </w:tc>
        <w:tc>
          <w:tcPr>
            <w:tcW w:w="1280" w:type="dxa"/>
            <w:vAlign w:val="bottom"/>
            <w:gridSpan w:val="2"/>
          </w:tcPr>
          <w:p>
            <w:pPr>
              <w:jc w:val="right"/>
              <w:ind w:right="80"/>
              <w:spacing w:after="0"/>
              <w:rPr>
                <w:sz w:val="20"/>
                <w:szCs w:val="20"/>
                <w:color w:val="auto"/>
              </w:rPr>
            </w:pPr>
            <w:r>
              <w:rPr>
                <w:rFonts w:ascii="Courier New" w:cs="Courier New" w:eastAsia="Courier New" w:hAnsi="Courier New"/>
                <w:sz w:val="13"/>
                <w:szCs w:val="13"/>
                <w:color w:val="auto"/>
              </w:rPr>
              <w:t>$73,279</w:t>
            </w:r>
          </w:p>
        </w:tc>
      </w:tr>
      <w:tr>
        <w:trPr>
          <w:trHeight w:val="154"/>
        </w:trPr>
        <w:tc>
          <w:tcPr>
            <w:tcW w:w="4980" w:type="dxa"/>
            <w:vAlign w:val="bottom"/>
            <w:gridSpan w:val="2"/>
          </w:tcPr>
          <w:p>
            <w:pPr>
              <w:ind w:left="3700"/>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center"/>
              <w:ind w:right="213"/>
              <w:spacing w:after="0"/>
              <w:rPr>
                <w:sz w:val="20"/>
                <w:szCs w:val="20"/>
                <w:color w:val="auto"/>
              </w:rPr>
            </w:pPr>
            <w:r>
              <w:rPr>
                <w:rFonts w:ascii="Courier New" w:cs="Courier New" w:eastAsia="Courier New" w:hAnsi="Courier New"/>
                <w:sz w:val="13"/>
                <w:szCs w:val="13"/>
                <w:color w:val="auto"/>
              </w:rPr>
              <w:t>==========</w:t>
            </w:r>
          </w:p>
        </w:tc>
        <w:tc>
          <w:tcPr>
            <w:tcW w:w="148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r>
      <w:tr>
        <w:trPr>
          <w:trHeight w:val="463"/>
        </w:trPr>
        <w:tc>
          <w:tcPr>
            <w:tcW w:w="7540" w:type="dxa"/>
            <w:vAlign w:val="bottom"/>
            <w:gridSpan w:val="4"/>
          </w:tcPr>
          <w:p>
            <w:pPr>
              <w:ind w:left="2080"/>
              <w:spacing w:after="0"/>
              <w:rPr>
                <w:sz w:val="20"/>
                <w:szCs w:val="20"/>
                <w:color w:val="auto"/>
              </w:rPr>
            </w:pPr>
            <w:r>
              <w:rPr>
                <w:rFonts w:ascii="Courier New" w:cs="Courier New" w:eastAsia="Courier New" w:hAnsi="Courier New"/>
                <w:sz w:val="13"/>
                <w:szCs w:val="13"/>
                <w:b w:val="1"/>
                <w:bCs w:val="1"/>
                <w:color w:val="auto"/>
              </w:rPr>
              <w:t>See accompanying notes to consolidated financial statements</w:t>
            </w: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17"/>
        </w:trPr>
        <w:tc>
          <w:tcPr>
            <w:tcW w:w="4060" w:type="dxa"/>
            <w:vAlign w:val="bottom"/>
          </w:tcPr>
          <w:p>
            <w:pPr>
              <w:ind w:left="3120"/>
              <w:spacing w:after="0"/>
              <w:rPr>
                <w:sz w:val="20"/>
                <w:szCs w:val="20"/>
                <w:color w:val="auto"/>
              </w:rPr>
            </w:pPr>
            <w:r>
              <w:rPr>
                <w:rFonts w:ascii="Courier New" w:cs="Courier New" w:eastAsia="Courier New" w:hAnsi="Courier New"/>
                <w:sz w:val="13"/>
                <w:szCs w:val="13"/>
                <w:color w:val="auto"/>
              </w:rPr>
              <w:t>29</w:t>
            </w: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37"/>
        </w:trPr>
        <w:tc>
          <w:tcPr>
            <w:tcW w:w="4060" w:type="dxa"/>
            <w:vAlign w:val="bottom"/>
            <w:tcBorders>
              <w:bottom w:val="single" w:sz="8" w:color="9A9A9A"/>
            </w:tcBorders>
          </w:tcPr>
          <w:p>
            <w:pPr>
              <w:spacing w:after="0"/>
              <w:rPr>
                <w:sz w:val="11"/>
                <w:szCs w:val="11"/>
                <w:color w:val="auto"/>
              </w:rPr>
            </w:pPr>
          </w:p>
        </w:tc>
        <w:tc>
          <w:tcPr>
            <w:tcW w:w="92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48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439"/>
        </w:trPr>
        <w:tc>
          <w:tcPr>
            <w:tcW w:w="4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jc w:val="center"/>
              <w:ind w:right="213"/>
              <w:spacing w:after="0"/>
              <w:rPr>
                <w:sz w:val="20"/>
                <w:szCs w:val="20"/>
                <w:color w:val="auto"/>
              </w:rPr>
            </w:pPr>
            <w:r>
              <w:rPr>
                <w:rFonts w:ascii="Courier New" w:cs="Courier New" w:eastAsia="Courier New" w:hAnsi="Courier New"/>
                <w:sz w:val="13"/>
                <w:szCs w:val="13"/>
                <w:b w:val="1"/>
                <w:bCs w:val="1"/>
                <w:color w:val="auto"/>
              </w:rPr>
              <w:t>NN, Inc.</w:t>
            </w: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4"/>
        </w:trPr>
        <w:tc>
          <w:tcPr>
            <w:tcW w:w="7540" w:type="dxa"/>
            <w:vAlign w:val="bottom"/>
            <w:gridSpan w:val="4"/>
          </w:tcPr>
          <w:p>
            <w:pPr>
              <w:ind w:left="3940"/>
              <w:spacing w:after="0"/>
              <w:rPr>
                <w:sz w:val="20"/>
                <w:szCs w:val="20"/>
                <w:color w:val="auto"/>
              </w:rPr>
            </w:pPr>
            <w:r>
              <w:rPr>
                <w:rFonts w:ascii="Courier New" w:cs="Courier New" w:eastAsia="Courier New" w:hAnsi="Courier New"/>
                <w:sz w:val="13"/>
                <w:szCs w:val="13"/>
                <w:b w:val="1"/>
                <w:bCs w:val="1"/>
                <w:color w:val="auto"/>
              </w:rPr>
              <w:t>Consolidated Statements of Cash Flows</w:t>
            </w: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7540" w:type="dxa"/>
            <w:vAlign w:val="bottom"/>
            <w:gridSpan w:val="4"/>
          </w:tcPr>
          <w:p>
            <w:pPr>
              <w:jc w:val="center"/>
              <w:ind w:left="3153"/>
              <w:spacing w:after="0"/>
              <w:rPr>
                <w:sz w:val="20"/>
                <w:szCs w:val="20"/>
                <w:color w:val="auto"/>
              </w:rPr>
            </w:pPr>
            <w:r>
              <w:rPr>
                <w:rFonts w:ascii="Courier New" w:cs="Courier New" w:eastAsia="Courier New" w:hAnsi="Courier New"/>
                <w:sz w:val="13"/>
                <w:szCs w:val="13"/>
                <w:b w:val="1"/>
                <w:bCs w:val="1"/>
                <w:color w:val="auto"/>
              </w:rPr>
              <w:t>Years Ended December 31, 2002, 2001 and 2000</w:t>
            </w: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4060" w:type="dxa"/>
            <w:vAlign w:val="bottom"/>
          </w:tcPr>
          <w:p>
            <w:pPr>
              <w:spacing w:after="0"/>
              <w:rPr>
                <w:sz w:val="13"/>
                <w:szCs w:val="13"/>
                <w:color w:val="auto"/>
              </w:rPr>
            </w:pPr>
          </w:p>
        </w:tc>
        <w:tc>
          <w:tcPr>
            <w:tcW w:w="2000" w:type="dxa"/>
            <w:vAlign w:val="bottom"/>
            <w:gridSpan w:val="2"/>
          </w:tcPr>
          <w:p>
            <w:pPr>
              <w:jc w:val="center"/>
              <w:ind w:left="573"/>
              <w:spacing w:after="0"/>
              <w:rPr>
                <w:sz w:val="20"/>
                <w:szCs w:val="20"/>
                <w:color w:val="auto"/>
              </w:rPr>
            </w:pPr>
            <w:r>
              <w:rPr>
                <w:rFonts w:ascii="Courier New" w:cs="Courier New" w:eastAsia="Courier New" w:hAnsi="Courier New"/>
                <w:sz w:val="13"/>
                <w:szCs w:val="13"/>
                <w:b w:val="1"/>
                <w:bCs w:val="1"/>
                <w:color w:val="auto"/>
              </w:rPr>
              <w:t>(In Thousands)</w:t>
            </w:r>
          </w:p>
        </w:tc>
        <w:tc>
          <w:tcPr>
            <w:tcW w:w="1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4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60" w:type="dxa"/>
            <w:vAlign w:val="bottom"/>
            <w:gridSpan w:val="2"/>
          </w:tcPr>
          <w:p>
            <w:pPr>
              <w:jc w:val="right"/>
              <w:ind w:right="333"/>
              <w:spacing w:after="0"/>
              <w:rPr>
                <w:sz w:val="20"/>
                <w:szCs w:val="20"/>
                <w:color w:val="auto"/>
              </w:rPr>
            </w:pPr>
            <w:r>
              <w:rPr>
                <w:rFonts w:ascii="Courier New" w:cs="Courier New" w:eastAsia="Courier New" w:hAnsi="Courier New"/>
                <w:sz w:val="13"/>
                <w:szCs w:val="13"/>
                <w:b w:val="1"/>
                <w:bCs w:val="1"/>
                <w:color w:val="auto"/>
              </w:rPr>
              <w:t>2002</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b w:val="1"/>
                <w:bCs w:val="1"/>
                <w:color w:val="auto"/>
              </w:rPr>
              <w:t>2001</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b w:val="1"/>
                <w:bCs w:val="1"/>
                <w:color w:val="auto"/>
              </w:rPr>
              <w:t>2000</w:t>
            </w:r>
          </w:p>
        </w:tc>
        <w:tc>
          <w:tcPr>
            <w:tcW w:w="80" w:type="dxa"/>
            <w:vAlign w:val="bottom"/>
          </w:tcPr>
          <w:p>
            <w:pPr>
              <w:spacing w:after="0"/>
              <w:rPr>
                <w:sz w:val="13"/>
                <w:szCs w:val="13"/>
                <w:color w:val="auto"/>
              </w:rPr>
            </w:pPr>
          </w:p>
        </w:tc>
      </w:tr>
      <w:tr>
        <w:trPr>
          <w:trHeight w:val="154"/>
        </w:trPr>
        <w:tc>
          <w:tcPr>
            <w:tcW w:w="4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3"/>
                <w:szCs w:val="13"/>
                <w:b w:val="1"/>
                <w:bCs w:val="1"/>
                <w:color w:val="auto"/>
              </w:rPr>
              <w:t>------------</w:t>
            </w:r>
          </w:p>
        </w:tc>
        <w:tc>
          <w:tcPr>
            <w:tcW w:w="1360" w:type="dxa"/>
            <w:vAlign w:val="bottom"/>
            <w:gridSpan w:val="2"/>
          </w:tcPr>
          <w:p>
            <w:pPr>
              <w:jc w:val="right"/>
              <w:ind w:right="13"/>
              <w:spacing w:after="0"/>
              <w:rPr>
                <w:sz w:val="20"/>
                <w:szCs w:val="20"/>
                <w:color w:val="auto"/>
              </w:rPr>
            </w:pPr>
            <w:r>
              <w:rPr>
                <w:rFonts w:ascii="Courier New" w:cs="Courier New" w:eastAsia="Courier New" w:hAnsi="Courier New"/>
                <w:sz w:val="13"/>
                <w:szCs w:val="13"/>
                <w:b w:val="1"/>
                <w:bCs w:val="1"/>
                <w:color w:val="auto"/>
              </w:rPr>
              <w:t>------------</w:t>
            </w:r>
          </w:p>
        </w:tc>
        <w:tc>
          <w:tcPr>
            <w:tcW w:w="2080" w:type="dxa"/>
            <w:vAlign w:val="bottom"/>
            <w:gridSpan w:val="2"/>
          </w:tcPr>
          <w:p>
            <w:pPr>
              <w:jc w:val="center"/>
              <w:ind w:right="573"/>
              <w:spacing w:after="0"/>
              <w:rPr>
                <w:sz w:val="20"/>
                <w:szCs w:val="20"/>
                <w:color w:val="auto"/>
              </w:rPr>
            </w:pPr>
            <w:r>
              <w:rPr>
                <w:rFonts w:ascii="Courier New" w:cs="Courier New" w:eastAsia="Courier New" w:hAnsi="Courier New"/>
                <w:sz w:val="13"/>
                <w:szCs w:val="13"/>
                <w:b w:val="1"/>
                <w:bCs w:val="1"/>
                <w:color w:val="auto"/>
              </w:rPr>
              <w:t>------------</w:t>
            </w:r>
          </w:p>
        </w:tc>
        <w:tc>
          <w:tcPr>
            <w:tcW w:w="80" w:type="dxa"/>
            <w:vAlign w:val="bottom"/>
          </w:tcPr>
          <w:p>
            <w:pPr>
              <w:spacing w:after="0"/>
              <w:rPr>
                <w:sz w:val="13"/>
                <w:szCs w:val="13"/>
                <w:color w:val="auto"/>
              </w:rPr>
            </w:pPr>
          </w:p>
        </w:tc>
      </w:tr>
      <w:tr>
        <w:trPr>
          <w:trHeight w:val="154"/>
        </w:trPr>
        <w:tc>
          <w:tcPr>
            <w:tcW w:w="4060" w:type="dxa"/>
            <w:vAlign w:val="bottom"/>
          </w:tcPr>
          <w:p>
            <w:pPr>
              <w:spacing w:after="0"/>
              <w:rPr>
                <w:sz w:val="20"/>
                <w:szCs w:val="20"/>
                <w:color w:val="auto"/>
              </w:rPr>
            </w:pPr>
            <w:r>
              <w:rPr>
                <w:rFonts w:ascii="Courier New" w:cs="Courier New" w:eastAsia="Courier New" w:hAnsi="Courier New"/>
                <w:sz w:val="13"/>
                <w:szCs w:val="13"/>
                <w:b w:val="1"/>
                <w:bCs w:val="1"/>
                <w:color w:val="auto"/>
              </w:rPr>
              <w:t>Cash flows from operating activities:</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Net Income</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$13,664</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$ 4,662</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$ 9,987</w:t>
            </w:r>
          </w:p>
        </w:tc>
        <w:tc>
          <w:tcPr>
            <w:tcW w:w="80" w:type="dxa"/>
            <w:vAlign w:val="bottom"/>
          </w:tcPr>
          <w:p>
            <w:pPr>
              <w:spacing w:after="0"/>
              <w:rPr>
                <w:sz w:val="13"/>
                <w:szCs w:val="13"/>
                <w:color w:val="auto"/>
              </w:rPr>
            </w:pPr>
          </w:p>
        </w:tc>
      </w:tr>
      <w:tr>
        <w:trPr>
          <w:trHeight w:val="154"/>
        </w:trPr>
        <w:tc>
          <w:tcPr>
            <w:tcW w:w="6060" w:type="dxa"/>
            <w:vAlign w:val="bottom"/>
            <w:gridSpan w:val="3"/>
          </w:tcPr>
          <w:p>
            <w:pPr>
              <w:ind w:left="480"/>
              <w:spacing w:after="0"/>
              <w:rPr>
                <w:sz w:val="20"/>
                <w:szCs w:val="20"/>
                <w:color w:val="auto"/>
              </w:rPr>
            </w:pPr>
            <w:r>
              <w:rPr>
                <w:rFonts w:ascii="Courier New" w:cs="Courier New" w:eastAsia="Courier New" w:hAnsi="Courier New"/>
                <w:sz w:val="13"/>
                <w:szCs w:val="13"/>
                <w:color w:val="auto"/>
              </w:rPr>
              <w:t>Adjustments to reconcile net income to net cash provided by operating</w:t>
            </w:r>
          </w:p>
        </w:tc>
        <w:tc>
          <w:tcPr>
            <w:tcW w:w="1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activities:</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Depreciation and amortization</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11,212</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13,340</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9,165</w:t>
            </w:r>
          </w:p>
        </w:tc>
        <w:tc>
          <w:tcPr>
            <w:tcW w:w="80" w:type="dxa"/>
            <w:vAlign w:val="bottom"/>
          </w:tcPr>
          <w:p>
            <w:pPr>
              <w:spacing w:after="0"/>
              <w:rPr>
                <w:sz w:val="13"/>
                <w:szCs w:val="13"/>
                <w:color w:val="auto"/>
              </w:rPr>
            </w:pPr>
          </w:p>
        </w:tc>
      </w:tr>
      <w:tr>
        <w:trPr>
          <w:trHeight w:val="154"/>
        </w:trPr>
        <w:tc>
          <w:tcPr>
            <w:tcW w:w="4980" w:type="dxa"/>
            <w:vAlign w:val="bottom"/>
            <w:gridSpan w:val="2"/>
          </w:tcPr>
          <w:p>
            <w:pPr>
              <w:ind w:left="480"/>
              <w:spacing w:after="0"/>
              <w:rPr>
                <w:sz w:val="20"/>
                <w:szCs w:val="20"/>
                <w:color w:val="auto"/>
              </w:rPr>
            </w:pPr>
            <w:r>
              <w:rPr>
                <w:rFonts w:ascii="Courier New" w:cs="Courier New" w:eastAsia="Courier New" w:hAnsi="Courier New"/>
                <w:sz w:val="13"/>
                <w:szCs w:val="13"/>
                <w:color w:val="auto"/>
              </w:rPr>
              <w:t>Cumulative effect of change in accounting principle</w:t>
            </w: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98</w:t>
            </w:r>
          </w:p>
        </w:tc>
        <w:tc>
          <w:tcPr>
            <w:tcW w:w="880" w:type="dxa"/>
            <w:vAlign w:val="bottom"/>
          </w:tcPr>
          <w:p>
            <w:pPr>
              <w:spacing w:after="0"/>
              <w:rPr>
                <w:sz w:val="13"/>
                <w:szCs w:val="13"/>
                <w:color w:val="auto"/>
              </w:rPr>
            </w:pPr>
          </w:p>
        </w:tc>
        <w:tc>
          <w:tcPr>
            <w:tcW w:w="1200" w:type="dxa"/>
            <w:vAlign w:val="bottom"/>
          </w:tcPr>
          <w:p>
            <w:pPr>
              <w:jc w:val="right"/>
              <w:ind w:right="893"/>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r>
      <w:tr>
        <w:trPr>
          <w:trHeight w:val="154"/>
        </w:trPr>
        <w:tc>
          <w:tcPr>
            <w:tcW w:w="4980" w:type="dxa"/>
            <w:vAlign w:val="bottom"/>
            <w:gridSpan w:val="2"/>
          </w:tcPr>
          <w:p>
            <w:pPr>
              <w:ind w:left="480"/>
              <w:spacing w:after="0"/>
              <w:rPr>
                <w:sz w:val="20"/>
                <w:szCs w:val="20"/>
                <w:color w:val="auto"/>
              </w:rPr>
            </w:pPr>
            <w:r>
              <w:rPr>
                <w:rFonts w:ascii="Courier New" w:cs="Courier New" w:eastAsia="Courier New" w:hAnsi="Courier New"/>
                <w:sz w:val="13"/>
                <w:szCs w:val="13"/>
                <w:color w:val="auto"/>
              </w:rPr>
              <w:t>Loss on disposals of property, plant and equipment</w:t>
            </w: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(25)</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1,194</w:t>
            </w:r>
          </w:p>
        </w:tc>
        <w:tc>
          <w:tcPr>
            <w:tcW w:w="80" w:type="dxa"/>
            <w:vAlign w:val="bottom"/>
          </w:tcPr>
          <w:p>
            <w:pPr>
              <w:spacing w:after="0"/>
              <w:rPr>
                <w:sz w:val="13"/>
                <w:szCs w:val="13"/>
                <w:color w:val="auto"/>
              </w:rPr>
            </w:pP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Loss on sale of NNG</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222</w:t>
            </w:r>
          </w:p>
        </w:tc>
        <w:tc>
          <w:tcPr>
            <w:tcW w:w="880" w:type="dxa"/>
            <w:vAlign w:val="bottom"/>
          </w:tcPr>
          <w:p>
            <w:pPr>
              <w:spacing w:after="0"/>
              <w:rPr>
                <w:sz w:val="13"/>
                <w:szCs w:val="13"/>
                <w:color w:val="auto"/>
              </w:rPr>
            </w:pPr>
          </w:p>
        </w:tc>
        <w:tc>
          <w:tcPr>
            <w:tcW w:w="1200" w:type="dxa"/>
            <w:vAlign w:val="bottom"/>
          </w:tcPr>
          <w:p>
            <w:pPr>
              <w:jc w:val="right"/>
              <w:ind w:right="893"/>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Gain on purchase of minority interest</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(5,904)</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880" w:type="dxa"/>
            <w:vAlign w:val="bottom"/>
          </w:tcPr>
          <w:p>
            <w:pPr>
              <w:spacing w:after="0"/>
              <w:rPr>
                <w:sz w:val="13"/>
                <w:szCs w:val="13"/>
                <w:color w:val="auto"/>
              </w:rPr>
            </w:pPr>
          </w:p>
        </w:tc>
        <w:tc>
          <w:tcPr>
            <w:tcW w:w="1200" w:type="dxa"/>
            <w:vAlign w:val="bottom"/>
          </w:tcPr>
          <w:p>
            <w:pPr>
              <w:jc w:val="right"/>
              <w:ind w:right="893"/>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r>
      <w:tr>
        <w:trPr>
          <w:trHeight w:val="154"/>
        </w:trPr>
        <w:tc>
          <w:tcPr>
            <w:tcW w:w="4980" w:type="dxa"/>
            <w:vAlign w:val="bottom"/>
            <w:gridSpan w:val="2"/>
          </w:tcPr>
          <w:p>
            <w:pPr>
              <w:ind w:left="480"/>
              <w:spacing w:after="0"/>
              <w:rPr>
                <w:sz w:val="20"/>
                <w:szCs w:val="20"/>
                <w:color w:val="auto"/>
              </w:rPr>
            </w:pPr>
            <w:r>
              <w:rPr>
                <w:rFonts w:ascii="Courier New" w:cs="Courier New" w:eastAsia="Courier New" w:hAnsi="Courier New"/>
                <w:sz w:val="13"/>
                <w:szCs w:val="13"/>
                <w:color w:val="auto"/>
              </w:rPr>
              <w:t>Equity in earnings of unconsolidated affiliates</w:t>
            </w: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(48)</w:t>
            </w:r>
          </w:p>
        </w:tc>
        <w:tc>
          <w:tcPr>
            <w:tcW w:w="80" w:type="dxa"/>
            <w:vAlign w:val="bottom"/>
          </w:tcPr>
          <w:p>
            <w:pPr>
              <w:spacing w:after="0"/>
              <w:rPr>
                <w:sz w:val="13"/>
                <w:szCs w:val="13"/>
                <w:color w:val="auto"/>
              </w:rPr>
            </w:pP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Deferred income tax</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7"/>
              </w:rPr>
              <w:t>2,564</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433</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1,185</w:t>
            </w:r>
          </w:p>
        </w:tc>
        <w:tc>
          <w:tcPr>
            <w:tcW w:w="80" w:type="dxa"/>
            <w:vAlign w:val="bottom"/>
          </w:tcPr>
          <w:p>
            <w:pPr>
              <w:spacing w:after="0"/>
              <w:rPr>
                <w:sz w:val="13"/>
                <w:szCs w:val="13"/>
                <w:color w:val="auto"/>
              </w:rPr>
            </w:pPr>
          </w:p>
        </w:tc>
      </w:tr>
      <w:tr>
        <w:trPr>
          <w:trHeight w:val="154"/>
        </w:trPr>
        <w:tc>
          <w:tcPr>
            <w:tcW w:w="6060" w:type="dxa"/>
            <w:vAlign w:val="bottom"/>
            <w:gridSpan w:val="3"/>
          </w:tcPr>
          <w:p>
            <w:pPr>
              <w:ind w:left="480"/>
              <w:spacing w:after="0"/>
              <w:rPr>
                <w:sz w:val="20"/>
                <w:szCs w:val="20"/>
                <w:color w:val="auto"/>
              </w:rPr>
            </w:pPr>
            <w:r>
              <w:rPr>
                <w:rFonts w:ascii="Courier New" w:cs="Courier New" w:eastAsia="Courier New" w:hAnsi="Courier New"/>
                <w:sz w:val="13"/>
                <w:szCs w:val="13"/>
                <w:color w:val="auto"/>
              </w:rPr>
              <w:t>Interest income on receivable from unconsolidated affiliates</w:t>
            </w:r>
          </w:p>
        </w:tc>
        <w:tc>
          <w:tcPr>
            <w:tcW w:w="148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(104)</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(159)</w:t>
            </w:r>
          </w:p>
        </w:tc>
        <w:tc>
          <w:tcPr>
            <w:tcW w:w="80" w:type="dxa"/>
            <w:vAlign w:val="bottom"/>
          </w:tcPr>
          <w:p>
            <w:pPr>
              <w:spacing w:after="0"/>
              <w:rPr>
                <w:sz w:val="13"/>
                <w:szCs w:val="13"/>
                <w:color w:val="auto"/>
              </w:rPr>
            </w:pP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Minority interest in consolidated subsidiary</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7"/>
              </w:rPr>
              <w:t>2,778</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1,753</w:t>
            </w:r>
          </w:p>
        </w:tc>
        <w:tc>
          <w:tcPr>
            <w:tcW w:w="880" w:type="dxa"/>
            <w:vAlign w:val="bottom"/>
          </w:tcPr>
          <w:p>
            <w:pPr>
              <w:spacing w:after="0"/>
              <w:rPr>
                <w:sz w:val="13"/>
                <w:szCs w:val="13"/>
                <w:color w:val="auto"/>
              </w:rPr>
            </w:pPr>
          </w:p>
        </w:tc>
        <w:tc>
          <w:tcPr>
            <w:tcW w:w="1200" w:type="dxa"/>
            <w:vAlign w:val="bottom"/>
          </w:tcPr>
          <w:p>
            <w:pPr>
              <w:jc w:val="right"/>
              <w:ind w:right="893"/>
              <w:spacing w:after="0"/>
              <w:rPr>
                <w:sz w:val="20"/>
                <w:szCs w:val="20"/>
                <w:color w:val="auto"/>
              </w:rPr>
            </w:pPr>
            <w:r>
              <w:rPr>
                <w:rFonts w:ascii="Courier New" w:cs="Courier New" w:eastAsia="Courier New" w:hAnsi="Courier New"/>
                <w:sz w:val="13"/>
                <w:szCs w:val="13"/>
                <w:color w:val="auto"/>
                <w:w w:val="93"/>
              </w:rPr>
              <w:t>660</w:t>
            </w:r>
          </w:p>
        </w:tc>
        <w:tc>
          <w:tcPr>
            <w:tcW w:w="80" w:type="dxa"/>
            <w:vAlign w:val="bottom"/>
          </w:tcPr>
          <w:p>
            <w:pPr>
              <w:spacing w:after="0"/>
              <w:rPr>
                <w:sz w:val="13"/>
                <w:szCs w:val="13"/>
                <w:color w:val="auto"/>
              </w:rPr>
            </w:pP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Restructuring costs and impairment costs</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7"/>
              </w:rPr>
              <w:t>1,277</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2,312</w:t>
            </w:r>
          </w:p>
        </w:tc>
        <w:tc>
          <w:tcPr>
            <w:tcW w:w="880" w:type="dxa"/>
            <w:vAlign w:val="bottom"/>
          </w:tcPr>
          <w:p>
            <w:pPr>
              <w:spacing w:after="0"/>
              <w:rPr>
                <w:sz w:val="13"/>
                <w:szCs w:val="13"/>
                <w:color w:val="auto"/>
              </w:rPr>
            </w:pPr>
          </w:p>
        </w:tc>
        <w:tc>
          <w:tcPr>
            <w:tcW w:w="1200" w:type="dxa"/>
            <w:vAlign w:val="bottom"/>
          </w:tcPr>
          <w:p>
            <w:pPr>
              <w:jc w:val="right"/>
              <w:ind w:right="893"/>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Changes in operating assets and liabilities:</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4060" w:type="dxa"/>
            <w:vAlign w:val="bottom"/>
          </w:tcPr>
          <w:p>
            <w:pPr>
              <w:ind w:left="1200"/>
              <w:spacing w:after="0"/>
              <w:rPr>
                <w:sz w:val="20"/>
                <w:szCs w:val="20"/>
                <w:color w:val="auto"/>
              </w:rPr>
            </w:pPr>
            <w:r>
              <w:rPr>
                <w:rFonts w:ascii="Courier New" w:cs="Courier New" w:eastAsia="Courier New" w:hAnsi="Courier New"/>
                <w:sz w:val="13"/>
                <w:szCs w:val="13"/>
                <w:color w:val="auto"/>
              </w:rPr>
              <w:t>Accounts receivable</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(2,733)</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6,838</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1,955</w:t>
            </w:r>
          </w:p>
        </w:tc>
        <w:tc>
          <w:tcPr>
            <w:tcW w:w="80" w:type="dxa"/>
            <w:vAlign w:val="bottom"/>
          </w:tcPr>
          <w:p>
            <w:pPr>
              <w:spacing w:after="0"/>
              <w:rPr>
                <w:sz w:val="13"/>
                <w:szCs w:val="13"/>
                <w:color w:val="auto"/>
              </w:rPr>
            </w:pPr>
          </w:p>
        </w:tc>
      </w:tr>
      <w:tr>
        <w:trPr>
          <w:trHeight w:val="154"/>
        </w:trPr>
        <w:tc>
          <w:tcPr>
            <w:tcW w:w="4060" w:type="dxa"/>
            <w:vAlign w:val="bottom"/>
          </w:tcPr>
          <w:p>
            <w:pPr>
              <w:ind w:left="1200"/>
              <w:spacing w:after="0"/>
              <w:rPr>
                <w:sz w:val="20"/>
                <w:szCs w:val="20"/>
                <w:color w:val="auto"/>
              </w:rPr>
            </w:pPr>
            <w:r>
              <w:rPr>
                <w:rFonts w:ascii="Courier New" w:cs="Courier New" w:eastAsia="Courier New" w:hAnsi="Courier New"/>
                <w:sz w:val="13"/>
                <w:szCs w:val="13"/>
                <w:color w:val="auto"/>
              </w:rPr>
              <w:t>Inventories</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7"/>
              </w:rPr>
              <w:t>1,479</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1,175</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(3,021)</w:t>
            </w:r>
          </w:p>
        </w:tc>
        <w:tc>
          <w:tcPr>
            <w:tcW w:w="80" w:type="dxa"/>
            <w:vAlign w:val="bottom"/>
          </w:tcPr>
          <w:p>
            <w:pPr>
              <w:spacing w:after="0"/>
              <w:rPr>
                <w:sz w:val="13"/>
                <w:szCs w:val="13"/>
                <w:color w:val="auto"/>
              </w:rPr>
            </w:pPr>
          </w:p>
        </w:tc>
      </w:tr>
      <w:tr>
        <w:trPr>
          <w:trHeight w:val="154"/>
        </w:trPr>
        <w:tc>
          <w:tcPr>
            <w:tcW w:w="4060" w:type="dxa"/>
            <w:vAlign w:val="bottom"/>
          </w:tcPr>
          <w:p>
            <w:pPr>
              <w:ind w:left="1200"/>
              <w:spacing w:after="0"/>
              <w:rPr>
                <w:sz w:val="20"/>
                <w:szCs w:val="20"/>
                <w:color w:val="auto"/>
              </w:rPr>
            </w:pPr>
            <w:r>
              <w:rPr>
                <w:rFonts w:ascii="Courier New" w:cs="Courier New" w:eastAsia="Courier New" w:hAnsi="Courier New"/>
                <w:sz w:val="13"/>
                <w:szCs w:val="13"/>
                <w:color w:val="auto"/>
              </w:rPr>
              <w:t>Other current assets</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7"/>
              </w:rPr>
              <w:t>4,795</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(1,461)</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(106)</w:t>
            </w:r>
          </w:p>
        </w:tc>
        <w:tc>
          <w:tcPr>
            <w:tcW w:w="80" w:type="dxa"/>
            <w:vAlign w:val="bottom"/>
          </w:tcPr>
          <w:p>
            <w:pPr>
              <w:spacing w:after="0"/>
              <w:rPr>
                <w:sz w:val="13"/>
                <w:szCs w:val="13"/>
                <w:color w:val="auto"/>
              </w:rPr>
            </w:pPr>
          </w:p>
        </w:tc>
      </w:tr>
      <w:tr>
        <w:trPr>
          <w:trHeight w:val="154"/>
        </w:trPr>
        <w:tc>
          <w:tcPr>
            <w:tcW w:w="4060" w:type="dxa"/>
            <w:vAlign w:val="bottom"/>
          </w:tcPr>
          <w:p>
            <w:pPr>
              <w:ind w:left="1200"/>
              <w:spacing w:after="0"/>
              <w:rPr>
                <w:sz w:val="20"/>
                <w:szCs w:val="20"/>
                <w:color w:val="auto"/>
              </w:rPr>
            </w:pPr>
            <w:r>
              <w:rPr>
                <w:rFonts w:ascii="Courier New" w:cs="Courier New" w:eastAsia="Courier New" w:hAnsi="Courier New"/>
                <w:sz w:val="13"/>
                <w:szCs w:val="13"/>
                <w:color w:val="auto"/>
              </w:rPr>
              <w:t>Other assets</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35</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(618)</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(1,719)</w:t>
            </w:r>
          </w:p>
        </w:tc>
        <w:tc>
          <w:tcPr>
            <w:tcW w:w="80" w:type="dxa"/>
            <w:vAlign w:val="bottom"/>
          </w:tcPr>
          <w:p>
            <w:pPr>
              <w:spacing w:after="0"/>
              <w:rPr>
                <w:sz w:val="13"/>
                <w:szCs w:val="13"/>
                <w:color w:val="auto"/>
              </w:rPr>
            </w:pPr>
          </w:p>
        </w:tc>
      </w:tr>
      <w:tr>
        <w:trPr>
          <w:trHeight w:val="154"/>
        </w:trPr>
        <w:tc>
          <w:tcPr>
            <w:tcW w:w="4060" w:type="dxa"/>
            <w:vAlign w:val="bottom"/>
          </w:tcPr>
          <w:p>
            <w:pPr>
              <w:ind w:left="1200"/>
              <w:spacing w:after="0"/>
              <w:rPr>
                <w:sz w:val="20"/>
                <w:szCs w:val="20"/>
                <w:color w:val="auto"/>
              </w:rPr>
            </w:pPr>
            <w:r>
              <w:rPr>
                <w:rFonts w:ascii="Courier New" w:cs="Courier New" w:eastAsia="Courier New" w:hAnsi="Courier New"/>
                <w:sz w:val="13"/>
                <w:szCs w:val="13"/>
                <w:color w:val="auto"/>
              </w:rPr>
              <w:t>Accounts payable</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7"/>
              </w:rPr>
              <w:t>5,535</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(2,846)</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5,544</w:t>
            </w:r>
          </w:p>
        </w:tc>
        <w:tc>
          <w:tcPr>
            <w:tcW w:w="80" w:type="dxa"/>
            <w:vAlign w:val="bottom"/>
          </w:tcPr>
          <w:p>
            <w:pPr>
              <w:spacing w:after="0"/>
              <w:rPr>
                <w:sz w:val="13"/>
                <w:szCs w:val="13"/>
                <w:color w:val="auto"/>
              </w:rPr>
            </w:pPr>
          </w:p>
        </w:tc>
      </w:tr>
      <w:tr>
        <w:trPr>
          <w:trHeight w:val="154"/>
        </w:trPr>
        <w:tc>
          <w:tcPr>
            <w:tcW w:w="4060" w:type="dxa"/>
            <w:vAlign w:val="bottom"/>
          </w:tcPr>
          <w:p>
            <w:pPr>
              <w:ind w:left="1200"/>
              <w:spacing w:after="0"/>
              <w:rPr>
                <w:sz w:val="20"/>
                <w:szCs w:val="20"/>
                <w:color w:val="auto"/>
              </w:rPr>
            </w:pPr>
            <w:r>
              <w:rPr>
                <w:rFonts w:ascii="Courier New" w:cs="Courier New" w:eastAsia="Courier New" w:hAnsi="Courier New"/>
                <w:sz w:val="13"/>
                <w:szCs w:val="13"/>
                <w:color w:val="auto"/>
              </w:rPr>
              <w:t>Other liabilities</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(2,733)</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(1,187)</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2,227</w:t>
            </w:r>
          </w:p>
        </w:tc>
        <w:tc>
          <w:tcPr>
            <w:tcW w:w="80" w:type="dxa"/>
            <w:vAlign w:val="bottom"/>
          </w:tcPr>
          <w:p>
            <w:pPr>
              <w:spacing w:after="0"/>
              <w:rPr>
                <w:sz w:val="13"/>
                <w:szCs w:val="13"/>
                <w:color w:val="auto"/>
              </w:rPr>
            </w:pPr>
          </w:p>
        </w:tc>
      </w:tr>
      <w:tr>
        <w:trPr>
          <w:trHeight w:val="154"/>
        </w:trPr>
        <w:tc>
          <w:tcPr>
            <w:tcW w:w="4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3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2080" w:type="dxa"/>
            <w:vAlign w:val="bottom"/>
            <w:gridSpan w:val="2"/>
          </w:tcPr>
          <w:p>
            <w:pPr>
              <w:jc w:val="center"/>
              <w:ind w:right="573"/>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r>
      <w:tr>
        <w:trPr>
          <w:trHeight w:val="154"/>
        </w:trPr>
        <w:tc>
          <w:tcPr>
            <w:tcW w:w="4980" w:type="dxa"/>
            <w:vAlign w:val="bottom"/>
            <w:gridSpan w:val="2"/>
          </w:tcPr>
          <w:p>
            <w:pPr>
              <w:ind w:left="1600"/>
              <w:spacing w:after="0"/>
              <w:rPr>
                <w:sz w:val="20"/>
                <w:szCs w:val="20"/>
                <w:color w:val="auto"/>
              </w:rPr>
            </w:pPr>
            <w:r>
              <w:rPr>
                <w:rFonts w:ascii="Courier New" w:cs="Courier New" w:eastAsia="Courier New" w:hAnsi="Courier New"/>
                <w:sz w:val="13"/>
                <w:szCs w:val="13"/>
                <w:color w:val="auto"/>
              </w:rPr>
              <w:t>Net cash provided by operating activities</w:t>
            </w:r>
          </w:p>
        </w:tc>
        <w:tc>
          <w:tcPr>
            <w:tcW w:w="1080" w:type="dxa"/>
            <w:vAlign w:val="bottom"/>
          </w:tcPr>
          <w:p>
            <w:pPr>
              <w:spacing w:after="0"/>
              <w:rPr>
                <w:sz w:val="13"/>
                <w:szCs w:val="13"/>
                <w:color w:val="auto"/>
              </w:rPr>
            </w:pPr>
          </w:p>
        </w:tc>
        <w:tc>
          <w:tcPr>
            <w:tcW w:w="19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31,087</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24,617</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26,864</w:t>
            </w:r>
          </w:p>
        </w:tc>
        <w:tc>
          <w:tcPr>
            <w:tcW w:w="80" w:type="dxa"/>
            <w:vAlign w:val="bottom"/>
          </w:tcPr>
          <w:p>
            <w:pPr>
              <w:spacing w:after="0"/>
              <w:rPr>
                <w:sz w:val="13"/>
                <w:szCs w:val="13"/>
                <w:color w:val="auto"/>
              </w:rPr>
            </w:pPr>
          </w:p>
        </w:tc>
      </w:tr>
      <w:tr>
        <w:trPr>
          <w:trHeight w:val="154"/>
        </w:trPr>
        <w:tc>
          <w:tcPr>
            <w:tcW w:w="4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3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2080" w:type="dxa"/>
            <w:vAlign w:val="bottom"/>
            <w:gridSpan w:val="2"/>
          </w:tcPr>
          <w:p>
            <w:pPr>
              <w:jc w:val="center"/>
              <w:ind w:right="573"/>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r>
      <w:tr>
        <w:trPr>
          <w:trHeight w:val="308"/>
        </w:trPr>
        <w:tc>
          <w:tcPr>
            <w:tcW w:w="4060" w:type="dxa"/>
            <w:vAlign w:val="bottom"/>
          </w:tcPr>
          <w:p>
            <w:pPr>
              <w:spacing w:after="0"/>
              <w:rPr>
                <w:sz w:val="20"/>
                <w:szCs w:val="20"/>
                <w:color w:val="auto"/>
              </w:rPr>
            </w:pPr>
            <w:r>
              <w:rPr>
                <w:rFonts w:ascii="Courier New" w:cs="Courier New" w:eastAsia="Courier New" w:hAnsi="Courier New"/>
                <w:sz w:val="13"/>
                <w:szCs w:val="13"/>
                <w:b w:val="1"/>
                <w:bCs w:val="1"/>
                <w:color w:val="auto"/>
              </w:rPr>
              <w:t>Cash flows from investing activities:</w:t>
            </w: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4"/>
        </w:trPr>
        <w:tc>
          <w:tcPr>
            <w:tcW w:w="4980" w:type="dxa"/>
            <w:vAlign w:val="bottom"/>
            <w:gridSpan w:val="2"/>
          </w:tcPr>
          <w:p>
            <w:pPr>
              <w:ind w:left="480"/>
              <w:spacing w:after="0"/>
              <w:rPr>
                <w:sz w:val="20"/>
                <w:szCs w:val="20"/>
                <w:color w:val="auto"/>
              </w:rPr>
            </w:pPr>
            <w:r>
              <w:rPr>
                <w:rFonts w:ascii="Courier New" w:cs="Courier New" w:eastAsia="Courier New" w:hAnsi="Courier New"/>
                <w:sz w:val="13"/>
                <w:szCs w:val="13"/>
                <w:color w:val="auto"/>
              </w:rPr>
              <w:t>Acquisition of businesses, net of cash acquired</w:t>
            </w: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(23,496)</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(57,788)</w:t>
            </w:r>
          </w:p>
        </w:tc>
        <w:tc>
          <w:tcPr>
            <w:tcW w:w="80" w:type="dxa"/>
            <w:vAlign w:val="bottom"/>
          </w:tcPr>
          <w:p>
            <w:pPr>
              <w:spacing w:after="0"/>
              <w:rPr>
                <w:sz w:val="13"/>
                <w:szCs w:val="13"/>
                <w:color w:val="auto"/>
              </w:rPr>
            </w:pP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Purchase of minority interest</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(13,802)</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880" w:type="dxa"/>
            <w:vAlign w:val="bottom"/>
          </w:tcPr>
          <w:p>
            <w:pPr>
              <w:spacing w:after="0"/>
              <w:rPr>
                <w:sz w:val="13"/>
                <w:szCs w:val="13"/>
                <w:color w:val="auto"/>
              </w:rPr>
            </w:pPr>
          </w:p>
        </w:tc>
        <w:tc>
          <w:tcPr>
            <w:tcW w:w="1200" w:type="dxa"/>
            <w:vAlign w:val="bottom"/>
          </w:tcPr>
          <w:p>
            <w:pPr>
              <w:jc w:val="right"/>
              <w:ind w:right="893"/>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Acquisition of property, plant and equipment</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(7,591)</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(6,314)</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(17,910)</w:t>
            </w:r>
          </w:p>
        </w:tc>
        <w:tc>
          <w:tcPr>
            <w:tcW w:w="80" w:type="dxa"/>
            <w:vAlign w:val="bottom"/>
          </w:tcPr>
          <w:p>
            <w:pPr>
              <w:spacing w:after="0"/>
              <w:rPr>
                <w:sz w:val="13"/>
                <w:szCs w:val="13"/>
                <w:color w:val="auto"/>
              </w:rPr>
            </w:pP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Sale of NNG</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622</w:t>
            </w:r>
          </w:p>
        </w:tc>
        <w:tc>
          <w:tcPr>
            <w:tcW w:w="880" w:type="dxa"/>
            <w:vAlign w:val="bottom"/>
          </w:tcPr>
          <w:p>
            <w:pPr>
              <w:spacing w:after="0"/>
              <w:rPr>
                <w:sz w:val="13"/>
                <w:szCs w:val="13"/>
                <w:color w:val="auto"/>
              </w:rPr>
            </w:pPr>
          </w:p>
        </w:tc>
        <w:tc>
          <w:tcPr>
            <w:tcW w:w="1200" w:type="dxa"/>
            <w:vAlign w:val="bottom"/>
          </w:tcPr>
          <w:p>
            <w:pPr>
              <w:jc w:val="right"/>
              <w:ind w:right="893"/>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Long-term note receivable</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200</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(3,440)</w:t>
            </w:r>
          </w:p>
        </w:tc>
        <w:tc>
          <w:tcPr>
            <w:tcW w:w="80" w:type="dxa"/>
            <w:vAlign w:val="bottom"/>
          </w:tcPr>
          <w:p>
            <w:pPr>
              <w:spacing w:after="0"/>
              <w:rPr>
                <w:sz w:val="13"/>
                <w:szCs w:val="13"/>
                <w:color w:val="auto"/>
              </w:rPr>
            </w:pP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Investment in unconsolidated affiliates</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(172)</w:t>
            </w:r>
          </w:p>
        </w:tc>
        <w:tc>
          <w:tcPr>
            <w:tcW w:w="80" w:type="dxa"/>
            <w:vAlign w:val="bottom"/>
          </w:tcPr>
          <w:p>
            <w:pPr>
              <w:spacing w:after="0"/>
              <w:rPr>
                <w:sz w:val="13"/>
                <w:szCs w:val="13"/>
                <w:color w:val="auto"/>
              </w:rPr>
            </w:pPr>
          </w:p>
        </w:tc>
      </w:tr>
      <w:tr>
        <w:trPr>
          <w:trHeight w:val="154"/>
        </w:trPr>
        <w:tc>
          <w:tcPr>
            <w:tcW w:w="4980" w:type="dxa"/>
            <w:vAlign w:val="bottom"/>
            <w:gridSpan w:val="2"/>
          </w:tcPr>
          <w:p>
            <w:pPr>
              <w:ind w:left="480"/>
              <w:spacing w:after="0"/>
              <w:rPr>
                <w:sz w:val="20"/>
                <w:szCs w:val="20"/>
                <w:color w:val="auto"/>
              </w:rPr>
            </w:pPr>
            <w:r>
              <w:rPr>
                <w:rFonts w:ascii="Courier New" w:cs="Courier New" w:eastAsia="Courier New" w:hAnsi="Courier New"/>
                <w:sz w:val="13"/>
                <w:szCs w:val="13"/>
                <w:color w:val="auto"/>
              </w:rPr>
              <w:t>Proceeds from disposals of property, plant and equipment</w:t>
            </w: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65</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106</w:t>
            </w:r>
          </w:p>
        </w:tc>
        <w:tc>
          <w:tcPr>
            <w:tcW w:w="880" w:type="dxa"/>
            <w:vAlign w:val="bottom"/>
          </w:tcPr>
          <w:p>
            <w:pPr>
              <w:spacing w:after="0"/>
              <w:rPr>
                <w:sz w:val="13"/>
                <w:szCs w:val="13"/>
                <w:color w:val="auto"/>
              </w:rPr>
            </w:pPr>
          </w:p>
        </w:tc>
        <w:tc>
          <w:tcPr>
            <w:tcW w:w="1200" w:type="dxa"/>
            <w:vAlign w:val="bottom"/>
          </w:tcPr>
          <w:p>
            <w:pPr>
              <w:jc w:val="right"/>
              <w:ind w:right="893"/>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r>
      <w:tr>
        <w:trPr>
          <w:trHeight w:val="154"/>
        </w:trPr>
        <w:tc>
          <w:tcPr>
            <w:tcW w:w="4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3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2080" w:type="dxa"/>
            <w:vAlign w:val="bottom"/>
            <w:gridSpan w:val="2"/>
          </w:tcPr>
          <w:p>
            <w:pPr>
              <w:jc w:val="center"/>
              <w:ind w:right="573"/>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r>
      <w:tr>
        <w:trPr>
          <w:trHeight w:val="154"/>
        </w:trPr>
        <w:tc>
          <w:tcPr>
            <w:tcW w:w="4980" w:type="dxa"/>
            <w:vAlign w:val="bottom"/>
            <w:gridSpan w:val="2"/>
          </w:tcPr>
          <w:p>
            <w:pPr>
              <w:ind w:left="1360"/>
              <w:spacing w:after="0"/>
              <w:rPr>
                <w:sz w:val="20"/>
                <w:szCs w:val="20"/>
                <w:color w:val="auto"/>
              </w:rPr>
            </w:pPr>
            <w:r>
              <w:rPr>
                <w:rFonts w:ascii="Courier New" w:cs="Courier New" w:eastAsia="Courier New" w:hAnsi="Courier New"/>
                <w:sz w:val="13"/>
                <w:szCs w:val="13"/>
                <w:color w:val="auto"/>
              </w:rPr>
              <w:t>Net cash used by investing activities</w:t>
            </w:r>
          </w:p>
        </w:tc>
        <w:tc>
          <w:tcPr>
            <w:tcW w:w="1080" w:type="dxa"/>
            <w:vAlign w:val="bottom"/>
          </w:tcPr>
          <w:p>
            <w:pPr>
              <w:spacing w:after="0"/>
              <w:rPr>
                <w:sz w:val="13"/>
                <w:szCs w:val="13"/>
                <w:color w:val="auto"/>
              </w:rPr>
            </w:pPr>
          </w:p>
        </w:tc>
        <w:tc>
          <w:tcPr>
            <w:tcW w:w="19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(21,128)</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(29,082)</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(79,310)</w:t>
            </w:r>
          </w:p>
        </w:tc>
        <w:tc>
          <w:tcPr>
            <w:tcW w:w="80" w:type="dxa"/>
            <w:vAlign w:val="bottom"/>
          </w:tcPr>
          <w:p>
            <w:pPr>
              <w:spacing w:after="0"/>
              <w:rPr>
                <w:sz w:val="13"/>
                <w:szCs w:val="13"/>
                <w:color w:val="auto"/>
              </w:rPr>
            </w:pPr>
          </w:p>
        </w:tc>
      </w:tr>
      <w:tr>
        <w:trPr>
          <w:trHeight w:val="154"/>
        </w:trPr>
        <w:tc>
          <w:tcPr>
            <w:tcW w:w="4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3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2080" w:type="dxa"/>
            <w:vAlign w:val="bottom"/>
            <w:gridSpan w:val="2"/>
          </w:tcPr>
          <w:p>
            <w:pPr>
              <w:jc w:val="center"/>
              <w:ind w:right="573"/>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r>
      <w:tr>
        <w:trPr>
          <w:trHeight w:val="308"/>
        </w:trPr>
        <w:tc>
          <w:tcPr>
            <w:tcW w:w="4060" w:type="dxa"/>
            <w:vAlign w:val="bottom"/>
          </w:tcPr>
          <w:p>
            <w:pPr>
              <w:spacing w:after="0"/>
              <w:rPr>
                <w:sz w:val="20"/>
                <w:szCs w:val="20"/>
                <w:color w:val="auto"/>
              </w:rPr>
            </w:pPr>
            <w:r>
              <w:rPr>
                <w:rFonts w:ascii="Courier New" w:cs="Courier New" w:eastAsia="Courier New" w:hAnsi="Courier New"/>
                <w:sz w:val="13"/>
                <w:szCs w:val="13"/>
                <w:b w:val="1"/>
                <w:bCs w:val="1"/>
                <w:color w:val="auto"/>
              </w:rPr>
              <w:t>Cash flows from financing activities:</w:t>
            </w: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Net proceeds under revolving line of credit</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7,547</w:t>
            </w:r>
          </w:p>
        </w:tc>
        <w:tc>
          <w:tcPr>
            <w:tcW w:w="80" w:type="dxa"/>
            <w:vAlign w:val="bottom"/>
          </w:tcPr>
          <w:p>
            <w:pPr>
              <w:spacing w:after="0"/>
              <w:rPr>
                <w:sz w:val="13"/>
                <w:szCs w:val="13"/>
                <w:color w:val="auto"/>
              </w:rPr>
            </w:pP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Minority shareholders contributions</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29,600</w:t>
            </w:r>
          </w:p>
        </w:tc>
        <w:tc>
          <w:tcPr>
            <w:tcW w:w="80" w:type="dxa"/>
            <w:vAlign w:val="bottom"/>
          </w:tcPr>
          <w:p>
            <w:pPr>
              <w:spacing w:after="0"/>
              <w:rPr>
                <w:sz w:val="13"/>
                <w:szCs w:val="13"/>
                <w:color w:val="auto"/>
              </w:rPr>
            </w:pP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Proceeds from long-term debt</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13,802</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71,430</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25,817</w:t>
            </w:r>
          </w:p>
        </w:tc>
        <w:tc>
          <w:tcPr>
            <w:tcW w:w="80" w:type="dxa"/>
            <w:vAlign w:val="bottom"/>
          </w:tcPr>
          <w:p>
            <w:pPr>
              <w:spacing w:after="0"/>
              <w:rPr>
                <w:sz w:val="13"/>
                <w:szCs w:val="13"/>
                <w:color w:val="auto"/>
              </w:rPr>
            </w:pP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Bank overdrafts</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(1,103)</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687</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(785)</w:t>
            </w:r>
          </w:p>
        </w:tc>
        <w:tc>
          <w:tcPr>
            <w:tcW w:w="80" w:type="dxa"/>
            <w:vAlign w:val="bottom"/>
          </w:tcPr>
          <w:p>
            <w:pPr>
              <w:spacing w:after="0"/>
              <w:rPr>
                <w:sz w:val="13"/>
                <w:szCs w:val="13"/>
                <w:color w:val="auto"/>
              </w:rPr>
            </w:pP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Repayment of long-term debt</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(16,708)</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(65,946)</w:t>
            </w:r>
          </w:p>
        </w:tc>
        <w:tc>
          <w:tcPr>
            <w:tcW w:w="880" w:type="dxa"/>
            <w:vAlign w:val="bottom"/>
          </w:tcPr>
          <w:p>
            <w:pPr>
              <w:spacing w:after="0"/>
              <w:rPr>
                <w:sz w:val="13"/>
                <w:szCs w:val="13"/>
                <w:color w:val="auto"/>
              </w:rPr>
            </w:pPr>
          </w:p>
        </w:tc>
        <w:tc>
          <w:tcPr>
            <w:tcW w:w="1200" w:type="dxa"/>
            <w:vAlign w:val="bottom"/>
          </w:tcPr>
          <w:p>
            <w:pPr>
              <w:jc w:val="right"/>
              <w:ind w:right="893"/>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Proceeds (repayment) of short-term debt</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(2,000)</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2,000</w:t>
            </w:r>
          </w:p>
        </w:tc>
        <w:tc>
          <w:tcPr>
            <w:tcW w:w="80" w:type="dxa"/>
            <w:vAlign w:val="bottom"/>
          </w:tcPr>
          <w:p>
            <w:pPr>
              <w:spacing w:after="0"/>
              <w:rPr>
                <w:sz w:val="13"/>
                <w:szCs w:val="13"/>
                <w:color w:val="auto"/>
              </w:rPr>
            </w:pP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Proceeds from issuance of stock</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346</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428</w:t>
            </w:r>
          </w:p>
        </w:tc>
        <w:tc>
          <w:tcPr>
            <w:tcW w:w="880" w:type="dxa"/>
            <w:vAlign w:val="bottom"/>
          </w:tcPr>
          <w:p>
            <w:pPr>
              <w:spacing w:after="0"/>
              <w:rPr>
                <w:sz w:val="13"/>
                <w:szCs w:val="13"/>
                <w:color w:val="auto"/>
              </w:rPr>
            </w:pPr>
          </w:p>
        </w:tc>
        <w:tc>
          <w:tcPr>
            <w:tcW w:w="1200" w:type="dxa"/>
            <w:vAlign w:val="bottom"/>
          </w:tcPr>
          <w:p>
            <w:pPr>
              <w:jc w:val="right"/>
              <w:ind w:right="893"/>
              <w:spacing w:after="0"/>
              <w:rPr>
                <w:sz w:val="20"/>
                <w:szCs w:val="20"/>
                <w:color w:val="auto"/>
              </w:rPr>
            </w:pPr>
            <w:r>
              <w:rPr>
                <w:rFonts w:ascii="Courier New" w:cs="Courier New" w:eastAsia="Courier New" w:hAnsi="Courier New"/>
                <w:sz w:val="13"/>
                <w:szCs w:val="13"/>
                <w:color w:val="auto"/>
              </w:rPr>
              <w:t>16</w:t>
            </w:r>
          </w:p>
        </w:tc>
        <w:tc>
          <w:tcPr>
            <w:tcW w:w="80" w:type="dxa"/>
            <w:vAlign w:val="bottom"/>
          </w:tcPr>
          <w:p>
            <w:pPr>
              <w:spacing w:after="0"/>
              <w:rPr>
                <w:sz w:val="13"/>
                <w:szCs w:val="13"/>
                <w:color w:val="auto"/>
              </w:rPr>
            </w:pP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Cash dividends</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(4,915)</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(4,887)</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(4,878)</w:t>
            </w:r>
          </w:p>
        </w:tc>
        <w:tc>
          <w:tcPr>
            <w:tcW w:w="80" w:type="dxa"/>
            <w:vAlign w:val="bottom"/>
          </w:tcPr>
          <w:p>
            <w:pPr>
              <w:spacing w:after="0"/>
              <w:rPr>
                <w:sz w:val="13"/>
                <w:szCs w:val="13"/>
                <w:color w:val="auto"/>
              </w:rPr>
            </w:pPr>
          </w:p>
        </w:tc>
      </w:tr>
      <w:tr>
        <w:trPr>
          <w:trHeight w:val="154"/>
        </w:trPr>
        <w:tc>
          <w:tcPr>
            <w:tcW w:w="4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3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2080" w:type="dxa"/>
            <w:vAlign w:val="bottom"/>
            <w:gridSpan w:val="2"/>
          </w:tcPr>
          <w:p>
            <w:pPr>
              <w:jc w:val="center"/>
              <w:ind w:right="573"/>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r>
      <w:tr>
        <w:trPr>
          <w:trHeight w:val="154"/>
        </w:trPr>
        <w:tc>
          <w:tcPr>
            <w:tcW w:w="6060" w:type="dxa"/>
            <w:vAlign w:val="bottom"/>
            <w:gridSpan w:val="3"/>
          </w:tcPr>
          <w:p>
            <w:pPr>
              <w:ind w:left="1360"/>
              <w:spacing w:after="0"/>
              <w:rPr>
                <w:sz w:val="20"/>
                <w:szCs w:val="20"/>
                <w:color w:val="auto"/>
              </w:rPr>
            </w:pPr>
            <w:r>
              <w:rPr>
                <w:rFonts w:ascii="Courier New" w:cs="Courier New" w:eastAsia="Courier New" w:hAnsi="Courier New"/>
                <w:sz w:val="13"/>
                <w:szCs w:val="13"/>
                <w:color w:val="auto"/>
              </w:rPr>
              <w:t>Net cash provided (used) by financing activities</w:t>
            </w:r>
          </w:p>
        </w:tc>
        <w:tc>
          <w:tcPr>
            <w:tcW w:w="19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(8,578)</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(288)</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59,317</w:t>
            </w:r>
          </w:p>
        </w:tc>
        <w:tc>
          <w:tcPr>
            <w:tcW w:w="80" w:type="dxa"/>
            <w:vAlign w:val="bottom"/>
          </w:tcPr>
          <w:p>
            <w:pPr>
              <w:spacing w:after="0"/>
              <w:rPr>
                <w:sz w:val="13"/>
                <w:szCs w:val="13"/>
                <w:color w:val="auto"/>
              </w:rPr>
            </w:pPr>
          </w:p>
        </w:tc>
      </w:tr>
      <w:tr>
        <w:trPr>
          <w:trHeight w:val="154"/>
        </w:trPr>
        <w:tc>
          <w:tcPr>
            <w:tcW w:w="4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3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2080" w:type="dxa"/>
            <w:vAlign w:val="bottom"/>
            <w:gridSpan w:val="2"/>
          </w:tcPr>
          <w:p>
            <w:pPr>
              <w:jc w:val="center"/>
              <w:ind w:right="573"/>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r>
      <w:tr>
        <w:trPr>
          <w:trHeight w:val="308"/>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Effect of exchange rate changes</w:t>
            </w: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739</w:t>
            </w:r>
          </w:p>
        </w:tc>
        <w:tc>
          <w:tcPr>
            <w:tcW w:w="520" w:type="dxa"/>
            <w:vAlign w:val="bottom"/>
          </w:tcPr>
          <w:p>
            <w:pPr>
              <w:spacing w:after="0"/>
              <w:rPr>
                <w:sz w:val="24"/>
                <w:szCs w:val="24"/>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(496)</w:t>
            </w:r>
          </w:p>
        </w:tc>
        <w:tc>
          <w:tcPr>
            <w:tcW w:w="880" w:type="dxa"/>
            <w:vAlign w:val="bottom"/>
          </w:tcPr>
          <w:p>
            <w:pPr>
              <w:spacing w:after="0"/>
              <w:rPr>
                <w:sz w:val="24"/>
                <w:szCs w:val="24"/>
                <w:color w:val="auto"/>
              </w:rPr>
            </w:pPr>
          </w:p>
        </w:tc>
        <w:tc>
          <w:tcPr>
            <w:tcW w:w="1200" w:type="dxa"/>
            <w:vAlign w:val="bottom"/>
          </w:tcPr>
          <w:p>
            <w:pPr>
              <w:jc w:val="right"/>
              <w:ind w:right="893"/>
              <w:spacing w:after="0"/>
              <w:rPr>
                <w:sz w:val="20"/>
                <w:szCs w:val="20"/>
                <w:color w:val="auto"/>
              </w:rPr>
            </w:pPr>
            <w:r>
              <w:rPr>
                <w:rFonts w:ascii="Courier New" w:cs="Courier New" w:eastAsia="Courier New" w:hAnsi="Courier New"/>
                <w:sz w:val="13"/>
                <w:szCs w:val="13"/>
                <w:color w:val="auto"/>
                <w:w w:val="93"/>
              </w:rPr>
              <w:t>(7)</w:t>
            </w:r>
          </w:p>
        </w:tc>
        <w:tc>
          <w:tcPr>
            <w:tcW w:w="80" w:type="dxa"/>
            <w:vAlign w:val="bottom"/>
          </w:tcPr>
          <w:p>
            <w:pPr>
              <w:spacing w:after="0"/>
              <w:rPr>
                <w:sz w:val="24"/>
                <w:szCs w:val="24"/>
                <w:color w:val="auto"/>
              </w:rPr>
            </w:pPr>
          </w:p>
        </w:tc>
      </w:tr>
      <w:tr>
        <w:trPr>
          <w:trHeight w:val="308"/>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Net change in cash and cash equivalents</w:t>
            </w: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7"/>
              </w:rPr>
              <w:t>2,120</w:t>
            </w:r>
          </w:p>
        </w:tc>
        <w:tc>
          <w:tcPr>
            <w:tcW w:w="520" w:type="dxa"/>
            <w:vAlign w:val="bottom"/>
          </w:tcPr>
          <w:p>
            <w:pPr>
              <w:spacing w:after="0"/>
              <w:rPr>
                <w:sz w:val="24"/>
                <w:szCs w:val="24"/>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(5,249)</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6,864</w:t>
            </w:r>
          </w:p>
        </w:tc>
        <w:tc>
          <w:tcPr>
            <w:tcW w:w="80" w:type="dxa"/>
            <w:vAlign w:val="bottom"/>
          </w:tcPr>
          <w:p>
            <w:pPr>
              <w:spacing w:after="0"/>
              <w:rPr>
                <w:sz w:val="24"/>
                <w:szCs w:val="24"/>
                <w:color w:val="auto"/>
              </w:rPr>
            </w:pPr>
          </w:p>
        </w:tc>
      </w:tr>
      <w:tr>
        <w:trPr>
          <w:trHeight w:val="154"/>
        </w:trPr>
        <w:tc>
          <w:tcPr>
            <w:tcW w:w="4980" w:type="dxa"/>
            <w:vAlign w:val="bottom"/>
            <w:gridSpan w:val="2"/>
          </w:tcPr>
          <w:p>
            <w:pPr>
              <w:ind w:left="480"/>
              <w:spacing w:after="0"/>
              <w:rPr>
                <w:sz w:val="20"/>
                <w:szCs w:val="20"/>
                <w:color w:val="auto"/>
              </w:rPr>
            </w:pPr>
            <w:r>
              <w:rPr>
                <w:rFonts w:ascii="Courier New" w:cs="Courier New" w:eastAsia="Courier New" w:hAnsi="Courier New"/>
                <w:sz w:val="13"/>
                <w:szCs w:val="13"/>
                <w:color w:val="auto"/>
              </w:rPr>
              <w:t>Cash and cash equivalents at beginning of period</w:t>
            </w: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7"/>
              </w:rPr>
              <w:t>3,024</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8,273</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1,409</w:t>
            </w:r>
          </w:p>
        </w:tc>
        <w:tc>
          <w:tcPr>
            <w:tcW w:w="80" w:type="dxa"/>
            <w:vAlign w:val="bottom"/>
          </w:tcPr>
          <w:p>
            <w:pPr>
              <w:spacing w:after="0"/>
              <w:rPr>
                <w:sz w:val="13"/>
                <w:szCs w:val="13"/>
                <w:color w:val="auto"/>
              </w:rPr>
            </w:pPr>
          </w:p>
        </w:tc>
      </w:tr>
      <w:tr>
        <w:trPr>
          <w:trHeight w:val="154"/>
        </w:trPr>
        <w:tc>
          <w:tcPr>
            <w:tcW w:w="4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3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2080" w:type="dxa"/>
            <w:vAlign w:val="bottom"/>
            <w:gridSpan w:val="2"/>
          </w:tcPr>
          <w:p>
            <w:pPr>
              <w:jc w:val="center"/>
              <w:ind w:right="573"/>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Cash and cash equivalents at end of period</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$ 5,144</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$ 3,024</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$ 8,273</w:t>
            </w:r>
          </w:p>
        </w:tc>
        <w:tc>
          <w:tcPr>
            <w:tcW w:w="80" w:type="dxa"/>
            <w:vAlign w:val="bottom"/>
          </w:tcPr>
          <w:p>
            <w:pPr>
              <w:spacing w:after="0"/>
              <w:rPr>
                <w:sz w:val="13"/>
                <w:szCs w:val="13"/>
                <w:color w:val="auto"/>
              </w:rPr>
            </w:pPr>
          </w:p>
        </w:tc>
      </w:tr>
      <w:tr>
        <w:trPr>
          <w:trHeight w:val="154"/>
        </w:trPr>
        <w:tc>
          <w:tcPr>
            <w:tcW w:w="4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3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2080" w:type="dxa"/>
            <w:vAlign w:val="bottom"/>
            <w:gridSpan w:val="2"/>
          </w:tcPr>
          <w:p>
            <w:pPr>
              <w:jc w:val="center"/>
              <w:ind w:right="573"/>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r>
      <w:tr>
        <w:trPr>
          <w:trHeight w:val="308"/>
        </w:trPr>
        <w:tc>
          <w:tcPr>
            <w:tcW w:w="6060" w:type="dxa"/>
            <w:vAlign w:val="bottom"/>
            <w:gridSpan w:val="3"/>
          </w:tcPr>
          <w:p>
            <w:pPr>
              <w:spacing w:after="0"/>
              <w:rPr>
                <w:sz w:val="20"/>
                <w:szCs w:val="20"/>
                <w:color w:val="auto"/>
              </w:rPr>
            </w:pPr>
            <w:r>
              <w:rPr>
                <w:rFonts w:ascii="Courier New" w:cs="Courier New" w:eastAsia="Courier New" w:hAnsi="Courier New"/>
                <w:sz w:val="13"/>
                <w:szCs w:val="13"/>
                <w:b w:val="1"/>
                <w:bCs w:val="1"/>
                <w:color w:val="auto"/>
              </w:rPr>
              <w:t>Supplemental schedule of non-cash investing and financing activities:</w:t>
            </w: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Note received related to sale of NNG</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$ 3,300</w:t>
            </w:r>
          </w:p>
        </w:tc>
        <w:tc>
          <w:tcPr>
            <w:tcW w:w="8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200" w:type="dxa"/>
            <w:vAlign w:val="bottom"/>
          </w:tcPr>
          <w:p>
            <w:pPr>
              <w:jc w:val="right"/>
              <w:ind w:right="893"/>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r>
      <w:tr>
        <w:trPr>
          <w:trHeight w:val="308"/>
        </w:trPr>
        <w:tc>
          <w:tcPr>
            <w:tcW w:w="4980" w:type="dxa"/>
            <w:vAlign w:val="bottom"/>
            <w:gridSpan w:val="2"/>
          </w:tcPr>
          <w:p>
            <w:pPr>
              <w:ind w:left="400"/>
              <w:spacing w:after="0"/>
              <w:rPr>
                <w:sz w:val="20"/>
                <w:szCs w:val="20"/>
                <w:color w:val="auto"/>
              </w:rPr>
            </w:pPr>
            <w:r>
              <w:rPr>
                <w:rFonts w:ascii="Courier New" w:cs="Courier New" w:eastAsia="Courier New" w:hAnsi="Courier New"/>
                <w:sz w:val="13"/>
                <w:szCs w:val="13"/>
                <w:b w:val="1"/>
                <w:bCs w:val="1"/>
                <w:color w:val="auto"/>
              </w:rPr>
              <w:t>Cash paid for interest and income taxes was as follows:</w:t>
            </w:r>
          </w:p>
        </w:tc>
        <w:tc>
          <w:tcPr>
            <w:tcW w:w="1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4"/>
        </w:trPr>
        <w:tc>
          <w:tcPr>
            <w:tcW w:w="4060" w:type="dxa"/>
            <w:vAlign w:val="bottom"/>
          </w:tcPr>
          <w:p>
            <w:pPr>
              <w:ind w:left="880"/>
              <w:spacing w:after="0"/>
              <w:rPr>
                <w:sz w:val="20"/>
                <w:szCs w:val="20"/>
                <w:color w:val="auto"/>
              </w:rPr>
            </w:pPr>
            <w:r>
              <w:rPr>
                <w:rFonts w:ascii="Courier New" w:cs="Courier New" w:eastAsia="Courier New" w:hAnsi="Courier New"/>
                <w:sz w:val="13"/>
                <w:szCs w:val="13"/>
                <w:color w:val="auto"/>
              </w:rPr>
              <w:t>Interest</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$ 1,965</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$3,596</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$ 1,917</w:t>
            </w:r>
          </w:p>
        </w:tc>
        <w:tc>
          <w:tcPr>
            <w:tcW w:w="80" w:type="dxa"/>
            <w:vAlign w:val="bottom"/>
          </w:tcPr>
          <w:p>
            <w:pPr>
              <w:spacing w:after="0"/>
              <w:rPr>
                <w:sz w:val="13"/>
                <w:szCs w:val="13"/>
                <w:color w:val="auto"/>
              </w:rPr>
            </w:pPr>
          </w:p>
        </w:tc>
      </w:tr>
      <w:tr>
        <w:trPr>
          <w:trHeight w:val="154"/>
        </w:trPr>
        <w:tc>
          <w:tcPr>
            <w:tcW w:w="4060" w:type="dxa"/>
            <w:vAlign w:val="bottom"/>
          </w:tcPr>
          <w:p>
            <w:pPr>
              <w:ind w:left="880"/>
              <w:spacing w:after="0"/>
              <w:rPr>
                <w:sz w:val="20"/>
                <w:szCs w:val="20"/>
                <w:color w:val="auto"/>
              </w:rPr>
            </w:pPr>
            <w:r>
              <w:rPr>
                <w:rFonts w:ascii="Courier New" w:cs="Courier New" w:eastAsia="Courier New" w:hAnsi="Courier New"/>
                <w:sz w:val="13"/>
                <w:szCs w:val="13"/>
                <w:color w:val="auto"/>
              </w:rPr>
              <w:t>Income taxes</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7"/>
              </w:rPr>
              <w:t>4,774</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2,845</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5,207</w:t>
            </w:r>
          </w:p>
        </w:tc>
        <w:tc>
          <w:tcPr>
            <w:tcW w:w="80" w:type="dxa"/>
            <w:vAlign w:val="bottom"/>
          </w:tcPr>
          <w:p>
            <w:pPr>
              <w:spacing w:after="0"/>
              <w:rPr>
                <w:sz w:val="13"/>
                <w:szCs w:val="13"/>
                <w:color w:val="auto"/>
              </w:rPr>
            </w:pPr>
          </w:p>
        </w:tc>
      </w:tr>
      <w:tr>
        <w:trPr>
          <w:trHeight w:val="154"/>
        </w:trPr>
        <w:tc>
          <w:tcPr>
            <w:tcW w:w="4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3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2080" w:type="dxa"/>
            <w:vAlign w:val="bottom"/>
            <w:gridSpan w:val="2"/>
          </w:tcPr>
          <w:p>
            <w:pPr>
              <w:jc w:val="center"/>
              <w:ind w:right="573"/>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-7158990</wp:posOffset>
            </wp:positionV>
            <wp:extent cx="3175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-7158990</wp:posOffset>
            </wp:positionV>
            <wp:extent cx="3175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pacing w:after="0" w:line="293" w:lineRule="exact"/>
        <w:rPr>
          <w:sz w:val="20"/>
          <w:szCs w:val="20"/>
          <w:color w:val="auto"/>
        </w:rPr>
      </w:pPr>
    </w:p>
    <w:p>
      <w:pPr>
        <w:ind w:left="2080"/>
        <w:spacing w:after="0"/>
        <w:rPr>
          <w:sz w:val="20"/>
          <w:szCs w:val="20"/>
          <w:color w:val="auto"/>
        </w:rPr>
      </w:pPr>
      <w:r>
        <w:rPr>
          <w:rFonts w:ascii="Courier New" w:cs="Courier New" w:eastAsia="Courier New" w:hAnsi="Courier New"/>
          <w:sz w:val="13"/>
          <w:szCs w:val="13"/>
          <w:b w:val="1"/>
          <w:bCs w:val="1"/>
          <w:color w:val="auto"/>
        </w:rPr>
        <w:t>See accompanying notes to consolidated financial statements</w:t>
      </w:r>
    </w:p>
    <w:p>
      <w:pPr>
        <w:sectPr>
          <w:pgSz w:w="11900" w:h="16838" w:orient="portrait"/>
          <w:cols w:equalWidth="0" w:num="1">
            <w:col w:w="11540"/>
          </w:cols>
          <w:pgMar w:left="220" w:top="295" w:right="139" w:bottom="121" w:gutter="0" w:footer="0" w:header="0"/>
        </w:sectPr>
      </w:pPr>
    </w:p>
    <w:bookmarkStart w:id="22" w:name="page23"/>
    <w:bookmarkEnd w:id="22"/>
    <w:p>
      <w:pPr>
        <w:ind w:left="3120"/>
        <w:spacing w:after="0"/>
        <w:rPr>
          <w:sz w:val="20"/>
          <w:szCs w:val="20"/>
          <w:color w:val="auto"/>
        </w:rPr>
      </w:pPr>
      <w:r>
        <w:rPr>
          <w:rFonts w:ascii="Courier New" w:cs="Courier New" w:eastAsia="Courier New" w:hAnsi="Courier New"/>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ectPr>
          <w:pgSz w:w="11900" w:h="16838" w:orient="portrait"/>
          <w:cols w:equalWidth="0" w:num="1">
            <w:col w:w="10239"/>
          </w:cols>
          <w:pgMar w:left="220" w:top="14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3"/>
          <w:szCs w:val="13"/>
          <w:b w:val="1"/>
          <w:bCs w:val="1"/>
          <w:color w:val="auto"/>
        </w:rPr>
        <w:t>NN, Inc.</w:t>
      </w:r>
    </w:p>
    <w:p>
      <w:pPr>
        <w:spacing w:after="0" w:line="7"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3"/>
          <w:szCs w:val="13"/>
          <w:b w:val="1"/>
          <w:bCs w:val="1"/>
          <w:color w:val="auto"/>
        </w:rPr>
        <w:t>Notes to Consolidated Financial Statements</w:t>
      </w:r>
    </w:p>
    <w:p>
      <w:pPr>
        <w:spacing w:after="0" w:line="7" w:lineRule="exact"/>
        <w:rPr>
          <w:sz w:val="20"/>
          <w:szCs w:val="20"/>
          <w:color w:val="auto"/>
        </w:rPr>
      </w:pPr>
    </w:p>
    <w:p>
      <w:pPr>
        <w:ind w:left="1920"/>
        <w:spacing w:after="0"/>
        <w:rPr>
          <w:sz w:val="20"/>
          <w:szCs w:val="20"/>
          <w:color w:val="auto"/>
        </w:rPr>
      </w:pPr>
      <w:r>
        <w:rPr>
          <w:rFonts w:ascii="Courier New" w:cs="Courier New" w:eastAsia="Courier New" w:hAnsi="Courier New"/>
          <w:sz w:val="13"/>
          <w:szCs w:val="13"/>
          <w:b w:val="1"/>
          <w:bCs w:val="1"/>
          <w:color w:val="auto"/>
        </w:rPr>
        <w:t>December 31, 2002, 2001 and 2000</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3"/>
          <w:szCs w:val="13"/>
          <w:b w:val="1"/>
          <w:bCs w:val="1"/>
          <w:color w:val="auto"/>
        </w:rPr>
        <w:t>(In thousands, except per share data)</w:t>
      </w:r>
    </w:p>
    <w:p>
      <w:pPr>
        <w:spacing w:after="0" w:line="161" w:lineRule="exact"/>
        <w:rPr>
          <w:sz w:val="20"/>
          <w:szCs w:val="20"/>
          <w:color w:val="auto"/>
        </w:rPr>
      </w:pPr>
    </w:p>
    <w:p>
      <w:pPr>
        <w:ind w:left="560" w:hanging="558"/>
        <w:spacing w:after="0"/>
        <w:tabs>
          <w:tab w:leader="none" w:pos="560" w:val="left"/>
        </w:tabs>
        <w:numPr>
          <w:ilvl w:val="0"/>
          <w:numId w:val="5"/>
        </w:numPr>
        <w:rPr>
          <w:rFonts w:ascii="Courier New" w:cs="Courier New" w:eastAsia="Courier New" w:hAnsi="Courier New"/>
          <w:sz w:val="13"/>
          <w:szCs w:val="13"/>
          <w:b w:val="1"/>
          <w:bCs w:val="1"/>
          <w:color w:val="auto"/>
        </w:rPr>
      </w:pPr>
      <w:r>
        <w:rPr>
          <w:rFonts w:ascii="Courier New" w:cs="Courier New" w:eastAsia="Courier New" w:hAnsi="Courier New"/>
          <w:sz w:val="13"/>
          <w:szCs w:val="13"/>
          <w:b w:val="1"/>
          <w:bCs w:val="1"/>
          <w:color w:val="auto"/>
        </w:rPr>
        <w:t>Summary of Significant Accounting Policies and Practices</w:t>
      </w:r>
    </w:p>
    <w:p>
      <w:pPr>
        <w:spacing w:after="0" w:line="161" w:lineRule="exact"/>
        <w:rPr>
          <w:rFonts w:ascii="Courier New" w:cs="Courier New" w:eastAsia="Courier New" w:hAnsi="Courier New"/>
          <w:sz w:val="13"/>
          <w:szCs w:val="13"/>
          <w:b w:val="1"/>
          <w:bCs w:val="1"/>
          <w:color w:val="auto"/>
        </w:rPr>
      </w:pPr>
    </w:p>
    <w:p>
      <w:pPr>
        <w:ind w:left="1120" w:hanging="556"/>
        <w:spacing w:after="0"/>
        <w:tabs>
          <w:tab w:leader="none" w:pos="1120" w:val="left"/>
        </w:tabs>
        <w:numPr>
          <w:ilvl w:val="1"/>
          <w:numId w:val="5"/>
        </w:numPr>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b w:val="1"/>
          <w:bCs w:val="1"/>
          <w:i w:val="1"/>
          <w:iCs w:val="1"/>
          <w:color w:val="auto"/>
        </w:rPr>
        <w:t>Description of Business</w:t>
      </w:r>
    </w:p>
    <w:p>
      <w:pPr>
        <w:spacing w:after="0" w:line="161" w:lineRule="exact"/>
        <w:rPr>
          <w:rFonts w:ascii="Courier New" w:cs="Courier New" w:eastAsia="Courier New" w:hAnsi="Courier New"/>
          <w:sz w:val="13"/>
          <w:szCs w:val="13"/>
          <w:b w:val="1"/>
          <w:bCs w:val="1"/>
          <w:i w:val="1"/>
          <w:iCs w:val="1"/>
          <w:color w:val="auto"/>
        </w:rPr>
      </w:pPr>
    </w:p>
    <w:p>
      <w:pPr>
        <w:ind w:left="1120" w:right="3819"/>
        <w:spacing w:after="0" w:line="251" w:lineRule="auto"/>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color w:val="auto"/>
        </w:rPr>
        <w:t>NN, Inc. (the "Company") is a manufacturer of precision balls, rollers, plastic injection molded products, and precision bearing seals. The Company's balls, rollers, and bearing seals are used primarily in the domestic and international anti-friction bearing industry. The Company's plastic injection molded products are used in the bearing, automotive, instrumentation and fiber optic industries. The Domestic Ball and Roller Segment is comprised of two manufacturing facilities located in the eastern United States. The Company's Euroball Segment, which was acquired in July 2000, (see Note 2) is comprised of manufacturing facilities located in Kilkenny, Ireland, Eltmann, Germany, and Pinerolo, Italy. All of the facilities in the Euroball Segment are engaged in the production of precision balls. The Plastics Segment consists of IMC, acquired in July 1999, NN Arte, formed in August 2000 and Delta Rubber, acquired in February 2001. IMC has two production facilities in Texas, NN Arte has one production facility in Guadalajara, Mexico and Delta Rubber has two production facilities in Connecticut (see Note 2). All of the Company's segments sell to foreign and domestic customers.</w:t>
      </w:r>
    </w:p>
    <w:p>
      <w:pPr>
        <w:spacing w:after="0" w:line="157" w:lineRule="exact"/>
        <w:rPr>
          <w:rFonts w:ascii="Courier New" w:cs="Courier New" w:eastAsia="Courier New" w:hAnsi="Courier New"/>
          <w:sz w:val="13"/>
          <w:szCs w:val="13"/>
          <w:b w:val="1"/>
          <w:bCs w:val="1"/>
          <w:i w:val="1"/>
          <w:iCs w:val="1"/>
          <w:color w:val="auto"/>
        </w:rPr>
      </w:pPr>
    </w:p>
    <w:p>
      <w:pPr>
        <w:ind w:left="1120" w:hanging="556"/>
        <w:spacing w:after="0"/>
        <w:tabs>
          <w:tab w:leader="none" w:pos="1120" w:val="left"/>
        </w:tabs>
        <w:numPr>
          <w:ilvl w:val="1"/>
          <w:numId w:val="5"/>
        </w:numPr>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b w:val="1"/>
          <w:bCs w:val="1"/>
          <w:i w:val="1"/>
          <w:iCs w:val="1"/>
          <w:color w:val="auto"/>
        </w:rPr>
        <w:t>Cash and Cash Equivalents</w:t>
      </w:r>
    </w:p>
    <w:p>
      <w:pPr>
        <w:spacing w:after="0" w:line="161" w:lineRule="exact"/>
        <w:rPr>
          <w:rFonts w:ascii="Courier New" w:cs="Courier New" w:eastAsia="Courier New" w:hAnsi="Courier New"/>
          <w:sz w:val="13"/>
          <w:szCs w:val="13"/>
          <w:b w:val="1"/>
          <w:bCs w:val="1"/>
          <w:i w:val="1"/>
          <w:iCs w:val="1"/>
          <w:color w:val="auto"/>
        </w:rPr>
      </w:pPr>
    </w:p>
    <w:p>
      <w:pPr>
        <w:ind w:left="1120" w:right="4139"/>
        <w:spacing w:after="0" w:line="254" w:lineRule="auto"/>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color w:val="auto"/>
        </w:rPr>
        <w:t>The Company considers all highly liquid investments with an original maturity of three months or less as cash equivalents.</w:t>
      </w:r>
    </w:p>
    <w:p>
      <w:pPr>
        <w:spacing w:after="0" w:line="150" w:lineRule="exact"/>
        <w:rPr>
          <w:rFonts w:ascii="Courier New" w:cs="Courier New" w:eastAsia="Courier New" w:hAnsi="Courier New"/>
          <w:sz w:val="13"/>
          <w:szCs w:val="13"/>
          <w:b w:val="1"/>
          <w:bCs w:val="1"/>
          <w:i w:val="1"/>
          <w:iCs w:val="1"/>
          <w:color w:val="auto"/>
        </w:rPr>
      </w:pPr>
    </w:p>
    <w:p>
      <w:pPr>
        <w:ind w:left="1120" w:hanging="556"/>
        <w:spacing w:after="0"/>
        <w:tabs>
          <w:tab w:leader="none" w:pos="1120" w:val="left"/>
        </w:tabs>
        <w:numPr>
          <w:ilvl w:val="1"/>
          <w:numId w:val="5"/>
        </w:numPr>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b w:val="1"/>
          <w:bCs w:val="1"/>
          <w:i w:val="1"/>
          <w:iCs w:val="1"/>
          <w:color w:val="auto"/>
        </w:rPr>
        <w:t>Inventories</w:t>
      </w:r>
    </w:p>
    <w:p>
      <w:pPr>
        <w:spacing w:after="0" w:line="161" w:lineRule="exact"/>
        <w:rPr>
          <w:rFonts w:ascii="Courier New" w:cs="Courier New" w:eastAsia="Courier New" w:hAnsi="Courier New"/>
          <w:sz w:val="13"/>
          <w:szCs w:val="13"/>
          <w:b w:val="1"/>
          <w:bCs w:val="1"/>
          <w:i w:val="1"/>
          <w:iCs w:val="1"/>
          <w:color w:val="auto"/>
        </w:rPr>
      </w:pPr>
    </w:p>
    <w:p>
      <w:pPr>
        <w:ind w:left="1120" w:right="4139"/>
        <w:spacing w:after="0" w:line="254" w:lineRule="auto"/>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color w:val="auto"/>
        </w:rPr>
        <w:t>Inventories are stated at the lower of cost or market. Cost is determined using the first-in, first-out method.</w:t>
      </w:r>
    </w:p>
    <w:p>
      <w:pPr>
        <w:spacing w:after="0" w:line="150" w:lineRule="exact"/>
        <w:rPr>
          <w:rFonts w:ascii="Courier New" w:cs="Courier New" w:eastAsia="Courier New" w:hAnsi="Courier New"/>
          <w:sz w:val="13"/>
          <w:szCs w:val="13"/>
          <w:b w:val="1"/>
          <w:bCs w:val="1"/>
          <w:i w:val="1"/>
          <w:iCs w:val="1"/>
          <w:color w:val="auto"/>
        </w:rPr>
      </w:pPr>
    </w:p>
    <w:p>
      <w:pPr>
        <w:ind w:left="1120" w:hanging="556"/>
        <w:spacing w:after="0"/>
        <w:tabs>
          <w:tab w:leader="none" w:pos="1120" w:val="left"/>
        </w:tabs>
        <w:numPr>
          <w:ilvl w:val="1"/>
          <w:numId w:val="5"/>
        </w:numPr>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b w:val="1"/>
          <w:bCs w:val="1"/>
          <w:i w:val="1"/>
          <w:iCs w:val="1"/>
          <w:color w:val="auto"/>
        </w:rPr>
        <w:t>Property, Plant and Equipment</w:t>
      </w:r>
    </w:p>
    <w:p>
      <w:pPr>
        <w:spacing w:after="0" w:line="161" w:lineRule="exact"/>
        <w:rPr>
          <w:rFonts w:ascii="Courier New" w:cs="Courier New" w:eastAsia="Courier New" w:hAnsi="Courier New"/>
          <w:sz w:val="13"/>
          <w:szCs w:val="13"/>
          <w:b w:val="1"/>
          <w:bCs w:val="1"/>
          <w:i w:val="1"/>
          <w:iCs w:val="1"/>
          <w:color w:val="auto"/>
        </w:rPr>
      </w:pPr>
    </w:p>
    <w:p>
      <w:pPr>
        <w:ind w:left="1120" w:right="3819"/>
        <w:spacing w:after="0" w:line="251" w:lineRule="auto"/>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color w:val="auto"/>
        </w:rPr>
        <w:t>Property, plant and equipment are stated at cost less accumulated depreciation. Assets held for sale are stated at lower of cost or fair market value less selling cost. Expenditures for maintenance and repairs are charged to expense as incurred. Major renewals and betterments are capitalized. When a major property item is retired, its cost and related accumulated depreciation or amortization are removed from the property accounts and any gain or loss is recorded in income or expense, respectively. The Company reviews the carrying values of long-lived assets for impairment whenever events or changes in circumstances indicate the carrying amount of an asset may not be recoverable. During the years ended December 31, 2002 and 2001, the Company incurred an impairment charge of $1,199 and $1,083 respectively, to write-down the land, building and equipment at the Walterboro, SC production facility to its net realizable value, which was principally based upon fair market value appraisals and valuations. As of December 31, 2002 and 2001, the carrying value of this land, building and equipment of $2,214 and $4,348, respectively, has been classified as a component of assets held for sale in the accompanying financial statements. During the year ended December 31, 2000, the Company did not incur any impairment charges.</w:t>
      </w:r>
    </w:p>
    <w:p>
      <w:pPr>
        <w:spacing w:after="0" w:line="158" w:lineRule="exact"/>
        <w:rPr>
          <w:rFonts w:ascii="Courier New" w:cs="Courier New" w:eastAsia="Courier New" w:hAnsi="Courier New"/>
          <w:sz w:val="13"/>
          <w:szCs w:val="13"/>
          <w:b w:val="1"/>
          <w:bCs w:val="1"/>
          <w:i w:val="1"/>
          <w:iCs w:val="1"/>
          <w:color w:val="auto"/>
        </w:rPr>
      </w:pPr>
    </w:p>
    <w:p>
      <w:pPr>
        <w:ind w:left="1120" w:right="3819"/>
        <w:spacing w:after="0" w:line="252" w:lineRule="auto"/>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color w:val="auto"/>
        </w:rPr>
        <w:t>Depreciation is provided principally on the straight-line method over the estimated useful lives of the depreciable assets for financial reporting purposes. Accelerated depreciation methods are used for income tax purposes.</w:t>
      </w:r>
    </w:p>
    <w:p>
      <w:pPr>
        <w:spacing w:after="0" w:line="152" w:lineRule="exact"/>
        <w:rPr>
          <w:rFonts w:ascii="Courier New" w:cs="Courier New" w:eastAsia="Courier New" w:hAnsi="Courier New"/>
          <w:sz w:val="13"/>
          <w:szCs w:val="13"/>
          <w:b w:val="1"/>
          <w:bCs w:val="1"/>
          <w:i w:val="1"/>
          <w:iCs w:val="1"/>
          <w:color w:val="auto"/>
        </w:rPr>
      </w:pPr>
    </w:p>
    <w:p>
      <w:pPr>
        <w:ind w:left="1120" w:hanging="556"/>
        <w:spacing w:after="0"/>
        <w:tabs>
          <w:tab w:leader="none" w:pos="1120" w:val="left"/>
        </w:tabs>
        <w:numPr>
          <w:ilvl w:val="1"/>
          <w:numId w:val="5"/>
        </w:numPr>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b w:val="1"/>
          <w:bCs w:val="1"/>
          <w:i w:val="1"/>
          <w:iCs w:val="1"/>
          <w:color w:val="auto"/>
        </w:rPr>
        <w:t>Revenue Recognition</w:t>
      </w:r>
    </w:p>
    <w:p>
      <w:pPr>
        <w:spacing w:after="0" w:line="161" w:lineRule="exact"/>
        <w:rPr>
          <w:rFonts w:ascii="Courier New" w:cs="Courier New" w:eastAsia="Courier New" w:hAnsi="Courier New"/>
          <w:sz w:val="13"/>
          <w:szCs w:val="13"/>
          <w:b w:val="1"/>
          <w:bCs w:val="1"/>
          <w:i w:val="1"/>
          <w:iCs w:val="1"/>
          <w:color w:val="auto"/>
        </w:rPr>
      </w:pPr>
    </w:p>
    <w:p>
      <w:pPr>
        <w:ind w:left="1120" w:right="3819"/>
        <w:spacing w:after="0" w:line="251" w:lineRule="auto"/>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color w:val="auto"/>
        </w:rPr>
        <w:t>The Company generally recognizes a sale when goods are shipped and ownership is assumed by the customer. The Company has an inventory management program for certain major ball and roller customers whereby sales are recognized when products are used by the customer from consigned stock, rather than at the time of shipment. Under both circumstances, revenue is recognized when persuasive evidence of an arrangement exists, delivery has occurred, the sellers' price is determinable and collectibility is reasonably assured.</w:t>
      </w:r>
    </w:p>
    <w:p>
      <w:pPr>
        <w:spacing w:after="0" w:line="310" w:lineRule="exact"/>
        <w:rPr>
          <w:rFonts w:ascii="Courier New" w:cs="Courier New" w:eastAsia="Courier New" w:hAnsi="Courier New"/>
          <w:sz w:val="13"/>
          <w:szCs w:val="13"/>
          <w:b w:val="1"/>
          <w:bCs w:val="1"/>
          <w:i w:val="1"/>
          <w:iCs w:val="1"/>
          <w:color w:val="auto"/>
        </w:rPr>
      </w:pPr>
    </w:p>
    <w:p>
      <w:pPr>
        <w:ind w:left="1120" w:hanging="556"/>
        <w:spacing w:after="0"/>
        <w:tabs>
          <w:tab w:leader="none" w:pos="1120" w:val="left"/>
        </w:tabs>
        <w:numPr>
          <w:ilvl w:val="1"/>
          <w:numId w:val="5"/>
        </w:numPr>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b w:val="1"/>
          <w:bCs w:val="1"/>
          <w:i w:val="1"/>
          <w:iCs w:val="1"/>
          <w:color w:val="auto"/>
        </w:rPr>
        <w:t>Income Taxes</w:t>
      </w:r>
    </w:p>
    <w:p>
      <w:pPr>
        <w:spacing w:after="0" w:line="161" w:lineRule="exact"/>
        <w:rPr>
          <w:rFonts w:ascii="Courier New" w:cs="Courier New" w:eastAsia="Courier New" w:hAnsi="Courier New"/>
          <w:sz w:val="13"/>
          <w:szCs w:val="13"/>
          <w:b w:val="1"/>
          <w:bCs w:val="1"/>
          <w:i w:val="1"/>
          <w:iCs w:val="1"/>
          <w:color w:val="auto"/>
        </w:rPr>
      </w:pPr>
    </w:p>
    <w:p>
      <w:pPr>
        <w:ind w:left="1120" w:right="3819"/>
        <w:spacing w:after="0" w:line="251" w:lineRule="auto"/>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w:t>
      </w:r>
    </w:p>
    <w:p>
      <w:pPr>
        <w:spacing w:after="0" w:line="156" w:lineRule="exact"/>
        <w:rPr>
          <w:sz w:val="20"/>
          <w:szCs w:val="20"/>
          <w:color w:val="auto"/>
        </w:rPr>
      </w:pPr>
    </w:p>
    <w:p>
      <w:pPr>
        <w:jc w:val="right"/>
        <w:ind w:right="3819"/>
        <w:spacing w:after="0"/>
        <w:rPr>
          <w:sz w:val="20"/>
          <w:szCs w:val="20"/>
          <w:color w:val="auto"/>
        </w:rPr>
      </w:pPr>
      <w:r>
        <w:rPr>
          <w:rFonts w:ascii="Courier New" w:cs="Courier New" w:eastAsia="Courier New" w:hAnsi="Courier New"/>
          <w:sz w:val="13"/>
          <w:szCs w:val="13"/>
          <w:color w:val="auto"/>
        </w:rPr>
        <w:t>Continued</w:t>
      </w:r>
    </w:p>
    <w:p>
      <w:pPr>
        <w:spacing w:after="0" w:line="161"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271145</wp:posOffset>
            </wp:positionV>
            <wp:extent cx="730440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ectPr>
          <w:pgSz w:w="11900" w:h="16838" w:orient="portrait"/>
          <w:cols w:equalWidth="0" w:num="1">
            <w:col w:w="10239"/>
          </w:cols>
          <w:pgMar w:left="220" w:top="14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880"/>
        <w:spacing w:after="0"/>
        <w:rPr>
          <w:sz w:val="20"/>
          <w:szCs w:val="20"/>
          <w:color w:val="auto"/>
        </w:rPr>
      </w:pPr>
      <w:r>
        <w:rPr>
          <w:rFonts w:ascii="Courier New" w:cs="Courier New" w:eastAsia="Courier New" w:hAnsi="Courier New"/>
          <w:sz w:val="13"/>
          <w:szCs w:val="13"/>
          <w:b w:val="1"/>
          <w:bCs w:val="1"/>
          <w:color w:val="auto"/>
        </w:rPr>
        <w:t>NN, Inc.</w:t>
      </w:r>
    </w:p>
    <w:p>
      <w:pPr>
        <w:sectPr>
          <w:pgSz w:w="11900" w:h="16838" w:orient="portrait"/>
          <w:cols w:equalWidth="0" w:num="1">
            <w:col w:w="10239"/>
          </w:cols>
          <w:pgMar w:left="220" w:top="141" w:right="1440" w:bottom="0" w:gutter="0" w:footer="0" w:header="0"/>
          <w:type w:val="continuous"/>
        </w:sectPr>
      </w:pPr>
    </w:p>
    <w:bookmarkStart w:id="23" w:name="page24"/>
    <w:bookmarkEnd w:id="23"/>
    <w:p>
      <w:pPr>
        <w:jc w:val="center"/>
        <w:ind w:right="4379"/>
        <w:spacing w:after="0"/>
        <w:rPr>
          <w:sz w:val="20"/>
          <w:szCs w:val="20"/>
          <w:color w:val="auto"/>
        </w:rPr>
      </w:pPr>
      <w:r>
        <w:rPr>
          <w:rFonts w:ascii="Courier New" w:cs="Courier New" w:eastAsia="Courier New" w:hAnsi="Courier New"/>
          <w:sz w:val="13"/>
          <w:szCs w:val="13"/>
          <w:b w:val="1"/>
          <w:bCs w:val="1"/>
          <w:color w:val="auto"/>
        </w:rPr>
        <w:t>Notes to Consolidated Financial Statements</w:t>
      </w:r>
    </w:p>
    <w:p>
      <w:pPr>
        <w:spacing w:after="0" w:line="7" w:lineRule="exact"/>
        <w:rPr>
          <w:sz w:val="20"/>
          <w:szCs w:val="20"/>
          <w:color w:val="auto"/>
        </w:rPr>
      </w:pPr>
    </w:p>
    <w:p>
      <w:pPr>
        <w:ind w:left="1360"/>
        <w:spacing w:after="0"/>
        <w:rPr>
          <w:sz w:val="20"/>
          <w:szCs w:val="20"/>
          <w:color w:val="auto"/>
        </w:rPr>
      </w:pPr>
      <w:r>
        <w:rPr>
          <w:rFonts w:ascii="Courier New" w:cs="Courier New" w:eastAsia="Courier New" w:hAnsi="Courier New"/>
          <w:sz w:val="13"/>
          <w:szCs w:val="13"/>
          <w:b w:val="1"/>
          <w:bCs w:val="1"/>
          <w:color w:val="auto"/>
        </w:rPr>
        <w:t>December 31, 2002, 2001 and 2000</w:t>
      </w:r>
    </w:p>
    <w:p>
      <w:pPr>
        <w:spacing w:after="0" w:line="7" w:lineRule="exact"/>
        <w:rPr>
          <w:sz w:val="20"/>
          <w:szCs w:val="20"/>
          <w:color w:val="auto"/>
        </w:rPr>
      </w:pPr>
    </w:p>
    <w:p>
      <w:pPr>
        <w:ind w:left="1200"/>
        <w:spacing w:after="0"/>
        <w:rPr>
          <w:sz w:val="20"/>
          <w:szCs w:val="20"/>
          <w:color w:val="auto"/>
        </w:rPr>
      </w:pPr>
      <w:r>
        <w:rPr>
          <w:rFonts w:ascii="Courier New" w:cs="Courier New" w:eastAsia="Courier New" w:hAnsi="Courier New"/>
          <w:sz w:val="13"/>
          <w:szCs w:val="13"/>
          <w:b w:val="1"/>
          <w:bCs w:val="1"/>
          <w:color w:val="auto"/>
        </w:rPr>
        <w:t>(In thousands, except per share data)</w:t>
      </w:r>
    </w:p>
    <w:p>
      <w:pPr>
        <w:spacing w:after="0" w:line="200" w:lineRule="exact"/>
        <w:rPr>
          <w:sz w:val="20"/>
          <w:szCs w:val="20"/>
          <w:color w:val="auto"/>
        </w:rPr>
      </w:pPr>
    </w:p>
    <w:p>
      <w:pPr>
        <w:spacing w:after="0" w:line="270" w:lineRule="exact"/>
        <w:rPr>
          <w:sz w:val="20"/>
          <w:szCs w:val="20"/>
          <w:color w:val="auto"/>
        </w:rPr>
      </w:pPr>
    </w:p>
    <w:p>
      <w:pPr>
        <w:ind w:left="560" w:right="3899"/>
        <w:spacing w:after="0" w:line="252" w:lineRule="auto"/>
        <w:rPr>
          <w:sz w:val="20"/>
          <w:szCs w:val="20"/>
          <w:color w:val="auto"/>
        </w:rPr>
      </w:pPr>
      <w:r>
        <w:rPr>
          <w:rFonts w:ascii="Courier New" w:cs="Courier New" w:eastAsia="Courier New" w:hAnsi="Courier New"/>
          <w:sz w:val="13"/>
          <w:szCs w:val="13"/>
          <w:color w:val="auto"/>
        </w:rPr>
        <w:t>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53" w:lineRule="exact"/>
        <w:rPr>
          <w:sz w:val="20"/>
          <w:szCs w:val="20"/>
          <w:color w:val="auto"/>
        </w:rPr>
      </w:pPr>
    </w:p>
    <w:p>
      <w:pPr>
        <w:ind w:left="560" w:hanging="556"/>
        <w:spacing w:after="0"/>
        <w:tabs>
          <w:tab w:leader="none" w:pos="560" w:val="left"/>
        </w:tabs>
        <w:numPr>
          <w:ilvl w:val="0"/>
          <w:numId w:val="6"/>
        </w:numPr>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b w:val="1"/>
          <w:bCs w:val="1"/>
          <w:i w:val="1"/>
          <w:iCs w:val="1"/>
          <w:color w:val="auto"/>
        </w:rPr>
        <w:t>Net Income Per Common Share</w:t>
      </w:r>
    </w:p>
    <w:p>
      <w:pPr>
        <w:spacing w:after="0" w:line="161" w:lineRule="exact"/>
        <w:rPr>
          <w:rFonts w:ascii="Courier New" w:cs="Courier New" w:eastAsia="Courier New" w:hAnsi="Courier New"/>
          <w:sz w:val="13"/>
          <w:szCs w:val="13"/>
          <w:b w:val="1"/>
          <w:bCs w:val="1"/>
          <w:i w:val="1"/>
          <w:iCs w:val="1"/>
          <w:color w:val="auto"/>
        </w:rPr>
      </w:pPr>
    </w:p>
    <w:p>
      <w:pPr>
        <w:ind w:left="560" w:right="3899"/>
        <w:spacing w:after="0" w:line="252" w:lineRule="auto"/>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color w:val="auto"/>
        </w:rPr>
        <w:t>Basic earnings per share reflect reported earnings divided by the weighted average number of common shares outstanding. Diluted earnings per share include the effect of dilutive stock options outstanding during the year.</w:t>
      </w:r>
    </w:p>
    <w:p>
      <w:pPr>
        <w:spacing w:after="0" w:line="152" w:lineRule="exact"/>
        <w:rPr>
          <w:rFonts w:ascii="Courier New" w:cs="Courier New" w:eastAsia="Courier New" w:hAnsi="Courier New"/>
          <w:sz w:val="13"/>
          <w:szCs w:val="13"/>
          <w:b w:val="1"/>
          <w:bCs w:val="1"/>
          <w:i w:val="1"/>
          <w:iCs w:val="1"/>
          <w:color w:val="auto"/>
        </w:rPr>
      </w:pPr>
    </w:p>
    <w:p>
      <w:pPr>
        <w:ind w:left="560" w:hanging="556"/>
        <w:spacing w:after="0"/>
        <w:tabs>
          <w:tab w:leader="none" w:pos="560" w:val="left"/>
        </w:tabs>
        <w:numPr>
          <w:ilvl w:val="0"/>
          <w:numId w:val="6"/>
        </w:numPr>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b w:val="1"/>
          <w:bCs w:val="1"/>
          <w:i w:val="1"/>
          <w:iCs w:val="1"/>
          <w:color w:val="auto"/>
        </w:rPr>
        <w:t>Stock Incentive Plan</w:t>
      </w:r>
    </w:p>
    <w:p>
      <w:pPr>
        <w:spacing w:after="0" w:line="161" w:lineRule="exact"/>
        <w:rPr>
          <w:rFonts w:ascii="Courier New" w:cs="Courier New" w:eastAsia="Courier New" w:hAnsi="Courier New"/>
          <w:sz w:val="13"/>
          <w:szCs w:val="13"/>
          <w:b w:val="1"/>
          <w:bCs w:val="1"/>
          <w:i w:val="1"/>
          <w:iCs w:val="1"/>
          <w:color w:val="auto"/>
        </w:rPr>
      </w:pPr>
    </w:p>
    <w:p>
      <w:pPr>
        <w:ind w:left="560" w:right="3819"/>
        <w:spacing w:after="0" w:line="251" w:lineRule="auto"/>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color w:val="auto"/>
        </w:rPr>
        <w:t>The Company applies the intrinsic value-based method of accounting prescribed by Accounting Principles Board ("APB") Opinion No. 25, "Accounting for Stock Issued to Employees," and related interpretations including Financial Accounting Standards Board (FASB) Interpretation No. 44, "Accounting for Certain Transactions involving Stock Compensation (an interpretation of APB Opinion No. 25)" issued in March 2000, to account for its fixed plan stock options. Under this method, compensation expense is recorded on the date of grant only if the current market price of the underlying stock exceeds the exercise price. The Company also applies the provision of APB Opinion No. 25 to its variable stock options. Statement of Financial Accounting Standards (SFAS) No. 123, "Accounting for Stock-Based Compensation," established accounting and disclosure requirements using a fair value-based method of accounting for stock-based employee compensation plans. As allowed by SFAS No. 123, the Company has elected to continue to apply the intrinsic value-based method of accounting described above, and has adopted the disclosure requirements of SFAS No. 123 and SFAS No. 148.</w:t>
      </w:r>
    </w:p>
    <w:p>
      <w:pPr>
        <w:spacing w:after="0" w:line="157" w:lineRule="exact"/>
        <w:rPr>
          <w:rFonts w:ascii="Courier New" w:cs="Courier New" w:eastAsia="Courier New" w:hAnsi="Courier New"/>
          <w:sz w:val="13"/>
          <w:szCs w:val="13"/>
          <w:b w:val="1"/>
          <w:bCs w:val="1"/>
          <w:i w:val="1"/>
          <w:iCs w:val="1"/>
          <w:color w:val="auto"/>
        </w:rPr>
      </w:pPr>
    </w:p>
    <w:p>
      <w:pPr>
        <w:ind w:left="560" w:hanging="556"/>
        <w:spacing w:after="0"/>
        <w:tabs>
          <w:tab w:leader="none" w:pos="560" w:val="left"/>
        </w:tabs>
        <w:numPr>
          <w:ilvl w:val="0"/>
          <w:numId w:val="6"/>
        </w:numPr>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b w:val="1"/>
          <w:bCs w:val="1"/>
          <w:i w:val="1"/>
          <w:iCs w:val="1"/>
          <w:color w:val="auto"/>
        </w:rPr>
        <w:t>Principles of Consolidation</w:t>
      </w:r>
    </w:p>
    <w:p>
      <w:pPr>
        <w:spacing w:after="0" w:line="161" w:lineRule="exact"/>
        <w:rPr>
          <w:rFonts w:ascii="Courier New" w:cs="Courier New" w:eastAsia="Courier New" w:hAnsi="Courier New"/>
          <w:sz w:val="13"/>
          <w:szCs w:val="13"/>
          <w:b w:val="1"/>
          <w:bCs w:val="1"/>
          <w:i w:val="1"/>
          <w:iCs w:val="1"/>
          <w:color w:val="auto"/>
        </w:rPr>
      </w:pPr>
    </w:p>
    <w:p>
      <w:pPr>
        <w:ind w:left="560" w:right="3819"/>
        <w:spacing w:after="0" w:line="251" w:lineRule="auto"/>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color w:val="auto"/>
        </w:rPr>
        <w:t>The Company's consolidated financial statements include the accounts of NN, Inc. and subsidiaries in which the Company owns more than 50% voting interest. Unconsolidated subsidiaries and investments where ownership is between 20% and 50% are accounted for under the equity method. All significant intercompany profits, transactions, and balances have been eliminated in consolidation. The ownership interests of other shareholders in companies that are more than 50% owned, but less than 100% owned by the Company, are reflected as minority interests. Minority interest represents the minority shareholders interest of NN Euroball ApS and NN Arte.</w:t>
      </w:r>
    </w:p>
    <w:p>
      <w:pPr>
        <w:spacing w:after="0" w:line="156" w:lineRule="exact"/>
        <w:rPr>
          <w:rFonts w:ascii="Courier New" w:cs="Courier New" w:eastAsia="Courier New" w:hAnsi="Courier New"/>
          <w:sz w:val="13"/>
          <w:szCs w:val="13"/>
          <w:b w:val="1"/>
          <w:bCs w:val="1"/>
          <w:i w:val="1"/>
          <w:iCs w:val="1"/>
          <w:color w:val="auto"/>
        </w:rPr>
      </w:pPr>
    </w:p>
    <w:p>
      <w:pPr>
        <w:ind w:left="560" w:hanging="556"/>
        <w:spacing w:after="0"/>
        <w:tabs>
          <w:tab w:leader="none" w:pos="560" w:val="left"/>
        </w:tabs>
        <w:numPr>
          <w:ilvl w:val="0"/>
          <w:numId w:val="6"/>
        </w:numPr>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b w:val="1"/>
          <w:bCs w:val="1"/>
          <w:i w:val="1"/>
          <w:iCs w:val="1"/>
          <w:color w:val="auto"/>
        </w:rPr>
        <w:t>Foreign Currency Translation</w:t>
      </w:r>
    </w:p>
    <w:p>
      <w:pPr>
        <w:spacing w:after="0" w:line="161" w:lineRule="exact"/>
        <w:rPr>
          <w:rFonts w:ascii="Courier New" w:cs="Courier New" w:eastAsia="Courier New" w:hAnsi="Courier New"/>
          <w:sz w:val="13"/>
          <w:szCs w:val="13"/>
          <w:b w:val="1"/>
          <w:bCs w:val="1"/>
          <w:i w:val="1"/>
          <w:iCs w:val="1"/>
          <w:color w:val="auto"/>
        </w:rPr>
      </w:pPr>
    </w:p>
    <w:p>
      <w:pPr>
        <w:ind w:left="560" w:right="3979"/>
        <w:spacing w:after="0" w:line="252" w:lineRule="auto"/>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color w:val="auto"/>
        </w:rPr>
        <w:t>Assets and liabilities of the Company's foreign subsidiary are translated at current exchange rates, while revenue and expenses are translated at average rates prevailing during the year. Translation adjustments are reported as a component of other comprehensive income.</w:t>
      </w:r>
    </w:p>
    <w:p>
      <w:pPr>
        <w:spacing w:after="0" w:line="152" w:lineRule="exact"/>
        <w:rPr>
          <w:rFonts w:ascii="Courier New" w:cs="Courier New" w:eastAsia="Courier New" w:hAnsi="Courier New"/>
          <w:sz w:val="13"/>
          <w:szCs w:val="13"/>
          <w:b w:val="1"/>
          <w:bCs w:val="1"/>
          <w:i w:val="1"/>
          <w:iCs w:val="1"/>
          <w:color w:val="auto"/>
        </w:rPr>
      </w:pPr>
    </w:p>
    <w:p>
      <w:pPr>
        <w:ind w:left="560" w:hanging="556"/>
        <w:spacing w:after="0"/>
        <w:tabs>
          <w:tab w:leader="none" w:pos="560" w:val="left"/>
        </w:tabs>
        <w:numPr>
          <w:ilvl w:val="0"/>
          <w:numId w:val="6"/>
        </w:numPr>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b w:val="1"/>
          <w:bCs w:val="1"/>
          <w:i w:val="1"/>
          <w:iCs w:val="1"/>
          <w:color w:val="auto"/>
        </w:rPr>
        <w:t>Goodwill</w:t>
      </w:r>
    </w:p>
    <w:p>
      <w:pPr>
        <w:spacing w:after="0" w:line="161" w:lineRule="exact"/>
        <w:rPr>
          <w:rFonts w:ascii="Courier New" w:cs="Courier New" w:eastAsia="Courier New" w:hAnsi="Courier New"/>
          <w:sz w:val="13"/>
          <w:szCs w:val="13"/>
          <w:b w:val="1"/>
          <w:bCs w:val="1"/>
          <w:i w:val="1"/>
          <w:iCs w:val="1"/>
          <w:color w:val="auto"/>
        </w:rPr>
      </w:pPr>
    </w:p>
    <w:p>
      <w:pPr>
        <w:ind w:left="560" w:right="3899"/>
        <w:spacing w:after="0" w:line="251" w:lineRule="auto"/>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color w:val="auto"/>
        </w:rPr>
        <w:t>In June 2001, the FASB issued Statement of Financial Accounting Standards No. 141, "Business Combinations" (Statement No. 141), and Statement of Financial Accounting Standards No. 142, "Goodwill and Other Intangible Assets" (Statement No. 142). Statement No. 141 requires that the purchase method of accounting be used for all business combinations initiated after June 30, 2001. Statement No. 141 also specifies criteria that intangible assets acquired in a purchase method business combination must meet to be recognized and reported apart from goodwill. Statement No. 142 requires that goodwill and intangible assets with indefinite useful lives no longer be amortized, but rather, periodically tested for impairment. The effective date of Statement No. 142 is January 1, 2002. As of the date of adoption, the Company had unamortized goodwill of approximately $40.3 million, which is subject to the provisions of Statement No. 142.</w:t>
      </w:r>
    </w:p>
    <w:p>
      <w:pPr>
        <w:spacing w:after="0" w:line="157" w:lineRule="exact"/>
        <w:rPr>
          <w:rFonts w:ascii="Courier New" w:cs="Courier New" w:eastAsia="Courier New" w:hAnsi="Courier New"/>
          <w:sz w:val="13"/>
          <w:szCs w:val="13"/>
          <w:b w:val="1"/>
          <w:bCs w:val="1"/>
          <w:i w:val="1"/>
          <w:iCs w:val="1"/>
          <w:color w:val="auto"/>
        </w:rPr>
      </w:pPr>
    </w:p>
    <w:p>
      <w:pPr>
        <w:ind w:left="560" w:right="3899"/>
        <w:spacing w:after="0" w:line="253" w:lineRule="auto"/>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color w:val="auto"/>
        </w:rPr>
        <w:t>As a result of adopting these new standards, the Company's accounting policies for goodwill and other intangibles changed on January 1, 2002, as described below:</w:t>
      </w:r>
    </w:p>
    <w:p>
      <w:pPr>
        <w:spacing w:after="0" w:line="151" w:lineRule="exact"/>
        <w:rPr>
          <w:rFonts w:ascii="Courier New" w:cs="Courier New" w:eastAsia="Courier New" w:hAnsi="Courier New"/>
          <w:sz w:val="13"/>
          <w:szCs w:val="13"/>
          <w:b w:val="1"/>
          <w:bCs w:val="1"/>
          <w:i w:val="1"/>
          <w:iCs w:val="1"/>
          <w:color w:val="auto"/>
        </w:rPr>
      </w:pPr>
    </w:p>
    <w:p>
      <w:pPr>
        <w:ind w:left="560" w:right="3819"/>
        <w:spacing w:after="0" w:line="251" w:lineRule="auto"/>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color w:val="auto"/>
        </w:rPr>
        <w:t>Goodwill: The Company recognized the excess of the purchase price of an acquired entity over the fair value of the net identifiable assets as goodwill. Goodwill is tested for impairment on an annual basis and between annual tests in certain circumstances.</w:t>
      </w:r>
    </w:p>
    <w:p>
      <w:pPr>
        <w:ind w:left="560" w:right="3979"/>
        <w:spacing w:after="0" w:line="254" w:lineRule="auto"/>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color w:val="auto"/>
        </w:rPr>
        <w:t>Impairment losses are recognized whenever the implied fair value of</w:t>
      </w:r>
    </w:p>
    <w:p>
      <w:pPr>
        <w:spacing w:after="0" w:line="151" w:lineRule="exact"/>
        <w:rPr>
          <w:sz w:val="20"/>
          <w:szCs w:val="20"/>
          <w:color w:val="auto"/>
        </w:rPr>
      </w:pPr>
    </w:p>
    <w:p>
      <w:pPr>
        <w:jc w:val="right"/>
        <w:ind w:right="3819"/>
        <w:spacing w:after="0"/>
        <w:rPr>
          <w:sz w:val="20"/>
          <w:szCs w:val="20"/>
          <w:color w:val="auto"/>
        </w:rPr>
      </w:pPr>
      <w:r>
        <w:rPr>
          <w:rFonts w:ascii="Courier New" w:cs="Courier New" w:eastAsia="Courier New" w:hAnsi="Courier New"/>
          <w:sz w:val="13"/>
          <w:szCs w:val="13"/>
          <w:color w:val="auto"/>
        </w:rPr>
        <w:t>Continued</w:t>
      </w:r>
    </w:p>
    <w:p>
      <w:pPr>
        <w:spacing w:after="0" w:line="161" w:lineRule="exact"/>
        <w:rPr>
          <w:sz w:val="20"/>
          <w:szCs w:val="20"/>
          <w:color w:val="auto"/>
        </w:rPr>
      </w:pPr>
    </w:p>
    <w:p>
      <w:pPr>
        <w:ind w:left="2560"/>
        <w:spacing w:after="0"/>
        <w:rPr>
          <w:sz w:val="20"/>
          <w:szCs w:val="20"/>
          <w:color w:val="auto"/>
        </w:rPr>
      </w:pPr>
      <w:r>
        <w:rPr>
          <w:rFonts w:ascii="Courier New" w:cs="Courier New" w:eastAsia="Courier New" w:hAnsi="Courier New"/>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173355</wp:posOffset>
            </wp:positionV>
            <wp:extent cx="730440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3"/>
          <w:szCs w:val="13"/>
          <w:b w:val="1"/>
          <w:bCs w:val="1"/>
          <w:color w:val="auto"/>
        </w:rPr>
        <w:t>NN, Inc.</w:t>
      </w:r>
    </w:p>
    <w:p>
      <w:pPr>
        <w:spacing w:after="0" w:line="7"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3"/>
          <w:szCs w:val="13"/>
          <w:b w:val="1"/>
          <w:bCs w:val="1"/>
          <w:color w:val="auto"/>
        </w:rPr>
        <w:t>Notes to Consolidated Financial Statements</w:t>
      </w:r>
    </w:p>
    <w:p>
      <w:pPr>
        <w:spacing w:after="0" w:line="7" w:lineRule="exact"/>
        <w:rPr>
          <w:sz w:val="20"/>
          <w:szCs w:val="20"/>
          <w:color w:val="auto"/>
        </w:rPr>
      </w:pPr>
    </w:p>
    <w:p>
      <w:pPr>
        <w:ind w:left="1360"/>
        <w:spacing w:after="0"/>
        <w:rPr>
          <w:sz w:val="20"/>
          <w:szCs w:val="20"/>
          <w:color w:val="auto"/>
        </w:rPr>
      </w:pPr>
      <w:r>
        <w:rPr>
          <w:rFonts w:ascii="Courier New" w:cs="Courier New" w:eastAsia="Courier New" w:hAnsi="Courier New"/>
          <w:sz w:val="13"/>
          <w:szCs w:val="13"/>
          <w:b w:val="1"/>
          <w:bCs w:val="1"/>
          <w:color w:val="auto"/>
        </w:rPr>
        <w:t>December 31, 2002, 2001 and 2000</w:t>
      </w:r>
    </w:p>
    <w:p>
      <w:pPr>
        <w:spacing w:after="0" w:line="7" w:lineRule="exact"/>
        <w:rPr>
          <w:sz w:val="20"/>
          <w:szCs w:val="20"/>
          <w:color w:val="auto"/>
        </w:rPr>
      </w:pPr>
    </w:p>
    <w:p>
      <w:pPr>
        <w:ind w:left="1200"/>
        <w:spacing w:after="0"/>
        <w:rPr>
          <w:sz w:val="20"/>
          <w:szCs w:val="20"/>
          <w:color w:val="auto"/>
        </w:rPr>
      </w:pPr>
      <w:r>
        <w:rPr>
          <w:rFonts w:ascii="Courier New" w:cs="Courier New" w:eastAsia="Courier New" w:hAnsi="Courier New"/>
          <w:sz w:val="13"/>
          <w:szCs w:val="13"/>
          <w:b w:val="1"/>
          <w:bCs w:val="1"/>
          <w:color w:val="auto"/>
        </w:rPr>
        <w:t>(In thousands, except per share data)</w:t>
      </w:r>
    </w:p>
    <w:p>
      <w:pPr>
        <w:spacing w:after="0" w:line="315" w:lineRule="exact"/>
        <w:rPr>
          <w:sz w:val="20"/>
          <w:szCs w:val="20"/>
          <w:color w:val="auto"/>
        </w:rPr>
      </w:pPr>
    </w:p>
    <w:p>
      <w:pPr>
        <w:ind w:left="560" w:right="3979"/>
        <w:spacing w:after="0" w:line="253" w:lineRule="auto"/>
        <w:rPr>
          <w:sz w:val="20"/>
          <w:szCs w:val="20"/>
          <w:color w:val="auto"/>
        </w:rPr>
      </w:pPr>
      <w:r>
        <w:rPr>
          <w:rFonts w:ascii="Courier New" w:cs="Courier New" w:eastAsia="Courier New" w:hAnsi="Courier New"/>
          <w:sz w:val="13"/>
          <w:szCs w:val="13"/>
          <w:color w:val="auto"/>
        </w:rPr>
        <w:t>goodwill is less than its carrying value. Prior to January 1, 2002, goodwill was amortized over a twenty-year period using the straight-line method. Beginning January 1, 2002, goodwill is no</w:t>
      </w:r>
    </w:p>
    <w:p>
      <w:pPr>
        <w:sectPr>
          <w:pgSz w:w="11900" w:h="16838" w:orient="portrait"/>
          <w:cols w:equalWidth="0" w:num="1">
            <w:col w:w="9679"/>
          </w:cols>
          <w:pgMar w:left="780" w:top="141" w:right="1440" w:bottom="0" w:gutter="0" w:footer="0" w:header="0"/>
        </w:sectPr>
      </w:pPr>
    </w:p>
    <w:bookmarkStart w:id="24" w:name="page25"/>
    <w:bookmarkEnd w:id="24"/>
    <w:p>
      <w:pPr>
        <w:ind w:left="560"/>
        <w:spacing w:after="0"/>
        <w:rPr>
          <w:sz w:val="20"/>
          <w:szCs w:val="20"/>
          <w:color w:val="auto"/>
        </w:rPr>
      </w:pPr>
      <w:r>
        <w:rPr>
          <w:rFonts w:ascii="Courier New" w:cs="Courier New" w:eastAsia="Courier New" w:hAnsi="Courier New"/>
          <w:sz w:val="13"/>
          <w:szCs w:val="13"/>
          <w:color w:val="auto"/>
        </w:rPr>
        <w:t>longer amortized.</w:t>
      </w:r>
    </w:p>
    <w:p>
      <w:pPr>
        <w:spacing w:after="0" w:line="161" w:lineRule="exact"/>
        <w:rPr>
          <w:sz w:val="20"/>
          <w:szCs w:val="20"/>
          <w:color w:val="auto"/>
        </w:rPr>
      </w:pPr>
    </w:p>
    <w:p>
      <w:pPr>
        <w:ind w:left="560" w:right="4080"/>
        <w:spacing w:after="0" w:line="251" w:lineRule="auto"/>
        <w:rPr>
          <w:sz w:val="20"/>
          <w:szCs w:val="20"/>
          <w:color w:val="auto"/>
        </w:rPr>
      </w:pPr>
      <w:r>
        <w:rPr>
          <w:rFonts w:ascii="Courier New" w:cs="Courier New" w:eastAsia="Courier New" w:hAnsi="Courier New"/>
          <w:sz w:val="13"/>
          <w:szCs w:val="13"/>
          <w:color w:val="auto"/>
        </w:rPr>
        <w:t>Other Acquired Intangibles: The Company recognizes an acquired intangible asset apart from goodwill whenever the asset arises from contractual or other legal rights, or whenever it is capable of being divided or separated from the acquired entity or sold, transferred, licensed, rented, or exchanged, whether individually or in combination with a related contract, asset or liability. An intangible asset other than goodwill is amortized over its estimated useful life unless that life is determined to be indefinite. The Company will review the lives of intangible assets each reporting period and, if necessary, recognize impairment losses if the carrying amount of an intangible asset subject to amortization is not recoverable from expected future cash flows and its carrying amount exceeds its fair value.</w:t>
      </w:r>
    </w:p>
    <w:p>
      <w:pPr>
        <w:spacing w:after="0" w:line="157" w:lineRule="exact"/>
        <w:rPr>
          <w:sz w:val="20"/>
          <w:szCs w:val="20"/>
          <w:color w:val="auto"/>
        </w:rPr>
      </w:pPr>
    </w:p>
    <w:p>
      <w:pPr>
        <w:ind w:left="560" w:right="4080"/>
        <w:spacing w:after="0" w:line="251" w:lineRule="auto"/>
        <w:rPr>
          <w:sz w:val="20"/>
          <w:szCs w:val="20"/>
          <w:color w:val="auto"/>
        </w:rPr>
      </w:pPr>
      <w:r>
        <w:rPr>
          <w:rFonts w:ascii="Courier New" w:cs="Courier New" w:eastAsia="Courier New" w:hAnsi="Courier New"/>
          <w:sz w:val="13"/>
          <w:szCs w:val="13"/>
          <w:color w:val="auto"/>
        </w:rPr>
        <w:t>The Company completed the transitional goodwill impairment reviews required by the new standards during the first six months of 2002 and the annually required goodwill impairment review during the fourth quarter of 2002. In performing the impairment reviews, the Company estimated the fair values of the reporting units using a method that incorporates valuations derived from EBITDA multiples based upon market multiples and recent capital market transactions and also incorporates valuations determined by each segment's discounted future cash flows. As of January 1, 2002, the transition day and as of October 1, 2002, the annual review date, there was no impairment to goodwill as the fair values exceeded the carrying values of the reporting units. As of December 31, 2002, the carrying amounts of goodwill by reporting units are as follows: $26.1 million for the Plastics Segment and $16.1 million for the Euroball Segment. Since the transition date, January 1, 2002, the increase in goodwill of $1.9 million is principally due to foreign currency translation adjustments at the Euroball Segment.</w:t>
      </w:r>
    </w:p>
    <w:p>
      <w:pPr>
        <w:spacing w:after="0" w:line="312"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The table below describes the impact of the amortization of</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goodwill for the three month and twelve month period ended</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December 31, 2002, 2001 and 2000:</w:t>
      </w:r>
    </w:p>
    <w:p>
      <w:pPr>
        <w:spacing w:after="0" w:line="161"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2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Courier New" w:cs="Courier New" w:eastAsia="Courier New" w:hAnsi="Courier New"/>
                <w:sz w:val="13"/>
                <w:szCs w:val="13"/>
                <w:b w:val="1"/>
                <w:bCs w:val="1"/>
                <w:color w:val="auto"/>
              </w:rPr>
              <w:t>For the Three Months</w:t>
            </w:r>
          </w:p>
        </w:tc>
        <w:tc>
          <w:tcPr>
            <w:tcW w:w="1000" w:type="dxa"/>
            <w:vAlign w:val="bottom"/>
          </w:tcPr>
          <w:p>
            <w:pPr>
              <w:spacing w:after="0"/>
              <w:rPr>
                <w:sz w:val="12"/>
                <w:szCs w:val="12"/>
                <w:color w:val="auto"/>
              </w:rPr>
            </w:pPr>
          </w:p>
        </w:tc>
        <w:tc>
          <w:tcPr>
            <w:tcW w:w="3520" w:type="dxa"/>
            <w:vAlign w:val="bottom"/>
            <w:gridSpan w:val="3"/>
          </w:tcPr>
          <w:p>
            <w:pPr>
              <w:jc w:val="right"/>
              <w:ind w:right="813"/>
              <w:spacing w:after="0"/>
              <w:rPr>
                <w:sz w:val="20"/>
                <w:szCs w:val="20"/>
                <w:color w:val="auto"/>
              </w:rPr>
            </w:pPr>
            <w:r>
              <w:rPr>
                <w:rFonts w:ascii="Courier New" w:cs="Courier New" w:eastAsia="Courier New" w:hAnsi="Courier New"/>
                <w:sz w:val="13"/>
                <w:szCs w:val="13"/>
                <w:b w:val="1"/>
                <w:bCs w:val="1"/>
                <w:color w:val="auto"/>
              </w:rPr>
              <w:t>For the Twelve Months</w:t>
            </w:r>
          </w:p>
        </w:tc>
      </w:tr>
      <w:tr>
        <w:trPr>
          <w:trHeight w:val="154"/>
        </w:trPr>
        <w:tc>
          <w:tcPr>
            <w:tcW w:w="2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Courier New" w:cs="Courier New" w:eastAsia="Courier New" w:hAnsi="Courier New"/>
                <w:sz w:val="13"/>
                <w:szCs w:val="13"/>
                <w:b w:val="1"/>
                <w:bCs w:val="1"/>
                <w:color w:val="auto"/>
              </w:rPr>
              <w:t>Ended December 31,</w:t>
            </w:r>
          </w:p>
        </w:tc>
        <w:tc>
          <w:tcPr>
            <w:tcW w:w="1000" w:type="dxa"/>
            <w:vAlign w:val="bottom"/>
          </w:tcPr>
          <w:p>
            <w:pPr>
              <w:spacing w:after="0"/>
              <w:rPr>
                <w:sz w:val="13"/>
                <w:szCs w:val="13"/>
                <w:color w:val="auto"/>
              </w:rPr>
            </w:pPr>
          </w:p>
        </w:tc>
        <w:tc>
          <w:tcPr>
            <w:tcW w:w="2520" w:type="dxa"/>
            <w:vAlign w:val="bottom"/>
            <w:gridSpan w:val="2"/>
          </w:tcPr>
          <w:p>
            <w:pPr>
              <w:jc w:val="right"/>
              <w:spacing w:after="0"/>
              <w:rPr>
                <w:sz w:val="20"/>
                <w:szCs w:val="20"/>
                <w:color w:val="auto"/>
              </w:rPr>
            </w:pPr>
            <w:r>
              <w:rPr>
                <w:rFonts w:ascii="Courier New" w:cs="Courier New" w:eastAsia="Courier New" w:hAnsi="Courier New"/>
                <w:sz w:val="13"/>
                <w:szCs w:val="13"/>
                <w:b w:val="1"/>
                <w:bCs w:val="1"/>
                <w:color w:val="auto"/>
              </w:rPr>
              <w:t>Ended December 31,</w:t>
            </w:r>
          </w:p>
        </w:tc>
        <w:tc>
          <w:tcPr>
            <w:tcW w:w="1000" w:type="dxa"/>
            <w:vAlign w:val="bottom"/>
          </w:tcPr>
          <w:p>
            <w:pPr>
              <w:spacing w:after="0"/>
              <w:rPr>
                <w:sz w:val="13"/>
                <w:szCs w:val="13"/>
                <w:color w:val="auto"/>
              </w:rPr>
            </w:pPr>
          </w:p>
        </w:tc>
      </w:tr>
      <w:tr>
        <w:trPr>
          <w:trHeight w:val="154"/>
        </w:trPr>
        <w:tc>
          <w:tcPr>
            <w:tcW w:w="2380" w:type="dxa"/>
            <w:vAlign w:val="bottom"/>
          </w:tcPr>
          <w:p>
            <w:pPr>
              <w:spacing w:after="0"/>
              <w:rPr>
                <w:sz w:val="13"/>
                <w:szCs w:val="13"/>
                <w:color w:val="auto"/>
              </w:rPr>
            </w:pPr>
          </w:p>
        </w:tc>
        <w:tc>
          <w:tcPr>
            <w:tcW w:w="1000" w:type="dxa"/>
            <w:vAlign w:val="bottom"/>
          </w:tcPr>
          <w:p>
            <w:pPr>
              <w:jc w:val="right"/>
              <w:ind w:right="253"/>
              <w:spacing w:after="0"/>
              <w:rPr>
                <w:sz w:val="20"/>
                <w:szCs w:val="20"/>
                <w:color w:val="auto"/>
              </w:rPr>
            </w:pPr>
            <w:r>
              <w:rPr>
                <w:rFonts w:ascii="Courier New" w:cs="Courier New" w:eastAsia="Courier New" w:hAnsi="Courier New"/>
                <w:sz w:val="13"/>
                <w:szCs w:val="13"/>
                <w:b w:val="1"/>
                <w:bCs w:val="1"/>
                <w:color w:val="auto"/>
              </w:rPr>
              <w:t>2002</w:t>
            </w:r>
          </w:p>
        </w:tc>
        <w:tc>
          <w:tcPr>
            <w:tcW w:w="1640" w:type="dxa"/>
            <w:vAlign w:val="bottom"/>
          </w:tcPr>
          <w:p>
            <w:pPr>
              <w:jc w:val="center"/>
              <w:spacing w:after="0"/>
              <w:rPr>
                <w:sz w:val="20"/>
                <w:szCs w:val="20"/>
                <w:color w:val="auto"/>
              </w:rPr>
            </w:pPr>
            <w:r>
              <w:rPr>
                <w:rFonts w:ascii="Courier New" w:cs="Courier New" w:eastAsia="Courier New" w:hAnsi="Courier New"/>
                <w:sz w:val="13"/>
                <w:szCs w:val="13"/>
                <w:b w:val="1"/>
                <w:bCs w:val="1"/>
                <w:color w:val="auto"/>
              </w:rPr>
              <w:t>2001</w:t>
            </w:r>
          </w:p>
        </w:tc>
        <w:tc>
          <w:tcPr>
            <w:tcW w:w="1000" w:type="dxa"/>
            <w:vAlign w:val="bottom"/>
          </w:tcPr>
          <w:p>
            <w:pPr>
              <w:jc w:val="right"/>
              <w:ind w:right="413"/>
              <w:spacing w:after="0"/>
              <w:rPr>
                <w:sz w:val="20"/>
                <w:szCs w:val="20"/>
                <w:color w:val="auto"/>
              </w:rPr>
            </w:pPr>
            <w:r>
              <w:rPr>
                <w:rFonts w:ascii="Courier New" w:cs="Courier New" w:eastAsia="Courier New" w:hAnsi="Courier New"/>
                <w:sz w:val="13"/>
                <w:szCs w:val="13"/>
                <w:b w:val="1"/>
                <w:bCs w:val="1"/>
                <w:color w:val="auto"/>
              </w:rPr>
              <w:t>2000</w:t>
            </w:r>
          </w:p>
        </w:tc>
        <w:tc>
          <w:tcPr>
            <w:tcW w:w="1280" w:type="dxa"/>
            <w:vAlign w:val="bottom"/>
          </w:tcPr>
          <w:p>
            <w:pPr>
              <w:jc w:val="right"/>
              <w:ind w:right="493"/>
              <w:spacing w:after="0"/>
              <w:rPr>
                <w:sz w:val="20"/>
                <w:szCs w:val="20"/>
                <w:color w:val="auto"/>
              </w:rPr>
            </w:pPr>
            <w:r>
              <w:rPr>
                <w:rFonts w:ascii="Courier New" w:cs="Courier New" w:eastAsia="Courier New" w:hAnsi="Courier New"/>
                <w:sz w:val="13"/>
                <w:szCs w:val="13"/>
                <w:b w:val="1"/>
                <w:bCs w:val="1"/>
                <w:color w:val="auto"/>
              </w:rPr>
              <w:t>2002</w:t>
            </w:r>
          </w:p>
        </w:tc>
        <w:tc>
          <w:tcPr>
            <w:tcW w:w="1240" w:type="dxa"/>
            <w:vAlign w:val="bottom"/>
          </w:tcPr>
          <w:p>
            <w:pPr>
              <w:jc w:val="right"/>
              <w:ind w:right="533"/>
              <w:spacing w:after="0"/>
              <w:rPr>
                <w:sz w:val="20"/>
                <w:szCs w:val="20"/>
                <w:color w:val="auto"/>
              </w:rPr>
            </w:pPr>
            <w:r>
              <w:rPr>
                <w:rFonts w:ascii="Courier New" w:cs="Courier New" w:eastAsia="Courier New" w:hAnsi="Courier New"/>
                <w:sz w:val="13"/>
                <w:szCs w:val="13"/>
                <w:b w:val="1"/>
                <w:bCs w:val="1"/>
                <w:color w:val="auto"/>
              </w:rPr>
              <w:t>2001</w:t>
            </w:r>
          </w:p>
        </w:tc>
        <w:tc>
          <w:tcPr>
            <w:tcW w:w="1000" w:type="dxa"/>
            <w:vAlign w:val="bottom"/>
          </w:tcPr>
          <w:p>
            <w:pPr>
              <w:jc w:val="right"/>
              <w:ind w:right="333"/>
              <w:spacing w:after="0"/>
              <w:rPr>
                <w:sz w:val="20"/>
                <w:szCs w:val="20"/>
                <w:color w:val="auto"/>
              </w:rPr>
            </w:pPr>
            <w:r>
              <w:rPr>
                <w:rFonts w:ascii="Courier New" w:cs="Courier New" w:eastAsia="Courier New" w:hAnsi="Courier New"/>
                <w:sz w:val="13"/>
                <w:szCs w:val="13"/>
                <w:b w:val="1"/>
                <w:bCs w:val="1"/>
                <w:color w:val="auto"/>
              </w:rPr>
              <w:t>2000</w:t>
            </w:r>
          </w:p>
        </w:tc>
      </w:tr>
      <w:tr>
        <w:trPr>
          <w:trHeight w:val="154"/>
        </w:trPr>
        <w:tc>
          <w:tcPr>
            <w:tcW w:w="23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w:t>
            </w:r>
          </w:p>
        </w:tc>
        <w:tc>
          <w:tcPr>
            <w:tcW w:w="1640" w:type="dxa"/>
            <w:vAlign w:val="bottom"/>
          </w:tcPr>
          <w:p>
            <w:pPr>
              <w:jc w:val="right"/>
              <w:ind w:right="293"/>
              <w:spacing w:after="0"/>
              <w:rPr>
                <w:sz w:val="20"/>
                <w:szCs w:val="20"/>
                <w:color w:val="auto"/>
              </w:rPr>
            </w:pPr>
            <w:r>
              <w:rPr>
                <w:rFonts w:ascii="Courier New" w:cs="Courier New" w:eastAsia="Courier New" w:hAnsi="Courier New"/>
                <w:sz w:val="13"/>
                <w:szCs w:val="13"/>
                <w:b w:val="1"/>
                <w:bCs w:val="1"/>
                <w:color w:val="auto"/>
              </w:rPr>
              <w:t>-----------</w:t>
            </w:r>
          </w:p>
        </w:tc>
        <w:tc>
          <w:tcPr>
            <w:tcW w:w="1000" w:type="dxa"/>
            <w:vAlign w:val="bottom"/>
          </w:tcPr>
          <w:p>
            <w:pPr>
              <w:jc w:val="right"/>
              <w:ind w:right="93"/>
              <w:spacing w:after="0"/>
              <w:rPr>
                <w:sz w:val="20"/>
                <w:szCs w:val="20"/>
                <w:color w:val="auto"/>
              </w:rPr>
            </w:pPr>
            <w:r>
              <w:rPr>
                <w:rFonts w:ascii="Courier New" w:cs="Courier New" w:eastAsia="Courier New" w:hAnsi="Courier New"/>
                <w:sz w:val="13"/>
                <w:szCs w:val="13"/>
                <w:b w:val="1"/>
                <w:bCs w:val="1"/>
                <w:color w:val="auto"/>
              </w:rPr>
              <w:t>----------</w:t>
            </w:r>
          </w:p>
        </w:tc>
        <w:tc>
          <w:tcPr>
            <w:tcW w:w="1280" w:type="dxa"/>
            <w:vAlign w:val="bottom"/>
          </w:tcPr>
          <w:p>
            <w:pPr>
              <w:jc w:val="right"/>
              <w:ind w:right="93"/>
              <w:spacing w:after="0"/>
              <w:rPr>
                <w:sz w:val="20"/>
                <w:szCs w:val="20"/>
                <w:color w:val="auto"/>
              </w:rPr>
            </w:pPr>
            <w:r>
              <w:rPr>
                <w:rFonts w:ascii="Courier New" w:cs="Courier New" w:eastAsia="Courier New" w:hAnsi="Courier New"/>
                <w:sz w:val="13"/>
                <w:szCs w:val="13"/>
                <w:b w:val="1"/>
                <w:bCs w:val="1"/>
                <w:color w:val="auto"/>
              </w:rPr>
              <w:t>------------</w:t>
            </w:r>
          </w:p>
        </w:tc>
        <w:tc>
          <w:tcPr>
            <w:tcW w:w="1240" w:type="dxa"/>
            <w:vAlign w:val="bottom"/>
          </w:tcPr>
          <w:p>
            <w:pPr>
              <w:jc w:val="right"/>
              <w:ind w:right="213"/>
              <w:spacing w:after="0"/>
              <w:rPr>
                <w:sz w:val="20"/>
                <w:szCs w:val="20"/>
                <w:color w:val="auto"/>
              </w:rPr>
            </w:pPr>
            <w:r>
              <w:rPr>
                <w:rFonts w:ascii="Courier New" w:cs="Courier New" w:eastAsia="Courier New" w:hAnsi="Courier New"/>
                <w:sz w:val="13"/>
                <w:szCs w:val="13"/>
                <w:b w:val="1"/>
                <w:bCs w:val="1"/>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w:t>
            </w:r>
          </w:p>
        </w:tc>
      </w:tr>
      <w:tr>
        <w:trPr>
          <w:trHeight w:val="154"/>
        </w:trPr>
        <w:tc>
          <w:tcPr>
            <w:tcW w:w="2380" w:type="dxa"/>
            <w:vAlign w:val="bottom"/>
          </w:tcPr>
          <w:p>
            <w:pPr>
              <w:spacing w:after="0"/>
              <w:rPr>
                <w:sz w:val="20"/>
                <w:szCs w:val="20"/>
                <w:color w:val="auto"/>
              </w:rPr>
            </w:pPr>
            <w:r>
              <w:rPr>
                <w:rFonts w:ascii="Courier New" w:cs="Courier New" w:eastAsia="Courier New" w:hAnsi="Courier New"/>
                <w:sz w:val="13"/>
                <w:szCs w:val="13"/>
                <w:color w:val="auto"/>
              </w:rPr>
              <w:t>Reported net income</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$7,289</w:t>
            </w:r>
          </w:p>
        </w:tc>
        <w:tc>
          <w:tcPr>
            <w:tcW w:w="1640" w:type="dxa"/>
            <w:vAlign w:val="bottom"/>
          </w:tcPr>
          <w:p>
            <w:pPr>
              <w:jc w:val="right"/>
              <w:ind w:right="373"/>
              <w:spacing w:after="0"/>
              <w:rPr>
                <w:sz w:val="20"/>
                <w:szCs w:val="20"/>
                <w:color w:val="auto"/>
              </w:rPr>
            </w:pPr>
            <w:r>
              <w:rPr>
                <w:rFonts w:ascii="Courier New" w:cs="Courier New" w:eastAsia="Courier New" w:hAnsi="Courier New"/>
                <w:sz w:val="13"/>
                <w:szCs w:val="13"/>
                <w:color w:val="auto"/>
              </w:rPr>
              <w:t>$(1,036)</w:t>
            </w:r>
          </w:p>
        </w:tc>
        <w:tc>
          <w:tcPr>
            <w:tcW w:w="10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$3,192</w:t>
            </w:r>
          </w:p>
        </w:tc>
        <w:tc>
          <w:tcPr>
            <w:tcW w:w="12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$13,664</w:t>
            </w:r>
          </w:p>
        </w:tc>
        <w:tc>
          <w:tcPr>
            <w:tcW w:w="124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$4,662</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$9,987</w:t>
            </w:r>
          </w:p>
        </w:tc>
      </w:tr>
      <w:tr>
        <w:trPr>
          <w:trHeight w:val="154"/>
        </w:trPr>
        <w:tc>
          <w:tcPr>
            <w:tcW w:w="2380" w:type="dxa"/>
            <w:vAlign w:val="bottom"/>
          </w:tcPr>
          <w:p>
            <w:pPr>
              <w:spacing w:after="0"/>
              <w:rPr>
                <w:sz w:val="20"/>
                <w:szCs w:val="20"/>
                <w:color w:val="auto"/>
              </w:rPr>
            </w:pPr>
            <w:r>
              <w:rPr>
                <w:rFonts w:ascii="Courier New" w:cs="Courier New" w:eastAsia="Courier New" w:hAnsi="Courier New"/>
                <w:sz w:val="13"/>
                <w:szCs w:val="13"/>
                <w:color w:val="auto"/>
              </w:rPr>
              <w:t>Add back:  Goodwill</w:t>
            </w:r>
          </w:p>
        </w:tc>
        <w:tc>
          <w:tcPr>
            <w:tcW w:w="10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4"/>
        </w:trPr>
        <w:tc>
          <w:tcPr>
            <w:tcW w:w="2380" w:type="dxa"/>
            <w:vAlign w:val="bottom"/>
          </w:tcPr>
          <w:p>
            <w:pPr>
              <w:ind w:left="240"/>
              <w:spacing w:after="0"/>
              <w:rPr>
                <w:sz w:val="20"/>
                <w:szCs w:val="20"/>
                <w:color w:val="auto"/>
              </w:rPr>
            </w:pPr>
            <w:r>
              <w:rPr>
                <w:rFonts w:ascii="Courier New" w:cs="Courier New" w:eastAsia="Courier New" w:hAnsi="Courier New"/>
                <w:sz w:val="13"/>
                <w:szCs w:val="13"/>
                <w:color w:val="auto"/>
              </w:rPr>
              <w:t>amortization, net of tax</w:t>
            </w:r>
          </w:p>
        </w:tc>
        <w:tc>
          <w:tcPr>
            <w:tcW w:w="10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4"/>
        </w:trPr>
        <w:tc>
          <w:tcPr>
            <w:tcW w:w="2380" w:type="dxa"/>
            <w:vAlign w:val="bottom"/>
          </w:tcPr>
          <w:p>
            <w:pPr>
              <w:ind w:left="240"/>
              <w:spacing w:after="0"/>
              <w:rPr>
                <w:sz w:val="20"/>
                <w:szCs w:val="20"/>
                <w:color w:val="auto"/>
              </w:rPr>
            </w:pPr>
            <w:r>
              <w:rPr>
                <w:rFonts w:ascii="Courier New" w:cs="Courier New" w:eastAsia="Courier New" w:hAnsi="Courier New"/>
                <w:sz w:val="13"/>
                <w:szCs w:val="13"/>
                <w:color w:val="auto"/>
              </w:rPr>
              <w:t>and minority interest</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640" w:type="dxa"/>
            <w:vAlign w:val="bottom"/>
          </w:tcPr>
          <w:p>
            <w:pPr>
              <w:jc w:val="right"/>
              <w:ind w:right="373"/>
              <w:spacing w:after="0"/>
              <w:rPr>
                <w:sz w:val="20"/>
                <w:szCs w:val="20"/>
                <w:color w:val="auto"/>
              </w:rPr>
            </w:pPr>
            <w:r>
              <w:rPr>
                <w:rFonts w:ascii="Courier New" w:cs="Courier New" w:eastAsia="Courier New" w:hAnsi="Courier New"/>
                <w:sz w:val="13"/>
                <w:szCs w:val="13"/>
                <w:color w:val="auto"/>
              </w:rPr>
              <w:t>272</w:t>
            </w:r>
          </w:p>
        </w:tc>
        <w:tc>
          <w:tcPr>
            <w:tcW w:w="10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138</w:t>
            </w:r>
          </w:p>
        </w:tc>
        <w:tc>
          <w:tcPr>
            <w:tcW w:w="12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124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983</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484</w:t>
            </w:r>
          </w:p>
        </w:tc>
      </w:tr>
      <w:tr>
        <w:trPr>
          <w:trHeight w:val="154"/>
        </w:trPr>
        <w:tc>
          <w:tcPr>
            <w:tcW w:w="23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64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2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24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2380" w:type="dxa"/>
            <w:vAlign w:val="bottom"/>
          </w:tcPr>
          <w:p>
            <w:pPr>
              <w:spacing w:after="0"/>
              <w:rPr>
                <w:sz w:val="20"/>
                <w:szCs w:val="20"/>
                <w:color w:val="auto"/>
              </w:rPr>
            </w:pPr>
            <w:r>
              <w:rPr>
                <w:rFonts w:ascii="Courier New" w:cs="Courier New" w:eastAsia="Courier New" w:hAnsi="Courier New"/>
                <w:sz w:val="13"/>
                <w:szCs w:val="13"/>
                <w:color w:val="auto"/>
              </w:rPr>
              <w:t>Pro-forma net income</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$7,289</w:t>
            </w:r>
          </w:p>
        </w:tc>
        <w:tc>
          <w:tcPr>
            <w:tcW w:w="1640" w:type="dxa"/>
            <w:vAlign w:val="bottom"/>
          </w:tcPr>
          <w:p>
            <w:pPr>
              <w:jc w:val="right"/>
              <w:ind w:right="373"/>
              <w:spacing w:after="0"/>
              <w:rPr>
                <w:sz w:val="20"/>
                <w:szCs w:val="20"/>
                <w:color w:val="auto"/>
              </w:rPr>
            </w:pPr>
            <w:r>
              <w:rPr>
                <w:rFonts w:ascii="Courier New" w:cs="Courier New" w:eastAsia="Courier New" w:hAnsi="Courier New"/>
                <w:sz w:val="13"/>
                <w:szCs w:val="13"/>
                <w:color w:val="auto"/>
              </w:rPr>
              <w:t>(764)</w:t>
            </w:r>
          </w:p>
        </w:tc>
        <w:tc>
          <w:tcPr>
            <w:tcW w:w="10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138</w:t>
            </w:r>
          </w:p>
        </w:tc>
        <w:tc>
          <w:tcPr>
            <w:tcW w:w="12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$13,664</w:t>
            </w:r>
          </w:p>
        </w:tc>
        <w:tc>
          <w:tcPr>
            <w:tcW w:w="124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$5,645</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$10,471</w:t>
            </w:r>
          </w:p>
        </w:tc>
      </w:tr>
      <w:tr>
        <w:trPr>
          <w:trHeight w:val="154"/>
        </w:trPr>
        <w:tc>
          <w:tcPr>
            <w:tcW w:w="23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64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2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24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2380" w:type="dxa"/>
            <w:vAlign w:val="bottom"/>
          </w:tcPr>
          <w:p>
            <w:pPr>
              <w:spacing w:after="0"/>
              <w:rPr>
                <w:sz w:val="20"/>
                <w:szCs w:val="20"/>
                <w:color w:val="auto"/>
              </w:rPr>
            </w:pPr>
            <w:r>
              <w:rPr>
                <w:rFonts w:ascii="Courier New" w:cs="Courier New" w:eastAsia="Courier New" w:hAnsi="Courier New"/>
                <w:sz w:val="13"/>
                <w:szCs w:val="13"/>
                <w:color w:val="auto"/>
              </w:rPr>
              <w:t>Basic earnings per share:</w:t>
            </w:r>
          </w:p>
        </w:tc>
        <w:tc>
          <w:tcPr>
            <w:tcW w:w="10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4"/>
        </w:trPr>
        <w:tc>
          <w:tcPr>
            <w:tcW w:w="2380" w:type="dxa"/>
            <w:vAlign w:val="bottom"/>
          </w:tcPr>
          <w:p>
            <w:pPr>
              <w:ind w:left="240"/>
              <w:spacing w:after="0"/>
              <w:rPr>
                <w:sz w:val="20"/>
                <w:szCs w:val="20"/>
                <w:color w:val="auto"/>
              </w:rPr>
            </w:pPr>
            <w:r>
              <w:rPr>
                <w:rFonts w:ascii="Courier New" w:cs="Courier New" w:eastAsia="Courier New" w:hAnsi="Courier New"/>
                <w:sz w:val="13"/>
                <w:szCs w:val="13"/>
                <w:color w:val="auto"/>
              </w:rPr>
              <w:t>Reported net income</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$0.47</w:t>
            </w:r>
          </w:p>
        </w:tc>
        <w:tc>
          <w:tcPr>
            <w:tcW w:w="1640" w:type="dxa"/>
            <w:vAlign w:val="bottom"/>
          </w:tcPr>
          <w:p>
            <w:pPr>
              <w:jc w:val="right"/>
              <w:ind w:right="373"/>
              <w:spacing w:after="0"/>
              <w:rPr>
                <w:sz w:val="20"/>
                <w:szCs w:val="20"/>
                <w:color w:val="auto"/>
              </w:rPr>
            </w:pPr>
            <w:r>
              <w:rPr>
                <w:rFonts w:ascii="Courier New" w:cs="Courier New" w:eastAsia="Courier New" w:hAnsi="Courier New"/>
                <w:sz w:val="13"/>
                <w:szCs w:val="13"/>
                <w:color w:val="auto"/>
              </w:rPr>
              <w:t>$(0.07)</w:t>
            </w:r>
          </w:p>
        </w:tc>
        <w:tc>
          <w:tcPr>
            <w:tcW w:w="10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$0.21</w:t>
            </w:r>
          </w:p>
        </w:tc>
        <w:tc>
          <w:tcPr>
            <w:tcW w:w="12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$0.89</w:t>
            </w:r>
          </w:p>
        </w:tc>
        <w:tc>
          <w:tcPr>
            <w:tcW w:w="124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$0.31</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$0.66</w:t>
            </w:r>
          </w:p>
        </w:tc>
      </w:tr>
      <w:tr>
        <w:trPr>
          <w:trHeight w:val="154"/>
        </w:trPr>
        <w:tc>
          <w:tcPr>
            <w:tcW w:w="2380" w:type="dxa"/>
            <w:vAlign w:val="bottom"/>
          </w:tcPr>
          <w:p>
            <w:pPr>
              <w:ind w:left="240"/>
              <w:spacing w:after="0"/>
              <w:rPr>
                <w:sz w:val="20"/>
                <w:szCs w:val="20"/>
                <w:color w:val="auto"/>
              </w:rPr>
            </w:pPr>
            <w:r>
              <w:rPr>
                <w:rFonts w:ascii="Courier New" w:cs="Courier New" w:eastAsia="Courier New" w:hAnsi="Courier New"/>
                <w:sz w:val="13"/>
                <w:szCs w:val="13"/>
                <w:color w:val="auto"/>
              </w:rPr>
              <w:t>Goodwill amortization</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640" w:type="dxa"/>
            <w:vAlign w:val="bottom"/>
          </w:tcPr>
          <w:p>
            <w:pPr>
              <w:jc w:val="right"/>
              <w:ind w:right="373"/>
              <w:spacing w:after="0"/>
              <w:rPr>
                <w:sz w:val="20"/>
                <w:szCs w:val="20"/>
                <w:color w:val="auto"/>
              </w:rPr>
            </w:pPr>
            <w:r>
              <w:rPr>
                <w:rFonts w:ascii="Courier New" w:cs="Courier New" w:eastAsia="Courier New" w:hAnsi="Courier New"/>
                <w:sz w:val="13"/>
                <w:szCs w:val="13"/>
                <w:color w:val="auto"/>
              </w:rPr>
              <w:t>0.02</w:t>
            </w:r>
          </w:p>
        </w:tc>
        <w:tc>
          <w:tcPr>
            <w:tcW w:w="10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0.01</w:t>
            </w:r>
          </w:p>
        </w:tc>
        <w:tc>
          <w:tcPr>
            <w:tcW w:w="12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124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0.06</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0.03</w:t>
            </w:r>
          </w:p>
        </w:tc>
      </w:tr>
      <w:tr>
        <w:trPr>
          <w:trHeight w:val="154"/>
        </w:trPr>
        <w:tc>
          <w:tcPr>
            <w:tcW w:w="23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64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2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24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2380" w:type="dxa"/>
            <w:vAlign w:val="bottom"/>
          </w:tcPr>
          <w:p>
            <w:pPr>
              <w:ind w:left="240"/>
              <w:spacing w:after="0"/>
              <w:rPr>
                <w:sz w:val="20"/>
                <w:szCs w:val="20"/>
                <w:color w:val="auto"/>
              </w:rPr>
            </w:pPr>
            <w:r>
              <w:rPr>
                <w:rFonts w:ascii="Courier New" w:cs="Courier New" w:eastAsia="Courier New" w:hAnsi="Courier New"/>
                <w:sz w:val="13"/>
                <w:szCs w:val="13"/>
                <w:color w:val="auto"/>
              </w:rPr>
              <w:t>Pro-forma net income</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$0.47</w:t>
            </w:r>
          </w:p>
        </w:tc>
        <w:tc>
          <w:tcPr>
            <w:tcW w:w="1640" w:type="dxa"/>
            <w:vAlign w:val="bottom"/>
          </w:tcPr>
          <w:p>
            <w:pPr>
              <w:jc w:val="right"/>
              <w:ind w:right="373"/>
              <w:spacing w:after="0"/>
              <w:rPr>
                <w:sz w:val="20"/>
                <w:szCs w:val="20"/>
                <w:color w:val="auto"/>
              </w:rPr>
            </w:pPr>
            <w:r>
              <w:rPr>
                <w:rFonts w:ascii="Courier New" w:cs="Courier New" w:eastAsia="Courier New" w:hAnsi="Courier New"/>
                <w:sz w:val="13"/>
                <w:szCs w:val="13"/>
                <w:color w:val="auto"/>
              </w:rPr>
              <w:t>$(0.05)</w:t>
            </w:r>
          </w:p>
        </w:tc>
        <w:tc>
          <w:tcPr>
            <w:tcW w:w="10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$0.22</w:t>
            </w:r>
          </w:p>
        </w:tc>
        <w:tc>
          <w:tcPr>
            <w:tcW w:w="12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$0.89</w:t>
            </w:r>
          </w:p>
        </w:tc>
        <w:tc>
          <w:tcPr>
            <w:tcW w:w="124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$0.37</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$0.69</w:t>
            </w:r>
          </w:p>
        </w:tc>
      </w:tr>
      <w:tr>
        <w:trPr>
          <w:trHeight w:val="154"/>
        </w:trPr>
        <w:tc>
          <w:tcPr>
            <w:tcW w:w="23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64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2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24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308"/>
        </w:trPr>
        <w:tc>
          <w:tcPr>
            <w:tcW w:w="2380" w:type="dxa"/>
            <w:vAlign w:val="bottom"/>
          </w:tcPr>
          <w:p>
            <w:pPr>
              <w:spacing w:after="0"/>
              <w:rPr>
                <w:sz w:val="20"/>
                <w:szCs w:val="20"/>
                <w:color w:val="auto"/>
              </w:rPr>
            </w:pPr>
            <w:r>
              <w:rPr>
                <w:rFonts w:ascii="Courier New" w:cs="Courier New" w:eastAsia="Courier New" w:hAnsi="Courier New"/>
                <w:sz w:val="13"/>
                <w:szCs w:val="13"/>
                <w:color w:val="auto"/>
              </w:rPr>
              <w:t>Diluted earnings per share:</w:t>
            </w:r>
          </w:p>
        </w:tc>
        <w:tc>
          <w:tcPr>
            <w:tcW w:w="10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54"/>
        </w:trPr>
        <w:tc>
          <w:tcPr>
            <w:tcW w:w="2380" w:type="dxa"/>
            <w:vAlign w:val="bottom"/>
          </w:tcPr>
          <w:p>
            <w:pPr>
              <w:ind w:left="240"/>
              <w:spacing w:after="0"/>
              <w:rPr>
                <w:sz w:val="20"/>
                <w:szCs w:val="20"/>
                <w:color w:val="auto"/>
              </w:rPr>
            </w:pPr>
            <w:r>
              <w:rPr>
                <w:rFonts w:ascii="Courier New" w:cs="Courier New" w:eastAsia="Courier New" w:hAnsi="Courier New"/>
                <w:sz w:val="13"/>
                <w:szCs w:val="13"/>
                <w:color w:val="auto"/>
              </w:rPr>
              <w:t>Reported net income</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$0.46</w:t>
            </w:r>
          </w:p>
        </w:tc>
        <w:tc>
          <w:tcPr>
            <w:tcW w:w="1640" w:type="dxa"/>
            <w:vAlign w:val="bottom"/>
          </w:tcPr>
          <w:p>
            <w:pPr>
              <w:jc w:val="right"/>
              <w:ind w:right="373"/>
              <w:spacing w:after="0"/>
              <w:rPr>
                <w:sz w:val="20"/>
                <w:szCs w:val="20"/>
                <w:color w:val="auto"/>
              </w:rPr>
            </w:pPr>
            <w:r>
              <w:rPr>
                <w:rFonts w:ascii="Courier New" w:cs="Courier New" w:eastAsia="Courier New" w:hAnsi="Courier New"/>
                <w:sz w:val="13"/>
                <w:szCs w:val="13"/>
                <w:color w:val="auto"/>
              </w:rPr>
              <w:t>$(0.07)</w:t>
            </w:r>
          </w:p>
        </w:tc>
        <w:tc>
          <w:tcPr>
            <w:tcW w:w="10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$0.21</w:t>
            </w:r>
          </w:p>
        </w:tc>
        <w:tc>
          <w:tcPr>
            <w:tcW w:w="12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$0.87</w:t>
            </w:r>
          </w:p>
        </w:tc>
        <w:tc>
          <w:tcPr>
            <w:tcW w:w="124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$0.30</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$0.64</w:t>
            </w:r>
          </w:p>
        </w:tc>
      </w:tr>
      <w:tr>
        <w:trPr>
          <w:trHeight w:val="154"/>
        </w:trPr>
        <w:tc>
          <w:tcPr>
            <w:tcW w:w="2380" w:type="dxa"/>
            <w:vAlign w:val="bottom"/>
          </w:tcPr>
          <w:p>
            <w:pPr>
              <w:ind w:left="240"/>
              <w:spacing w:after="0"/>
              <w:rPr>
                <w:sz w:val="20"/>
                <w:szCs w:val="20"/>
                <w:color w:val="auto"/>
              </w:rPr>
            </w:pPr>
            <w:r>
              <w:rPr>
                <w:rFonts w:ascii="Courier New" w:cs="Courier New" w:eastAsia="Courier New" w:hAnsi="Courier New"/>
                <w:sz w:val="13"/>
                <w:szCs w:val="13"/>
                <w:color w:val="auto"/>
              </w:rPr>
              <w:t>Goodwill amortization</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640" w:type="dxa"/>
            <w:vAlign w:val="bottom"/>
          </w:tcPr>
          <w:p>
            <w:pPr>
              <w:jc w:val="right"/>
              <w:ind w:right="373"/>
              <w:spacing w:after="0"/>
              <w:rPr>
                <w:sz w:val="20"/>
                <w:szCs w:val="20"/>
                <w:color w:val="auto"/>
              </w:rPr>
            </w:pPr>
            <w:r>
              <w:rPr>
                <w:rFonts w:ascii="Courier New" w:cs="Courier New" w:eastAsia="Courier New" w:hAnsi="Courier New"/>
                <w:sz w:val="13"/>
                <w:szCs w:val="13"/>
                <w:color w:val="auto"/>
              </w:rPr>
              <w:t>0.02</w:t>
            </w:r>
          </w:p>
        </w:tc>
        <w:tc>
          <w:tcPr>
            <w:tcW w:w="10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0.01</w:t>
            </w:r>
          </w:p>
        </w:tc>
        <w:tc>
          <w:tcPr>
            <w:tcW w:w="12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124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0.06</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0.03</w:t>
            </w:r>
          </w:p>
        </w:tc>
      </w:tr>
      <w:tr>
        <w:trPr>
          <w:trHeight w:val="154"/>
        </w:trPr>
        <w:tc>
          <w:tcPr>
            <w:tcW w:w="23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64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2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24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2380" w:type="dxa"/>
            <w:vAlign w:val="bottom"/>
          </w:tcPr>
          <w:p>
            <w:pPr>
              <w:ind w:left="240"/>
              <w:spacing w:after="0"/>
              <w:rPr>
                <w:sz w:val="20"/>
                <w:szCs w:val="20"/>
                <w:color w:val="auto"/>
              </w:rPr>
            </w:pPr>
            <w:r>
              <w:rPr>
                <w:rFonts w:ascii="Courier New" w:cs="Courier New" w:eastAsia="Courier New" w:hAnsi="Courier New"/>
                <w:sz w:val="13"/>
                <w:szCs w:val="13"/>
                <w:color w:val="auto"/>
              </w:rPr>
              <w:t>Pro-forma net income</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$0.46</w:t>
            </w:r>
          </w:p>
        </w:tc>
        <w:tc>
          <w:tcPr>
            <w:tcW w:w="1640" w:type="dxa"/>
            <w:vAlign w:val="bottom"/>
          </w:tcPr>
          <w:p>
            <w:pPr>
              <w:jc w:val="right"/>
              <w:ind w:right="373"/>
              <w:spacing w:after="0"/>
              <w:rPr>
                <w:sz w:val="20"/>
                <w:szCs w:val="20"/>
                <w:color w:val="auto"/>
              </w:rPr>
            </w:pPr>
            <w:r>
              <w:rPr>
                <w:rFonts w:ascii="Courier New" w:cs="Courier New" w:eastAsia="Courier New" w:hAnsi="Courier New"/>
                <w:sz w:val="13"/>
                <w:szCs w:val="13"/>
                <w:color w:val="auto"/>
              </w:rPr>
              <w:t>$(0.05)</w:t>
            </w:r>
          </w:p>
        </w:tc>
        <w:tc>
          <w:tcPr>
            <w:tcW w:w="10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$0.21</w:t>
            </w:r>
          </w:p>
        </w:tc>
        <w:tc>
          <w:tcPr>
            <w:tcW w:w="12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$0.87</w:t>
            </w:r>
          </w:p>
        </w:tc>
        <w:tc>
          <w:tcPr>
            <w:tcW w:w="124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$0.36</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$0.67</w:t>
            </w:r>
          </w:p>
        </w:tc>
      </w:tr>
      <w:tr>
        <w:trPr>
          <w:trHeight w:val="154"/>
        </w:trPr>
        <w:tc>
          <w:tcPr>
            <w:tcW w:w="23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64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2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24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bl>
    <w:p>
      <w:pPr>
        <w:spacing w:after="0" w:line="313" w:lineRule="exact"/>
        <w:rPr>
          <w:sz w:val="20"/>
          <w:szCs w:val="20"/>
          <w:color w:val="auto"/>
        </w:rPr>
      </w:pPr>
    </w:p>
    <w:p>
      <w:pPr>
        <w:ind w:left="560" w:hanging="476"/>
        <w:spacing w:after="0"/>
        <w:tabs>
          <w:tab w:leader="none" w:pos="560" w:val="left"/>
        </w:tabs>
        <w:numPr>
          <w:ilvl w:val="0"/>
          <w:numId w:val="7"/>
        </w:numPr>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b w:val="1"/>
          <w:bCs w:val="1"/>
          <w:i w:val="1"/>
          <w:iCs w:val="1"/>
          <w:color w:val="auto"/>
        </w:rPr>
        <w:t>Impairment of Long-Lived Assets and Long-Lived Assets to Be Disposed Of</w:t>
      </w:r>
    </w:p>
    <w:p>
      <w:pPr>
        <w:spacing w:after="0" w:line="161" w:lineRule="exact"/>
        <w:rPr>
          <w:rFonts w:ascii="Courier New" w:cs="Courier New" w:eastAsia="Courier New" w:hAnsi="Courier New"/>
          <w:sz w:val="13"/>
          <w:szCs w:val="13"/>
          <w:b w:val="1"/>
          <w:bCs w:val="1"/>
          <w:i w:val="1"/>
          <w:iCs w:val="1"/>
          <w:color w:val="auto"/>
        </w:rPr>
      </w:pPr>
    </w:p>
    <w:p>
      <w:pPr>
        <w:ind w:left="560" w:right="4080"/>
        <w:spacing w:after="0" w:line="251" w:lineRule="auto"/>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color w:val="auto"/>
        </w:rPr>
        <w:t>The Company accounts for long-lived assets in accordance with the provisions of SFAS No. 144, "Accounting for the Impairment of or Disposal of Long-Lived Assets." This Statement supercedes Statement No. 121 but retains many of its fundamental provisions. Additionally, this Statement expands the scope of discontinued operations to include more disposal transactions. The provisions of this Statement are effective for financial statements issued for fiscal years beginning after December 15, 2001. The Company has adopted Statement No. 144 effective January 1, 2002. Assets to be held and used are tested for recoverability when indications of</w:t>
      </w:r>
    </w:p>
    <w:p>
      <w:pPr>
        <w:spacing w:after="0" w:line="310" w:lineRule="exact"/>
        <w:rPr>
          <w:sz w:val="20"/>
          <w:szCs w:val="20"/>
          <w:color w:val="auto"/>
        </w:rPr>
      </w:pPr>
    </w:p>
    <w:p>
      <w:pPr>
        <w:ind w:left="5140"/>
        <w:spacing w:after="0"/>
        <w:rPr>
          <w:sz w:val="20"/>
          <w:szCs w:val="20"/>
          <w:color w:val="auto"/>
        </w:rPr>
      </w:pPr>
      <w:r>
        <w:rPr>
          <w:rFonts w:ascii="Courier New" w:cs="Courier New" w:eastAsia="Courier New" w:hAnsi="Courier New"/>
          <w:sz w:val="13"/>
          <w:szCs w:val="13"/>
          <w:color w:val="auto"/>
        </w:rPr>
        <w:t>Continued</w:t>
      </w:r>
    </w:p>
    <w:p>
      <w:pPr>
        <w:spacing w:after="0" w:line="315" w:lineRule="exact"/>
        <w:rPr>
          <w:sz w:val="20"/>
          <w:szCs w:val="20"/>
          <w:color w:val="auto"/>
        </w:rPr>
      </w:pPr>
    </w:p>
    <w:p>
      <w:pPr>
        <w:ind w:left="2560"/>
        <w:spacing w:after="0"/>
        <w:rPr>
          <w:sz w:val="20"/>
          <w:szCs w:val="20"/>
          <w:color w:val="auto"/>
        </w:rPr>
      </w:pPr>
      <w:r>
        <w:rPr>
          <w:rFonts w:ascii="Courier New" w:cs="Courier New" w:eastAsia="Courier New" w:hAnsi="Courier New"/>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271145</wp:posOffset>
            </wp:positionV>
            <wp:extent cx="730440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3"/>
          <w:szCs w:val="13"/>
          <w:b w:val="1"/>
          <w:bCs w:val="1"/>
          <w:color w:val="auto"/>
        </w:rPr>
        <w:t>NN, Inc.</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3"/>
          <w:szCs w:val="13"/>
          <w:b w:val="1"/>
          <w:bCs w:val="1"/>
          <w:color w:val="auto"/>
        </w:rPr>
        <w:t>Notes to Consolidated Financial Statements</w:t>
      </w:r>
    </w:p>
    <w:p>
      <w:pPr>
        <w:spacing w:after="0" w:line="7" w:lineRule="exact"/>
        <w:rPr>
          <w:sz w:val="20"/>
          <w:szCs w:val="20"/>
          <w:color w:val="auto"/>
        </w:rPr>
      </w:pPr>
    </w:p>
    <w:p>
      <w:pPr>
        <w:ind w:left="1360"/>
        <w:spacing w:after="0"/>
        <w:rPr>
          <w:sz w:val="20"/>
          <w:szCs w:val="20"/>
          <w:color w:val="auto"/>
        </w:rPr>
      </w:pPr>
      <w:r>
        <w:rPr>
          <w:rFonts w:ascii="Courier New" w:cs="Courier New" w:eastAsia="Courier New" w:hAnsi="Courier New"/>
          <w:sz w:val="13"/>
          <w:szCs w:val="13"/>
          <w:b w:val="1"/>
          <w:bCs w:val="1"/>
          <w:color w:val="auto"/>
        </w:rPr>
        <w:t>December 31, 2002, 2001 and 2000</w:t>
      </w:r>
    </w:p>
    <w:p>
      <w:pPr>
        <w:spacing w:after="0" w:line="7" w:lineRule="exact"/>
        <w:rPr>
          <w:sz w:val="20"/>
          <w:szCs w:val="20"/>
          <w:color w:val="auto"/>
        </w:rPr>
      </w:pPr>
    </w:p>
    <w:p>
      <w:pPr>
        <w:ind w:left="1200"/>
        <w:spacing w:after="0"/>
        <w:rPr>
          <w:sz w:val="20"/>
          <w:szCs w:val="20"/>
          <w:color w:val="auto"/>
        </w:rPr>
      </w:pPr>
      <w:r>
        <w:rPr>
          <w:rFonts w:ascii="Courier New" w:cs="Courier New" w:eastAsia="Courier New" w:hAnsi="Courier New"/>
          <w:sz w:val="13"/>
          <w:szCs w:val="13"/>
          <w:b w:val="1"/>
          <w:bCs w:val="1"/>
          <w:color w:val="auto"/>
        </w:rPr>
        <w:t>(In thousands, except per share data)</w:t>
      </w:r>
    </w:p>
    <w:p>
      <w:pPr>
        <w:spacing w:after="0" w:line="315" w:lineRule="exact"/>
        <w:rPr>
          <w:sz w:val="20"/>
          <w:szCs w:val="20"/>
          <w:color w:val="auto"/>
        </w:rPr>
      </w:pPr>
    </w:p>
    <w:p>
      <w:pPr>
        <w:ind w:left="560" w:right="4240"/>
        <w:spacing w:after="0" w:line="252" w:lineRule="auto"/>
        <w:rPr>
          <w:sz w:val="20"/>
          <w:szCs w:val="20"/>
          <w:color w:val="auto"/>
        </w:rPr>
      </w:pPr>
      <w:r>
        <w:rPr>
          <w:rFonts w:ascii="Courier New" w:cs="Courier New" w:eastAsia="Courier New" w:hAnsi="Courier New"/>
          <w:sz w:val="13"/>
          <w:szCs w:val="13"/>
          <w:color w:val="auto"/>
        </w:rPr>
        <w:t>impairment are evident. If the reviewed carrying value of the asset is not recoverable the asset is written down to the lesser of recoverable value or carrying value. Assets held for sale are carried at the lesser of carrying value or fair value less costs of disposal.</w:t>
      </w:r>
    </w:p>
    <w:p>
      <w:pPr>
        <w:spacing w:after="0" w:line="152" w:lineRule="exact"/>
        <w:rPr>
          <w:sz w:val="20"/>
          <w:szCs w:val="20"/>
          <w:color w:val="auto"/>
        </w:rPr>
      </w:pPr>
    </w:p>
    <w:p>
      <w:pPr>
        <w:ind w:left="560" w:hanging="556"/>
        <w:spacing w:after="0"/>
        <w:tabs>
          <w:tab w:leader="none" w:pos="560" w:val="left"/>
        </w:tabs>
        <w:numPr>
          <w:ilvl w:val="0"/>
          <w:numId w:val="8"/>
        </w:numPr>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b w:val="1"/>
          <w:bCs w:val="1"/>
          <w:i w:val="1"/>
          <w:iCs w:val="1"/>
          <w:color w:val="auto"/>
        </w:rPr>
        <w:t>Use of Estimates in the Preparation of Financial Statements</w:t>
      </w:r>
    </w:p>
    <w:p>
      <w:pPr>
        <w:spacing w:after="0" w:line="161" w:lineRule="exact"/>
        <w:rPr>
          <w:rFonts w:ascii="Courier New" w:cs="Courier New" w:eastAsia="Courier New" w:hAnsi="Courier New"/>
          <w:sz w:val="13"/>
          <w:szCs w:val="13"/>
          <w:b w:val="1"/>
          <w:bCs w:val="1"/>
          <w:i w:val="1"/>
          <w:iCs w:val="1"/>
          <w:color w:val="auto"/>
        </w:rPr>
      </w:pPr>
    </w:p>
    <w:p>
      <w:pPr>
        <w:ind w:left="560" w:right="4080"/>
        <w:spacing w:after="0" w:line="253" w:lineRule="auto"/>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color w:val="auto"/>
        </w:rPr>
        <w:t>The preparation of financial statements in conformity with generally accepted accounting principles requires management to make estimates and assumptions that affect the reported amounts of</w:t>
      </w:r>
    </w:p>
    <w:p>
      <w:pPr>
        <w:sectPr>
          <w:pgSz w:w="11900" w:h="16838" w:orient="portrait"/>
          <w:cols w:equalWidth="0" w:num="1">
            <w:col w:w="9940"/>
          </w:cols>
          <w:pgMar w:left="780" w:top="141" w:right="1179" w:bottom="0" w:gutter="0" w:footer="0" w:header="0"/>
        </w:sectPr>
      </w:pPr>
    </w:p>
    <w:bookmarkStart w:id="25" w:name="page26"/>
    <w:bookmarkEnd w:id="25"/>
    <w:p>
      <w:pPr>
        <w:ind w:left="560" w:right="4139"/>
        <w:spacing w:after="0" w:line="252" w:lineRule="auto"/>
        <w:rPr>
          <w:sz w:val="20"/>
          <w:szCs w:val="20"/>
          <w:color w:val="auto"/>
        </w:rPr>
      </w:pPr>
      <w:r>
        <w:rPr>
          <w:rFonts w:ascii="Courier New" w:cs="Courier New" w:eastAsia="Courier New" w:hAnsi="Courier New"/>
          <w:sz w:val="13"/>
          <w:szCs w:val="13"/>
          <w:color w:val="auto"/>
        </w:rPr>
        <w:t>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53" w:lineRule="exact"/>
        <w:rPr>
          <w:sz w:val="20"/>
          <w:szCs w:val="20"/>
          <w:color w:val="auto"/>
        </w:rPr>
      </w:pPr>
    </w:p>
    <w:p>
      <w:pPr>
        <w:ind w:left="560" w:hanging="556"/>
        <w:spacing w:after="0"/>
        <w:tabs>
          <w:tab w:leader="none" w:pos="560" w:val="left"/>
        </w:tabs>
        <w:numPr>
          <w:ilvl w:val="0"/>
          <w:numId w:val="9"/>
        </w:numPr>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b w:val="1"/>
          <w:bCs w:val="1"/>
          <w:i w:val="1"/>
          <w:iCs w:val="1"/>
          <w:color w:val="auto"/>
        </w:rPr>
        <w:t>Reclassifications</w:t>
      </w:r>
    </w:p>
    <w:p>
      <w:pPr>
        <w:spacing w:after="0" w:line="161" w:lineRule="exact"/>
        <w:rPr>
          <w:rFonts w:ascii="Courier New" w:cs="Courier New" w:eastAsia="Courier New" w:hAnsi="Courier New"/>
          <w:sz w:val="13"/>
          <w:szCs w:val="13"/>
          <w:b w:val="1"/>
          <w:bCs w:val="1"/>
          <w:i w:val="1"/>
          <w:iCs w:val="1"/>
          <w:color w:val="auto"/>
        </w:rPr>
      </w:pPr>
    </w:p>
    <w:p>
      <w:pPr>
        <w:ind w:left="560" w:right="4059"/>
        <w:spacing w:after="0" w:line="254" w:lineRule="auto"/>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color w:val="auto"/>
        </w:rPr>
        <w:t>Certain 2001 and 2000 amounts have been reclassified to conform with the 2002 presentation.</w:t>
      </w:r>
    </w:p>
    <w:p>
      <w:pPr>
        <w:spacing w:after="0" w:line="150" w:lineRule="exact"/>
        <w:rPr>
          <w:rFonts w:ascii="Courier New" w:cs="Courier New" w:eastAsia="Courier New" w:hAnsi="Courier New"/>
          <w:sz w:val="13"/>
          <w:szCs w:val="13"/>
          <w:b w:val="1"/>
          <w:bCs w:val="1"/>
          <w:i w:val="1"/>
          <w:iCs w:val="1"/>
          <w:color w:val="auto"/>
        </w:rPr>
      </w:pPr>
    </w:p>
    <w:p>
      <w:pPr>
        <w:ind w:left="560" w:hanging="556"/>
        <w:spacing w:after="0"/>
        <w:tabs>
          <w:tab w:leader="none" w:pos="560" w:val="left"/>
        </w:tabs>
        <w:numPr>
          <w:ilvl w:val="0"/>
          <w:numId w:val="9"/>
        </w:numPr>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b w:val="1"/>
          <w:bCs w:val="1"/>
          <w:i w:val="1"/>
          <w:iCs w:val="1"/>
          <w:color w:val="auto"/>
        </w:rPr>
        <w:t>Derivative Financial Instruments</w:t>
      </w:r>
    </w:p>
    <w:p>
      <w:pPr>
        <w:spacing w:after="0" w:line="161" w:lineRule="exact"/>
        <w:rPr>
          <w:rFonts w:ascii="Courier New" w:cs="Courier New" w:eastAsia="Courier New" w:hAnsi="Courier New"/>
          <w:sz w:val="13"/>
          <w:szCs w:val="13"/>
          <w:b w:val="1"/>
          <w:bCs w:val="1"/>
          <w:i w:val="1"/>
          <w:iCs w:val="1"/>
          <w:color w:val="auto"/>
        </w:rPr>
      </w:pPr>
    </w:p>
    <w:p>
      <w:pPr>
        <w:ind w:left="560" w:right="3819"/>
        <w:spacing w:after="0" w:line="251" w:lineRule="auto"/>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color w:val="auto"/>
        </w:rPr>
        <w:t>In June 1998, the Financial Accounting Standards Board (FASB) issued Statement of Financial Accounting Standards (SFAS) No. 133, "Accounting for Derivative Instruments and Certain Hedging Activities." In June 2000, the FASB issued SFAS No. 138, "Accounting for Certain Derivative Instruments and Certain Hedging Activity, an Amendment of SFAS 133." SFAS No. 133 and SFAS No. 138 require that all derivative instruments be recorded on the balance sheet at their respective fair values. SFAS No. 133 and SFAS No. 138 are effective for all fiscal quarters of all fiscal years beginning after June 30, 2000, which for the Company was effective January 1, 2001.</w:t>
      </w:r>
    </w:p>
    <w:p>
      <w:pPr>
        <w:spacing w:after="0" w:line="156" w:lineRule="exact"/>
        <w:rPr>
          <w:rFonts w:ascii="Courier New" w:cs="Courier New" w:eastAsia="Courier New" w:hAnsi="Courier New"/>
          <w:sz w:val="13"/>
          <w:szCs w:val="13"/>
          <w:b w:val="1"/>
          <w:bCs w:val="1"/>
          <w:i w:val="1"/>
          <w:iCs w:val="1"/>
          <w:color w:val="auto"/>
        </w:rPr>
      </w:pPr>
    </w:p>
    <w:p>
      <w:pPr>
        <w:ind w:left="560" w:right="3899"/>
        <w:spacing w:after="0" w:line="251" w:lineRule="auto"/>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color w:val="auto"/>
        </w:rPr>
        <w:t>The Company has an interest rate swap accounted for in accordance with Statement of Financial Accounting Standards (SFAS) No. 133, "Accounting for Derivative Instruments and Hedging Activities". The Company adopted SFAS No. 133 on January 1, 2001, which establishes accounting and reporting standards for derivative instruments and for hedging activities. The Standard requires the recognition of all derivative instruments on the balance sheet at fair value. The Standard allows for hedge accounting if certain requirements are met including documentation of the hedging relationship at inception and upon adoption of the Standard.</w:t>
      </w:r>
    </w:p>
    <w:p>
      <w:pPr>
        <w:spacing w:after="0" w:line="156" w:lineRule="exact"/>
        <w:rPr>
          <w:rFonts w:ascii="Courier New" w:cs="Courier New" w:eastAsia="Courier New" w:hAnsi="Courier New"/>
          <w:sz w:val="13"/>
          <w:szCs w:val="13"/>
          <w:b w:val="1"/>
          <w:bCs w:val="1"/>
          <w:i w:val="1"/>
          <w:iCs w:val="1"/>
          <w:color w:val="auto"/>
        </w:rPr>
      </w:pPr>
    </w:p>
    <w:p>
      <w:pPr>
        <w:ind w:left="560" w:right="3819"/>
        <w:spacing w:after="0" w:line="251" w:lineRule="auto"/>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color w:val="auto"/>
        </w:rPr>
        <w:t>In connection with a variable EURIBOR rate debt financing in July 2000 the Company's majority owned subsidiary, NN Euroball ApS entered into an interest rate swap with a notional amount of Euro 12.5 million for the purpose of fixing the interest rate on a portion of their debt financing. The interest rate swap provides for the Company to receive variable Euribor interest payments and pay 5.51% fixed interest. The interest rate swap agreement expires in July 2006 and the notional amount amortizes in relation to principal payments on the underlying debt over the life of the swap.</w:t>
      </w:r>
    </w:p>
    <w:p>
      <w:pPr>
        <w:spacing w:after="0" w:line="156" w:lineRule="exact"/>
        <w:rPr>
          <w:rFonts w:ascii="Courier New" w:cs="Courier New" w:eastAsia="Courier New" w:hAnsi="Courier New"/>
          <w:sz w:val="13"/>
          <w:szCs w:val="13"/>
          <w:b w:val="1"/>
          <w:bCs w:val="1"/>
          <w:i w:val="1"/>
          <w:iCs w:val="1"/>
          <w:color w:val="auto"/>
        </w:rPr>
      </w:pPr>
    </w:p>
    <w:p>
      <w:pPr>
        <w:ind w:left="560" w:right="3899"/>
        <w:spacing w:after="0" w:line="251" w:lineRule="auto"/>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color w:val="auto"/>
        </w:rPr>
        <w:t>The cumulative effect of a change in accounting principle for the adoption of SFAS No. 133 effective January 1, 2001 resulted in a transition adjustment net loss of $98 which is net of an income tax benefit of $112 and the related minority interest impact of $84. The interest rate swap does not qualify for hedge accounting under the provisions of SFAS No. 133; therefore, the transition adjustment for adoption of SFAS No. 133 and any subsequent periodic changes in fair value of the interest rate swap are recorded in earnings.</w:t>
      </w:r>
    </w:p>
    <w:p>
      <w:pPr>
        <w:spacing w:after="0" w:line="156" w:lineRule="exact"/>
        <w:rPr>
          <w:rFonts w:ascii="Courier New" w:cs="Courier New" w:eastAsia="Courier New" w:hAnsi="Courier New"/>
          <w:sz w:val="13"/>
          <w:szCs w:val="13"/>
          <w:b w:val="1"/>
          <w:bCs w:val="1"/>
          <w:i w:val="1"/>
          <w:iCs w:val="1"/>
          <w:color w:val="auto"/>
        </w:rPr>
      </w:pPr>
    </w:p>
    <w:p>
      <w:pPr>
        <w:ind w:left="560" w:right="3819"/>
        <w:spacing w:after="0" w:line="251" w:lineRule="auto"/>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color w:val="auto"/>
        </w:rPr>
        <w:t>As of December 31, 2002 and 2001, the fair value of the swap is a before tax loss of approximately $485 and $374, respectively, which is recorded in other non-current liabilities. The change in fair value during the years ended December 31, 2002 and 2001 was a loss of approximately $51 and $80 (excluding the impact of foreign currency), respectively, which has been included as a component of other income.</w:t>
      </w:r>
    </w:p>
    <w:p>
      <w:pPr>
        <w:spacing w:after="0" w:line="155" w:lineRule="exact"/>
        <w:rPr>
          <w:rFonts w:ascii="Courier New" w:cs="Courier New" w:eastAsia="Courier New" w:hAnsi="Courier New"/>
          <w:sz w:val="13"/>
          <w:szCs w:val="13"/>
          <w:b w:val="1"/>
          <w:bCs w:val="1"/>
          <w:i w:val="1"/>
          <w:iCs w:val="1"/>
          <w:color w:val="auto"/>
        </w:rPr>
      </w:pPr>
    </w:p>
    <w:p>
      <w:pPr>
        <w:ind w:left="560" w:hanging="556"/>
        <w:spacing w:after="0"/>
        <w:tabs>
          <w:tab w:leader="none" w:pos="560" w:val="left"/>
        </w:tabs>
        <w:numPr>
          <w:ilvl w:val="0"/>
          <w:numId w:val="9"/>
        </w:numPr>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b w:val="1"/>
          <w:bCs w:val="1"/>
          <w:i w:val="1"/>
          <w:iCs w:val="1"/>
          <w:color w:val="auto"/>
        </w:rPr>
        <w:t>Recently Issued Accounting Standards</w:t>
      </w:r>
    </w:p>
    <w:p>
      <w:pPr>
        <w:spacing w:after="0" w:line="161" w:lineRule="exact"/>
        <w:rPr>
          <w:rFonts w:ascii="Courier New" w:cs="Courier New" w:eastAsia="Courier New" w:hAnsi="Courier New"/>
          <w:sz w:val="13"/>
          <w:szCs w:val="13"/>
          <w:b w:val="1"/>
          <w:bCs w:val="1"/>
          <w:i w:val="1"/>
          <w:iCs w:val="1"/>
          <w:color w:val="auto"/>
        </w:rPr>
      </w:pPr>
    </w:p>
    <w:p>
      <w:pPr>
        <w:ind w:left="560" w:right="3819"/>
        <w:spacing w:after="0" w:line="251" w:lineRule="auto"/>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color w:val="auto"/>
        </w:rPr>
        <w:t>In July 2001, the FASB issued Statement of Financial Accounting Standards No. 143, "Accounting For Asset Retirement Obligations." This Statement requires capitalizing any retirement costs as part of the total cost of the related long-lived asset and subsequently allocating the total expense to future periods using a systematic and rational method. Adoption of the Statement is required for fiscal years beginning after June 15, 2002. Management believes that, as of December 31, 2002, it is not materially affected by SFAS No. 143.</w:t>
      </w:r>
    </w:p>
    <w:p>
      <w:pPr>
        <w:spacing w:after="0" w:line="310" w:lineRule="exact"/>
        <w:rPr>
          <w:sz w:val="20"/>
          <w:szCs w:val="20"/>
          <w:color w:val="auto"/>
        </w:rPr>
      </w:pPr>
    </w:p>
    <w:p>
      <w:pPr>
        <w:jc w:val="right"/>
        <w:ind w:right="3819"/>
        <w:spacing w:after="0"/>
        <w:rPr>
          <w:sz w:val="20"/>
          <w:szCs w:val="20"/>
          <w:color w:val="auto"/>
        </w:rPr>
      </w:pPr>
      <w:r>
        <w:rPr>
          <w:rFonts w:ascii="Courier New" w:cs="Courier New" w:eastAsia="Courier New" w:hAnsi="Courier New"/>
          <w:sz w:val="13"/>
          <w:szCs w:val="13"/>
          <w:color w:val="auto"/>
        </w:rPr>
        <w:t>Continued</w:t>
      </w:r>
    </w:p>
    <w:p>
      <w:pPr>
        <w:spacing w:after="0" w:line="315" w:lineRule="exact"/>
        <w:rPr>
          <w:sz w:val="20"/>
          <w:szCs w:val="20"/>
          <w:color w:val="auto"/>
        </w:rPr>
      </w:pPr>
    </w:p>
    <w:p>
      <w:pPr>
        <w:ind w:left="2560"/>
        <w:spacing w:after="0"/>
        <w:rPr>
          <w:sz w:val="20"/>
          <w:szCs w:val="20"/>
          <w:color w:val="auto"/>
        </w:rPr>
      </w:pPr>
      <w:r>
        <w:rPr>
          <w:rFonts w:ascii="Courier New" w:cs="Courier New" w:eastAsia="Courier New" w:hAnsi="Courier New"/>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173355</wp:posOffset>
            </wp:positionV>
            <wp:extent cx="730440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3"/>
          <w:szCs w:val="13"/>
          <w:b w:val="1"/>
          <w:bCs w:val="1"/>
          <w:color w:val="auto"/>
        </w:rPr>
        <w:t>NN, Inc.</w:t>
      </w:r>
    </w:p>
    <w:p>
      <w:pPr>
        <w:spacing w:after="0" w:line="7"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3"/>
          <w:szCs w:val="13"/>
          <w:b w:val="1"/>
          <w:bCs w:val="1"/>
          <w:color w:val="auto"/>
        </w:rPr>
        <w:t>Notes to Consolidated Financial Statements</w:t>
      </w:r>
    </w:p>
    <w:p>
      <w:pPr>
        <w:spacing w:after="0" w:line="7" w:lineRule="exact"/>
        <w:rPr>
          <w:sz w:val="20"/>
          <w:szCs w:val="20"/>
          <w:color w:val="auto"/>
        </w:rPr>
      </w:pPr>
    </w:p>
    <w:p>
      <w:pPr>
        <w:ind w:left="1360"/>
        <w:spacing w:after="0"/>
        <w:rPr>
          <w:sz w:val="20"/>
          <w:szCs w:val="20"/>
          <w:color w:val="auto"/>
        </w:rPr>
      </w:pPr>
      <w:r>
        <w:rPr>
          <w:rFonts w:ascii="Courier New" w:cs="Courier New" w:eastAsia="Courier New" w:hAnsi="Courier New"/>
          <w:sz w:val="13"/>
          <w:szCs w:val="13"/>
          <w:b w:val="1"/>
          <w:bCs w:val="1"/>
          <w:color w:val="auto"/>
        </w:rPr>
        <w:t>December 31, 2002, 2001 and 2000</w:t>
      </w:r>
    </w:p>
    <w:p>
      <w:pPr>
        <w:spacing w:after="0" w:line="7" w:lineRule="exact"/>
        <w:rPr>
          <w:sz w:val="20"/>
          <w:szCs w:val="20"/>
          <w:color w:val="auto"/>
        </w:rPr>
      </w:pPr>
    </w:p>
    <w:p>
      <w:pPr>
        <w:ind w:left="1200"/>
        <w:spacing w:after="0"/>
        <w:rPr>
          <w:sz w:val="20"/>
          <w:szCs w:val="20"/>
          <w:color w:val="auto"/>
        </w:rPr>
      </w:pPr>
      <w:r>
        <w:rPr>
          <w:rFonts w:ascii="Courier New" w:cs="Courier New" w:eastAsia="Courier New" w:hAnsi="Courier New"/>
          <w:sz w:val="13"/>
          <w:szCs w:val="13"/>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60" w:right="3819"/>
        <w:spacing w:after="0" w:line="251" w:lineRule="auto"/>
        <w:rPr>
          <w:sz w:val="20"/>
          <w:szCs w:val="20"/>
          <w:color w:val="auto"/>
        </w:rPr>
      </w:pPr>
      <w:r>
        <w:rPr>
          <w:rFonts w:ascii="Courier New" w:cs="Courier New" w:eastAsia="Courier New" w:hAnsi="Courier New"/>
          <w:sz w:val="13"/>
          <w:szCs w:val="13"/>
          <w:color w:val="auto"/>
        </w:rPr>
        <w:t>In April 2002, the FASB issued SFAS No. 145, "Rescission of FASB Statements No. 4, 44, and 64, Amendment of FASB Statement No. 13, and Technical Corrections". SFAS No. 4 had required all gains and losses from extinguishment of debt to be aggregated and, if material, classified as an extraordinary item, net of related income tax effect. SFAS No. 145 rescinds SFAS No. 4 and the related required classifications gains and losses form extinguishment of debt as extraordinary items. Additionally, the SFAS No. 145 amends SFAS No. 13 to require that certain lease modifications that have economic effects similar to sale-leaseback transactions be accounted for in the same manner as sale-leaseback transactions. SFAS No. 145 is applicable for the Company at the beginning of fiscal year 2003, with the provisions related to SFAS</w:t>
      </w:r>
    </w:p>
    <w:p>
      <w:pPr>
        <w:sectPr>
          <w:pgSz w:w="11900" w:h="16838" w:orient="portrait"/>
          <w:cols w:equalWidth="0" w:num="1">
            <w:col w:w="9679"/>
          </w:cols>
          <w:pgMar w:left="780" w:top="141" w:right="1440" w:bottom="0" w:gutter="0" w:footer="0" w:header="0"/>
        </w:sectPr>
      </w:pPr>
    </w:p>
    <w:bookmarkStart w:id="26" w:name="page27"/>
    <w:bookmarkEnd w:id="26"/>
    <w:p>
      <w:pPr>
        <w:ind w:left="560" w:right="3979"/>
        <w:spacing w:after="0" w:line="253" w:lineRule="auto"/>
        <w:rPr>
          <w:sz w:val="20"/>
          <w:szCs w:val="20"/>
          <w:color w:val="auto"/>
        </w:rPr>
      </w:pPr>
      <w:r>
        <w:rPr>
          <w:rFonts w:ascii="Courier New" w:cs="Courier New" w:eastAsia="Courier New" w:hAnsi="Courier New"/>
          <w:sz w:val="13"/>
          <w:szCs w:val="13"/>
          <w:color w:val="auto"/>
        </w:rPr>
        <w:t>No. 13 for transactions occurring after May 15, 2002. Management believes that, as of December 31, 2002, it is not materially affected by SFAS No. 145.</w:t>
      </w:r>
    </w:p>
    <w:p>
      <w:pPr>
        <w:spacing w:after="0" w:line="151" w:lineRule="exact"/>
        <w:rPr>
          <w:sz w:val="20"/>
          <w:szCs w:val="20"/>
          <w:color w:val="auto"/>
        </w:rPr>
      </w:pPr>
    </w:p>
    <w:p>
      <w:pPr>
        <w:ind w:left="560" w:right="3899"/>
        <w:spacing w:after="0" w:line="251" w:lineRule="auto"/>
        <w:rPr>
          <w:sz w:val="20"/>
          <w:szCs w:val="20"/>
          <w:color w:val="auto"/>
        </w:rPr>
      </w:pPr>
      <w:r>
        <w:rPr>
          <w:rFonts w:ascii="Courier New" w:cs="Courier New" w:eastAsia="Courier New" w:hAnsi="Courier New"/>
          <w:sz w:val="13"/>
          <w:szCs w:val="13"/>
          <w:color w:val="auto"/>
        </w:rPr>
        <w:t>In July 2002, the FASB issued SFAS No. 146, "Accounting for Costs Associated with Exit or Disposal Activities". SFAS No. 146 requires costs associated with exit or disposal activities to be recognized when they are incurred rather than at the date of a commitment to an exit or disposal plan. SFAS No. 146 is to be applied prospectively to exit or disposal activities initiated after December 31, 2002.</w:t>
      </w:r>
    </w:p>
    <w:p>
      <w:pPr>
        <w:spacing w:after="0" w:line="156" w:lineRule="exact"/>
        <w:rPr>
          <w:sz w:val="20"/>
          <w:szCs w:val="20"/>
          <w:color w:val="auto"/>
        </w:rPr>
      </w:pPr>
    </w:p>
    <w:p>
      <w:pPr>
        <w:ind w:left="560" w:right="3819"/>
        <w:spacing w:after="0" w:line="251" w:lineRule="auto"/>
        <w:rPr>
          <w:sz w:val="20"/>
          <w:szCs w:val="20"/>
          <w:color w:val="auto"/>
        </w:rPr>
      </w:pPr>
      <w:r>
        <w:rPr>
          <w:rFonts w:ascii="Courier New" w:cs="Courier New" w:eastAsia="Courier New" w:hAnsi="Courier New"/>
          <w:sz w:val="13"/>
          <w:szCs w:val="13"/>
          <w:color w:val="auto"/>
        </w:rPr>
        <w:t>In December 2002, the FASB issued SFAS No. 148, "Accounting for Stock-Based Compensation - Transition and Disclosure - an amendment of FASB Statement No. 123". SFAS No. 148 provides alternative methods of transition for a voluntary change to the fair value based method of accounting for stock-based employee compensation. In addition, SFAS No. 148 amends the disclosures in both annual and interim financial statements about the method of accounting for stock-based employee compensation and the effect of the method used on reported results. The Company has adopted the provisions of SFAS 123, which encourages but does not require a fair value based method of accounting for stock compensation plans. The Company has elected to continue accounting for its stock compensation plan using the intrinsic value based method under APB Opinion No. 25. See Note 10 of the Notes to Consolidated Financial Statements.</w:t>
      </w:r>
    </w:p>
    <w:p>
      <w:pPr>
        <w:spacing w:after="0" w:line="311" w:lineRule="exact"/>
        <w:rPr>
          <w:sz w:val="20"/>
          <w:szCs w:val="20"/>
          <w:color w:val="auto"/>
        </w:rPr>
      </w:pPr>
    </w:p>
    <w:p>
      <w:pPr>
        <w:ind w:left="560" w:right="3819"/>
        <w:spacing w:after="0" w:line="251" w:lineRule="auto"/>
        <w:rPr>
          <w:sz w:val="20"/>
          <w:szCs w:val="20"/>
          <w:color w:val="auto"/>
        </w:rPr>
      </w:pPr>
      <w:r>
        <w:rPr>
          <w:rFonts w:ascii="Courier New" w:cs="Courier New" w:eastAsia="Courier New" w:hAnsi="Courier New"/>
          <w:sz w:val="13"/>
          <w:szCs w:val="13"/>
          <w:color w:val="auto"/>
        </w:rPr>
        <w:t>The Company has elected to continue accounting for its stock compensation plan using the intrinsic value based method under APB Opinion No. 25 and, accordingly, has not recorded compensation expense for each of the three years ended December 31, 2002, except as discussed above. Had compensation cost for the Company's stock compensation plan been determined based on the fair value at the option grant dates, the Company's net income and earnings per share would have been reduced to the proforma amounts indicated below:</w:t>
      </w:r>
    </w:p>
    <w:p>
      <w:pPr>
        <w:spacing w:after="0" w:line="310"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6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960" w:type="dxa"/>
            <w:vAlign w:val="bottom"/>
            <w:gridSpan w:val="5"/>
          </w:tcPr>
          <w:p>
            <w:pPr>
              <w:jc w:val="right"/>
              <w:ind w:right="493"/>
              <w:spacing w:after="0"/>
              <w:rPr>
                <w:sz w:val="20"/>
                <w:szCs w:val="20"/>
                <w:color w:val="auto"/>
              </w:rPr>
            </w:pPr>
            <w:r>
              <w:rPr>
                <w:rFonts w:ascii="Courier New" w:cs="Courier New" w:eastAsia="Courier New" w:hAnsi="Courier New"/>
                <w:sz w:val="13"/>
                <w:szCs w:val="13"/>
                <w:color w:val="auto"/>
              </w:rPr>
              <w:t>Year ended December 31,</w:t>
            </w:r>
          </w:p>
        </w:tc>
      </w:tr>
      <w:tr>
        <w:trPr>
          <w:trHeight w:val="154"/>
        </w:trPr>
        <w:tc>
          <w:tcPr>
            <w:tcW w:w="6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jc w:val="center"/>
              <w:ind w:right="253"/>
              <w:spacing w:after="0"/>
              <w:rPr>
                <w:sz w:val="20"/>
                <w:szCs w:val="20"/>
                <w:color w:val="auto"/>
              </w:rPr>
            </w:pPr>
            <w:r>
              <w:rPr>
                <w:rFonts w:ascii="Courier New" w:cs="Courier New" w:eastAsia="Courier New" w:hAnsi="Courier New"/>
                <w:sz w:val="13"/>
                <w:szCs w:val="13"/>
                <w:color w:val="auto"/>
              </w:rPr>
              <w:t>2002</w:t>
            </w:r>
          </w:p>
        </w:tc>
        <w:tc>
          <w:tcPr>
            <w:tcW w:w="400" w:type="dxa"/>
            <w:vAlign w:val="bottom"/>
          </w:tcPr>
          <w:p>
            <w:pPr>
              <w:spacing w:after="0"/>
              <w:rPr>
                <w:sz w:val="13"/>
                <w:szCs w:val="13"/>
                <w:color w:val="auto"/>
              </w:rPr>
            </w:pPr>
          </w:p>
        </w:tc>
        <w:tc>
          <w:tcPr>
            <w:tcW w:w="680" w:type="dxa"/>
            <w:vAlign w:val="bottom"/>
          </w:tcPr>
          <w:p>
            <w:pPr>
              <w:jc w:val="right"/>
              <w:ind w:right="293"/>
              <w:spacing w:after="0"/>
              <w:rPr>
                <w:sz w:val="20"/>
                <w:szCs w:val="20"/>
                <w:color w:val="auto"/>
              </w:rPr>
            </w:pPr>
            <w:r>
              <w:rPr>
                <w:rFonts w:ascii="Courier New" w:cs="Courier New" w:eastAsia="Courier New" w:hAnsi="Courier New"/>
                <w:sz w:val="13"/>
                <w:szCs w:val="13"/>
                <w:color w:val="auto"/>
                <w:w w:val="95"/>
              </w:rPr>
              <w:t>2001</w:t>
            </w:r>
          </w:p>
        </w:tc>
        <w:tc>
          <w:tcPr>
            <w:tcW w:w="440" w:type="dxa"/>
            <w:vAlign w:val="bottom"/>
          </w:tcPr>
          <w:p>
            <w:pPr>
              <w:spacing w:after="0"/>
              <w:rPr>
                <w:sz w:val="13"/>
                <w:szCs w:val="13"/>
                <w:color w:val="auto"/>
              </w:rPr>
            </w:pPr>
          </w:p>
        </w:tc>
        <w:tc>
          <w:tcPr>
            <w:tcW w:w="640" w:type="dxa"/>
            <w:vAlign w:val="bottom"/>
          </w:tcPr>
          <w:p>
            <w:pPr>
              <w:jc w:val="center"/>
              <w:ind w:right="253"/>
              <w:spacing w:after="0"/>
              <w:rPr>
                <w:sz w:val="20"/>
                <w:szCs w:val="20"/>
                <w:color w:val="auto"/>
              </w:rPr>
            </w:pPr>
            <w:r>
              <w:rPr>
                <w:rFonts w:ascii="Courier New" w:cs="Courier New" w:eastAsia="Courier New" w:hAnsi="Courier New"/>
                <w:sz w:val="13"/>
                <w:szCs w:val="13"/>
                <w:color w:val="auto"/>
              </w:rPr>
              <w:t>2000</w:t>
            </w:r>
          </w:p>
        </w:tc>
      </w:tr>
      <w:tr>
        <w:trPr>
          <w:trHeight w:val="154"/>
        </w:trPr>
        <w:tc>
          <w:tcPr>
            <w:tcW w:w="6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480" w:type="dxa"/>
            <w:vAlign w:val="bottom"/>
            <w:gridSpan w:val="2"/>
          </w:tcPr>
          <w:p>
            <w:pPr>
              <w:jc w:val="center"/>
              <w:ind w:left="293"/>
              <w:spacing w:after="0"/>
              <w:rPr>
                <w:sz w:val="20"/>
                <w:szCs w:val="20"/>
                <w:color w:val="auto"/>
              </w:rPr>
            </w:pPr>
            <w:r>
              <w:rPr>
                <w:rFonts w:ascii="Courier New" w:cs="Courier New" w:eastAsia="Courier New" w:hAnsi="Courier New"/>
                <w:sz w:val="13"/>
                <w:szCs w:val="13"/>
                <w:color w:val="auto"/>
              </w:rPr>
              <w:t>------------</w:t>
            </w:r>
          </w:p>
        </w:tc>
        <w:tc>
          <w:tcPr>
            <w:tcW w:w="1080" w:type="dxa"/>
            <w:vAlign w:val="bottom"/>
            <w:gridSpan w:val="2"/>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1080" w:type="dxa"/>
            <w:vAlign w:val="bottom"/>
            <w:gridSpan w:val="2"/>
          </w:tcPr>
          <w:p>
            <w:pPr>
              <w:jc w:val="center"/>
              <w:ind w:left="53"/>
              <w:spacing w:after="0"/>
              <w:rPr>
                <w:sz w:val="20"/>
                <w:szCs w:val="20"/>
                <w:color w:val="auto"/>
              </w:rPr>
            </w:pPr>
            <w:r>
              <w:rPr>
                <w:rFonts w:ascii="Courier New" w:cs="Courier New" w:eastAsia="Courier New" w:hAnsi="Courier New"/>
                <w:sz w:val="13"/>
                <w:szCs w:val="13"/>
                <w:color w:val="auto"/>
              </w:rPr>
              <w:t>------------</w:t>
            </w:r>
          </w:p>
        </w:tc>
      </w:tr>
      <w:tr>
        <w:trPr>
          <w:trHeight w:val="154"/>
        </w:trPr>
        <w:tc>
          <w:tcPr>
            <w:tcW w:w="4300" w:type="dxa"/>
            <w:vAlign w:val="bottom"/>
            <w:gridSpan w:val="2"/>
          </w:tcPr>
          <w:p>
            <w:pPr>
              <w:spacing w:after="0"/>
              <w:rPr>
                <w:sz w:val="20"/>
                <w:szCs w:val="20"/>
                <w:color w:val="auto"/>
              </w:rPr>
            </w:pPr>
            <w:r>
              <w:rPr>
                <w:rFonts w:ascii="Courier New" w:cs="Courier New" w:eastAsia="Courier New" w:hAnsi="Courier New"/>
                <w:sz w:val="13"/>
                <w:szCs w:val="13"/>
                <w:color w:val="auto"/>
              </w:rPr>
              <w:t>Net income - as reported</w:t>
            </w:r>
          </w:p>
        </w:tc>
        <w:tc>
          <w:tcPr>
            <w:tcW w:w="6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8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13,664</w:t>
            </w:r>
          </w:p>
        </w:tc>
        <w:tc>
          <w:tcPr>
            <w:tcW w:w="4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jc w:val="right"/>
              <w:ind w:right="53"/>
              <w:spacing w:after="0"/>
              <w:rPr>
                <w:sz w:val="20"/>
                <w:szCs w:val="20"/>
                <w:color w:val="auto"/>
              </w:rPr>
            </w:pPr>
            <w:r>
              <w:rPr>
                <w:rFonts w:ascii="Courier New" w:cs="Courier New" w:eastAsia="Courier New" w:hAnsi="Courier New"/>
                <w:sz w:val="13"/>
                <w:szCs w:val="13"/>
                <w:color w:val="auto"/>
              </w:rPr>
              <w:t>4,662</w:t>
            </w:r>
          </w:p>
        </w:tc>
        <w:tc>
          <w:tcPr>
            <w:tcW w:w="4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9,987</w:t>
            </w:r>
          </w:p>
        </w:tc>
      </w:tr>
      <w:tr>
        <w:trPr>
          <w:trHeight w:val="154"/>
        </w:trPr>
        <w:tc>
          <w:tcPr>
            <w:tcW w:w="680" w:type="dxa"/>
            <w:vAlign w:val="bottom"/>
          </w:tcPr>
          <w:p>
            <w:pPr>
              <w:jc w:val="right"/>
              <w:spacing w:after="0"/>
              <w:rPr>
                <w:sz w:val="20"/>
                <w:szCs w:val="20"/>
                <w:color w:val="auto"/>
              </w:rPr>
            </w:pPr>
            <w:r>
              <w:rPr>
                <w:rFonts w:ascii="Courier New" w:cs="Courier New" w:eastAsia="Courier New" w:hAnsi="Courier New"/>
                <w:sz w:val="13"/>
                <w:szCs w:val="13"/>
                <w:color w:val="auto"/>
              </w:rPr>
              <w:t>Stock</w:t>
            </w:r>
          </w:p>
        </w:tc>
        <w:tc>
          <w:tcPr>
            <w:tcW w:w="3620" w:type="dxa"/>
            <w:vAlign w:val="bottom"/>
          </w:tcPr>
          <w:p>
            <w:pPr>
              <w:ind w:left="40"/>
              <w:spacing w:after="0"/>
              <w:rPr>
                <w:sz w:val="20"/>
                <w:szCs w:val="20"/>
                <w:color w:val="auto"/>
              </w:rPr>
            </w:pPr>
            <w:r>
              <w:rPr>
                <w:rFonts w:ascii="Courier New" w:cs="Courier New" w:eastAsia="Courier New" w:hAnsi="Courier New"/>
                <w:sz w:val="13"/>
                <w:szCs w:val="13"/>
                <w:color w:val="auto"/>
              </w:rPr>
              <w:t>based compensation costs, net of income</w:t>
            </w: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4"/>
        </w:trPr>
        <w:tc>
          <w:tcPr>
            <w:tcW w:w="680" w:type="dxa"/>
            <w:vAlign w:val="bottom"/>
          </w:tcPr>
          <w:p>
            <w:pPr>
              <w:jc w:val="right"/>
              <w:spacing w:after="0"/>
              <w:rPr>
                <w:sz w:val="20"/>
                <w:szCs w:val="20"/>
                <w:color w:val="auto"/>
              </w:rPr>
            </w:pPr>
            <w:r>
              <w:rPr>
                <w:rFonts w:ascii="Courier New" w:cs="Courier New" w:eastAsia="Courier New" w:hAnsi="Courier New"/>
                <w:sz w:val="13"/>
                <w:szCs w:val="13"/>
                <w:color w:val="auto"/>
              </w:rPr>
              <w:t>tax,</w:t>
            </w:r>
          </w:p>
        </w:tc>
        <w:tc>
          <w:tcPr>
            <w:tcW w:w="3620" w:type="dxa"/>
            <w:vAlign w:val="bottom"/>
          </w:tcPr>
          <w:p>
            <w:pPr>
              <w:ind w:left="40"/>
              <w:spacing w:after="0"/>
              <w:rPr>
                <w:sz w:val="20"/>
                <w:szCs w:val="20"/>
                <w:color w:val="auto"/>
              </w:rPr>
            </w:pPr>
            <w:r>
              <w:rPr>
                <w:rFonts w:ascii="Courier New" w:cs="Courier New" w:eastAsia="Courier New" w:hAnsi="Courier New"/>
                <w:sz w:val="13"/>
                <w:szCs w:val="13"/>
                <w:color w:val="auto"/>
              </w:rPr>
              <w:t>included in net income as reported</w:t>
            </w:r>
          </w:p>
        </w:tc>
        <w:tc>
          <w:tcPr>
            <w:tcW w:w="680" w:type="dxa"/>
            <w:vAlign w:val="bottom"/>
          </w:tcPr>
          <w:p>
            <w:pPr>
              <w:spacing w:after="0"/>
              <w:rPr>
                <w:sz w:val="13"/>
                <w:szCs w:val="13"/>
                <w:color w:val="auto"/>
              </w:rPr>
            </w:pPr>
          </w:p>
        </w:tc>
        <w:tc>
          <w:tcPr>
            <w:tcW w:w="8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400" w:type="dxa"/>
            <w:vAlign w:val="bottom"/>
          </w:tcPr>
          <w:p>
            <w:pPr>
              <w:spacing w:after="0"/>
              <w:rPr>
                <w:sz w:val="13"/>
                <w:szCs w:val="13"/>
                <w:color w:val="auto"/>
              </w:rPr>
            </w:pPr>
          </w:p>
        </w:tc>
        <w:tc>
          <w:tcPr>
            <w:tcW w:w="68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440" w:type="dxa"/>
            <w:vAlign w:val="bottom"/>
          </w:tcPr>
          <w:p>
            <w:pPr>
              <w:spacing w:after="0"/>
              <w:rPr>
                <w:sz w:val="13"/>
                <w:szCs w:val="13"/>
                <w:color w:val="auto"/>
              </w:rPr>
            </w:pPr>
          </w:p>
        </w:tc>
        <w:tc>
          <w:tcPr>
            <w:tcW w:w="6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r>
      <w:tr>
        <w:trPr>
          <w:trHeight w:val="154"/>
        </w:trPr>
        <w:tc>
          <w:tcPr>
            <w:tcW w:w="680" w:type="dxa"/>
            <w:vAlign w:val="bottom"/>
          </w:tcPr>
          <w:p>
            <w:pPr>
              <w:jc w:val="right"/>
              <w:spacing w:after="0"/>
              <w:rPr>
                <w:sz w:val="20"/>
                <w:szCs w:val="20"/>
                <w:color w:val="auto"/>
              </w:rPr>
            </w:pPr>
            <w:r>
              <w:rPr>
                <w:rFonts w:ascii="Courier New" w:cs="Courier New" w:eastAsia="Courier New" w:hAnsi="Courier New"/>
                <w:sz w:val="13"/>
                <w:szCs w:val="13"/>
                <w:color w:val="auto"/>
              </w:rPr>
              <w:t>Stock</w:t>
            </w:r>
          </w:p>
        </w:tc>
        <w:tc>
          <w:tcPr>
            <w:tcW w:w="3620" w:type="dxa"/>
            <w:vAlign w:val="bottom"/>
          </w:tcPr>
          <w:p>
            <w:pPr>
              <w:ind w:left="40"/>
              <w:spacing w:after="0"/>
              <w:rPr>
                <w:sz w:val="20"/>
                <w:szCs w:val="20"/>
                <w:color w:val="auto"/>
              </w:rPr>
            </w:pPr>
            <w:r>
              <w:rPr>
                <w:rFonts w:ascii="Courier New" w:cs="Courier New" w:eastAsia="Courier New" w:hAnsi="Courier New"/>
                <w:sz w:val="13"/>
                <w:szCs w:val="13"/>
                <w:color w:val="auto"/>
              </w:rPr>
              <w:t>based compensation costs, net of income</w:t>
            </w: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4"/>
        </w:trPr>
        <w:tc>
          <w:tcPr>
            <w:tcW w:w="680" w:type="dxa"/>
            <w:vAlign w:val="bottom"/>
          </w:tcPr>
          <w:p>
            <w:pPr>
              <w:jc w:val="right"/>
              <w:spacing w:after="0"/>
              <w:rPr>
                <w:sz w:val="20"/>
                <w:szCs w:val="20"/>
                <w:color w:val="auto"/>
              </w:rPr>
            </w:pPr>
            <w:r>
              <w:rPr>
                <w:rFonts w:ascii="Courier New" w:cs="Courier New" w:eastAsia="Courier New" w:hAnsi="Courier New"/>
                <w:sz w:val="13"/>
                <w:szCs w:val="13"/>
                <w:color w:val="auto"/>
              </w:rPr>
              <w:t>tax,</w:t>
            </w:r>
          </w:p>
        </w:tc>
        <w:tc>
          <w:tcPr>
            <w:tcW w:w="3620" w:type="dxa"/>
            <w:vAlign w:val="bottom"/>
          </w:tcPr>
          <w:p>
            <w:pPr>
              <w:ind w:left="40"/>
              <w:spacing w:after="0"/>
              <w:rPr>
                <w:sz w:val="20"/>
                <w:szCs w:val="20"/>
                <w:color w:val="auto"/>
              </w:rPr>
            </w:pPr>
            <w:r>
              <w:rPr>
                <w:rFonts w:ascii="Courier New" w:cs="Courier New" w:eastAsia="Courier New" w:hAnsi="Courier New"/>
                <w:sz w:val="13"/>
                <w:szCs w:val="13"/>
                <w:color w:val="auto"/>
              </w:rPr>
              <w:t>that would have been included in net</w:t>
            </w: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4"/>
        </w:trPr>
        <w:tc>
          <w:tcPr>
            <w:tcW w:w="4300" w:type="dxa"/>
            <w:vAlign w:val="bottom"/>
            <w:gridSpan w:val="2"/>
          </w:tcPr>
          <w:p>
            <w:pPr>
              <w:ind w:left="320"/>
              <w:spacing w:after="0"/>
              <w:rPr>
                <w:sz w:val="20"/>
                <w:szCs w:val="20"/>
                <w:color w:val="auto"/>
              </w:rPr>
            </w:pPr>
            <w:r>
              <w:rPr>
                <w:rFonts w:ascii="Courier New" w:cs="Courier New" w:eastAsia="Courier New" w:hAnsi="Courier New"/>
                <w:sz w:val="13"/>
                <w:szCs w:val="13"/>
                <w:color w:val="auto"/>
              </w:rPr>
              <w:t>income if the fair value method had been</w:t>
            </w: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4"/>
        </w:trPr>
        <w:tc>
          <w:tcPr>
            <w:tcW w:w="4300" w:type="dxa"/>
            <w:vAlign w:val="bottom"/>
            <w:gridSpan w:val="2"/>
          </w:tcPr>
          <w:p>
            <w:pPr>
              <w:ind w:left="320"/>
              <w:spacing w:after="0"/>
              <w:rPr>
                <w:sz w:val="20"/>
                <w:szCs w:val="20"/>
                <w:color w:val="auto"/>
              </w:rPr>
            </w:pPr>
            <w:r>
              <w:rPr>
                <w:rFonts w:ascii="Courier New" w:cs="Courier New" w:eastAsia="Courier New" w:hAnsi="Courier New"/>
                <w:sz w:val="13"/>
                <w:szCs w:val="13"/>
                <w:color w:val="auto"/>
              </w:rPr>
              <w:t>applied</w:t>
            </w:r>
          </w:p>
        </w:tc>
        <w:tc>
          <w:tcPr>
            <w:tcW w:w="680" w:type="dxa"/>
            <w:vAlign w:val="bottom"/>
          </w:tcPr>
          <w:p>
            <w:pPr>
              <w:spacing w:after="0"/>
              <w:rPr>
                <w:sz w:val="13"/>
                <w:szCs w:val="13"/>
                <w:color w:val="auto"/>
              </w:rPr>
            </w:pPr>
          </w:p>
        </w:tc>
        <w:tc>
          <w:tcPr>
            <w:tcW w:w="8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488</w:t>
            </w:r>
          </w:p>
        </w:tc>
        <w:tc>
          <w:tcPr>
            <w:tcW w:w="400" w:type="dxa"/>
            <w:vAlign w:val="bottom"/>
          </w:tcPr>
          <w:p>
            <w:pPr>
              <w:spacing w:after="0"/>
              <w:rPr>
                <w:sz w:val="13"/>
                <w:szCs w:val="13"/>
                <w:color w:val="auto"/>
              </w:rPr>
            </w:pPr>
          </w:p>
        </w:tc>
        <w:tc>
          <w:tcPr>
            <w:tcW w:w="680" w:type="dxa"/>
            <w:vAlign w:val="bottom"/>
          </w:tcPr>
          <w:p>
            <w:pPr>
              <w:jc w:val="right"/>
              <w:ind w:right="53"/>
              <w:spacing w:after="0"/>
              <w:rPr>
                <w:sz w:val="20"/>
                <w:szCs w:val="20"/>
                <w:color w:val="auto"/>
              </w:rPr>
            </w:pPr>
            <w:r>
              <w:rPr>
                <w:rFonts w:ascii="Courier New" w:cs="Courier New" w:eastAsia="Courier New" w:hAnsi="Courier New"/>
                <w:sz w:val="13"/>
                <w:szCs w:val="13"/>
                <w:color w:val="auto"/>
              </w:rPr>
              <w:t>315</w:t>
            </w:r>
          </w:p>
        </w:tc>
        <w:tc>
          <w:tcPr>
            <w:tcW w:w="440" w:type="dxa"/>
            <w:vAlign w:val="bottom"/>
          </w:tcPr>
          <w:p>
            <w:pPr>
              <w:spacing w:after="0"/>
              <w:rPr>
                <w:sz w:val="13"/>
                <w:szCs w:val="13"/>
                <w:color w:val="auto"/>
              </w:rPr>
            </w:pPr>
          </w:p>
        </w:tc>
        <w:tc>
          <w:tcPr>
            <w:tcW w:w="6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183</w:t>
            </w:r>
          </w:p>
        </w:tc>
      </w:tr>
      <w:tr>
        <w:trPr>
          <w:trHeight w:val="154"/>
        </w:trPr>
        <w:tc>
          <w:tcPr>
            <w:tcW w:w="6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480" w:type="dxa"/>
            <w:vAlign w:val="bottom"/>
            <w:gridSpan w:val="2"/>
          </w:tcPr>
          <w:p>
            <w:pPr>
              <w:jc w:val="center"/>
              <w:ind w:left="293"/>
              <w:spacing w:after="0"/>
              <w:rPr>
                <w:sz w:val="20"/>
                <w:szCs w:val="20"/>
                <w:color w:val="auto"/>
              </w:rPr>
            </w:pPr>
            <w:r>
              <w:rPr>
                <w:rFonts w:ascii="Courier New" w:cs="Courier New" w:eastAsia="Courier New" w:hAnsi="Courier New"/>
                <w:sz w:val="13"/>
                <w:szCs w:val="13"/>
                <w:color w:val="auto"/>
              </w:rPr>
              <w:t>------------</w:t>
            </w:r>
          </w:p>
        </w:tc>
        <w:tc>
          <w:tcPr>
            <w:tcW w:w="1080" w:type="dxa"/>
            <w:vAlign w:val="bottom"/>
            <w:gridSpan w:val="2"/>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1080" w:type="dxa"/>
            <w:vAlign w:val="bottom"/>
            <w:gridSpan w:val="2"/>
          </w:tcPr>
          <w:p>
            <w:pPr>
              <w:jc w:val="center"/>
              <w:ind w:left="53"/>
              <w:spacing w:after="0"/>
              <w:rPr>
                <w:sz w:val="20"/>
                <w:szCs w:val="20"/>
                <w:color w:val="auto"/>
              </w:rPr>
            </w:pPr>
            <w:r>
              <w:rPr>
                <w:rFonts w:ascii="Courier New" w:cs="Courier New" w:eastAsia="Courier New" w:hAnsi="Courier New"/>
                <w:sz w:val="13"/>
                <w:szCs w:val="13"/>
                <w:color w:val="auto"/>
              </w:rPr>
              <w:t>------------</w:t>
            </w:r>
          </w:p>
        </w:tc>
      </w:tr>
      <w:tr>
        <w:trPr>
          <w:trHeight w:val="154"/>
        </w:trPr>
        <w:tc>
          <w:tcPr>
            <w:tcW w:w="4300" w:type="dxa"/>
            <w:vAlign w:val="bottom"/>
            <w:gridSpan w:val="2"/>
          </w:tcPr>
          <w:p>
            <w:pPr>
              <w:spacing w:after="0"/>
              <w:rPr>
                <w:sz w:val="20"/>
                <w:szCs w:val="20"/>
                <w:color w:val="auto"/>
              </w:rPr>
            </w:pPr>
            <w:r>
              <w:rPr>
                <w:rFonts w:ascii="Courier New" w:cs="Courier New" w:eastAsia="Courier New" w:hAnsi="Courier New"/>
                <w:sz w:val="13"/>
                <w:szCs w:val="13"/>
                <w:color w:val="auto"/>
              </w:rPr>
              <w:t>Net income - proforma</w:t>
            </w:r>
          </w:p>
        </w:tc>
        <w:tc>
          <w:tcPr>
            <w:tcW w:w="680" w:type="dxa"/>
            <w:vAlign w:val="bottom"/>
          </w:tcPr>
          <w:p>
            <w:pPr>
              <w:spacing w:after="0"/>
              <w:rPr>
                <w:sz w:val="13"/>
                <w:szCs w:val="13"/>
                <w:color w:val="auto"/>
              </w:rPr>
            </w:pPr>
          </w:p>
        </w:tc>
        <w:tc>
          <w:tcPr>
            <w:tcW w:w="800" w:type="dxa"/>
            <w:vAlign w:val="bottom"/>
          </w:tcPr>
          <w:p>
            <w:pPr>
              <w:jc w:val="right"/>
              <w:ind w:right="93"/>
              <w:spacing w:after="0"/>
              <w:rPr>
                <w:sz w:val="20"/>
                <w:szCs w:val="20"/>
                <w:color w:val="auto"/>
              </w:rPr>
            </w:pPr>
            <w:r>
              <w:rPr>
                <w:rFonts w:ascii="Courier New" w:cs="Courier New" w:eastAsia="Courier New" w:hAnsi="Courier New"/>
                <w:sz w:val="13"/>
                <w:szCs w:val="13"/>
                <w:color w:val="auto"/>
                <w:w w:val="99"/>
              </w:rPr>
              <w:t>$ 13,176</w:t>
            </w:r>
          </w:p>
        </w:tc>
        <w:tc>
          <w:tcPr>
            <w:tcW w:w="4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jc w:val="right"/>
              <w:ind w:right="53"/>
              <w:spacing w:after="0"/>
              <w:rPr>
                <w:sz w:val="20"/>
                <w:szCs w:val="20"/>
                <w:color w:val="auto"/>
              </w:rPr>
            </w:pPr>
            <w:r>
              <w:rPr>
                <w:rFonts w:ascii="Courier New" w:cs="Courier New" w:eastAsia="Courier New" w:hAnsi="Courier New"/>
                <w:sz w:val="13"/>
                <w:szCs w:val="13"/>
                <w:color w:val="auto"/>
              </w:rPr>
              <w:t>4,347</w:t>
            </w:r>
          </w:p>
        </w:tc>
        <w:tc>
          <w:tcPr>
            <w:tcW w:w="4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9,804</w:t>
            </w:r>
          </w:p>
        </w:tc>
      </w:tr>
      <w:tr>
        <w:trPr>
          <w:trHeight w:val="154"/>
        </w:trPr>
        <w:tc>
          <w:tcPr>
            <w:tcW w:w="6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480" w:type="dxa"/>
            <w:vAlign w:val="bottom"/>
            <w:gridSpan w:val="2"/>
          </w:tcPr>
          <w:p>
            <w:pPr>
              <w:jc w:val="center"/>
              <w:ind w:left="293"/>
              <w:spacing w:after="0"/>
              <w:rPr>
                <w:sz w:val="20"/>
                <w:szCs w:val="20"/>
                <w:color w:val="auto"/>
              </w:rPr>
            </w:pPr>
            <w:r>
              <w:rPr>
                <w:rFonts w:ascii="Courier New" w:cs="Courier New" w:eastAsia="Courier New" w:hAnsi="Courier New"/>
                <w:sz w:val="13"/>
                <w:szCs w:val="13"/>
                <w:color w:val="auto"/>
              </w:rPr>
              <w:t>============</w:t>
            </w:r>
          </w:p>
        </w:tc>
        <w:tc>
          <w:tcPr>
            <w:tcW w:w="1080" w:type="dxa"/>
            <w:vAlign w:val="bottom"/>
            <w:gridSpan w:val="2"/>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1080" w:type="dxa"/>
            <w:vAlign w:val="bottom"/>
            <w:gridSpan w:val="2"/>
          </w:tcPr>
          <w:p>
            <w:pPr>
              <w:jc w:val="center"/>
              <w:ind w:left="53"/>
              <w:spacing w:after="0"/>
              <w:rPr>
                <w:sz w:val="20"/>
                <w:szCs w:val="20"/>
                <w:color w:val="auto"/>
              </w:rPr>
            </w:pPr>
            <w:r>
              <w:rPr>
                <w:rFonts w:ascii="Courier New" w:cs="Courier New" w:eastAsia="Courier New" w:hAnsi="Courier New"/>
                <w:sz w:val="13"/>
                <w:szCs w:val="13"/>
                <w:color w:val="auto"/>
              </w:rPr>
              <w:t>============</w:t>
            </w:r>
          </w:p>
        </w:tc>
      </w:tr>
      <w:tr>
        <w:trPr>
          <w:trHeight w:val="308"/>
        </w:trPr>
        <w:tc>
          <w:tcPr>
            <w:tcW w:w="680" w:type="dxa"/>
            <w:vAlign w:val="bottom"/>
          </w:tcPr>
          <w:p>
            <w:pPr>
              <w:jc w:val="right"/>
              <w:spacing w:after="0"/>
              <w:rPr>
                <w:sz w:val="20"/>
                <w:szCs w:val="20"/>
                <w:color w:val="auto"/>
              </w:rPr>
            </w:pPr>
            <w:r>
              <w:rPr>
                <w:rFonts w:ascii="Courier New" w:cs="Courier New" w:eastAsia="Courier New" w:hAnsi="Courier New"/>
                <w:sz w:val="13"/>
                <w:szCs w:val="13"/>
                <w:color w:val="auto"/>
                <w:w w:val="99"/>
              </w:rPr>
              <w:t>Earnings</w:t>
            </w:r>
          </w:p>
        </w:tc>
        <w:tc>
          <w:tcPr>
            <w:tcW w:w="3620" w:type="dxa"/>
            <w:vAlign w:val="bottom"/>
          </w:tcPr>
          <w:p>
            <w:pPr>
              <w:ind w:left="40"/>
              <w:spacing w:after="0"/>
              <w:rPr>
                <w:sz w:val="20"/>
                <w:szCs w:val="20"/>
                <w:color w:val="auto"/>
              </w:rPr>
            </w:pPr>
            <w:r>
              <w:rPr>
                <w:rFonts w:ascii="Courier New" w:cs="Courier New" w:eastAsia="Courier New" w:hAnsi="Courier New"/>
                <w:sz w:val="13"/>
                <w:szCs w:val="13"/>
                <w:color w:val="auto"/>
              </w:rPr>
              <w:t>per share - as reported</w:t>
            </w:r>
          </w:p>
        </w:tc>
        <w:tc>
          <w:tcPr>
            <w:tcW w:w="6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8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0.89</w:t>
            </w:r>
          </w:p>
        </w:tc>
        <w:tc>
          <w:tcPr>
            <w:tcW w:w="4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jc w:val="right"/>
              <w:ind w:right="53"/>
              <w:spacing w:after="0"/>
              <w:rPr>
                <w:sz w:val="20"/>
                <w:szCs w:val="20"/>
                <w:color w:val="auto"/>
              </w:rPr>
            </w:pPr>
            <w:r>
              <w:rPr>
                <w:rFonts w:ascii="Courier New" w:cs="Courier New" w:eastAsia="Courier New" w:hAnsi="Courier New"/>
                <w:sz w:val="13"/>
                <w:szCs w:val="13"/>
                <w:color w:val="auto"/>
              </w:rPr>
              <w:t>0.31</w:t>
            </w:r>
          </w:p>
        </w:tc>
        <w:tc>
          <w:tcPr>
            <w:tcW w:w="4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0.66</w:t>
            </w:r>
          </w:p>
        </w:tc>
      </w:tr>
      <w:tr>
        <w:trPr>
          <w:trHeight w:val="154"/>
        </w:trPr>
        <w:tc>
          <w:tcPr>
            <w:tcW w:w="680" w:type="dxa"/>
            <w:vAlign w:val="bottom"/>
          </w:tcPr>
          <w:p>
            <w:pPr>
              <w:jc w:val="right"/>
              <w:spacing w:after="0"/>
              <w:rPr>
                <w:sz w:val="20"/>
                <w:szCs w:val="20"/>
                <w:color w:val="auto"/>
              </w:rPr>
            </w:pPr>
            <w:r>
              <w:rPr>
                <w:rFonts w:ascii="Courier New" w:cs="Courier New" w:eastAsia="Courier New" w:hAnsi="Courier New"/>
                <w:sz w:val="13"/>
                <w:szCs w:val="13"/>
                <w:color w:val="auto"/>
              </w:rPr>
              <w:t>Stock</w:t>
            </w:r>
          </w:p>
        </w:tc>
        <w:tc>
          <w:tcPr>
            <w:tcW w:w="3620" w:type="dxa"/>
            <w:vAlign w:val="bottom"/>
          </w:tcPr>
          <w:p>
            <w:pPr>
              <w:ind w:left="40"/>
              <w:spacing w:after="0"/>
              <w:rPr>
                <w:sz w:val="20"/>
                <w:szCs w:val="20"/>
                <w:color w:val="auto"/>
              </w:rPr>
            </w:pPr>
            <w:r>
              <w:rPr>
                <w:rFonts w:ascii="Courier New" w:cs="Courier New" w:eastAsia="Courier New" w:hAnsi="Courier New"/>
                <w:sz w:val="13"/>
                <w:szCs w:val="13"/>
                <w:color w:val="auto"/>
              </w:rPr>
              <w:t>based compensation costs, net of income</w:t>
            </w: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4"/>
        </w:trPr>
        <w:tc>
          <w:tcPr>
            <w:tcW w:w="680" w:type="dxa"/>
            <w:vAlign w:val="bottom"/>
          </w:tcPr>
          <w:p>
            <w:pPr>
              <w:jc w:val="right"/>
              <w:spacing w:after="0"/>
              <w:rPr>
                <w:sz w:val="20"/>
                <w:szCs w:val="20"/>
                <w:color w:val="auto"/>
              </w:rPr>
            </w:pPr>
            <w:r>
              <w:rPr>
                <w:rFonts w:ascii="Courier New" w:cs="Courier New" w:eastAsia="Courier New" w:hAnsi="Courier New"/>
                <w:sz w:val="13"/>
                <w:szCs w:val="13"/>
                <w:color w:val="auto"/>
              </w:rPr>
              <w:t>tax,</w:t>
            </w:r>
          </w:p>
        </w:tc>
        <w:tc>
          <w:tcPr>
            <w:tcW w:w="3620" w:type="dxa"/>
            <w:vAlign w:val="bottom"/>
          </w:tcPr>
          <w:p>
            <w:pPr>
              <w:ind w:left="40"/>
              <w:spacing w:after="0"/>
              <w:rPr>
                <w:sz w:val="20"/>
                <w:szCs w:val="20"/>
                <w:color w:val="auto"/>
              </w:rPr>
            </w:pPr>
            <w:r>
              <w:rPr>
                <w:rFonts w:ascii="Courier New" w:cs="Courier New" w:eastAsia="Courier New" w:hAnsi="Courier New"/>
                <w:sz w:val="13"/>
                <w:szCs w:val="13"/>
                <w:color w:val="auto"/>
              </w:rPr>
              <w:t>included in net income as reported</w:t>
            </w:r>
          </w:p>
        </w:tc>
        <w:tc>
          <w:tcPr>
            <w:tcW w:w="680" w:type="dxa"/>
            <w:vAlign w:val="bottom"/>
          </w:tcPr>
          <w:p>
            <w:pPr>
              <w:spacing w:after="0"/>
              <w:rPr>
                <w:sz w:val="13"/>
                <w:szCs w:val="13"/>
                <w:color w:val="auto"/>
              </w:rPr>
            </w:pPr>
          </w:p>
        </w:tc>
        <w:tc>
          <w:tcPr>
            <w:tcW w:w="8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400" w:type="dxa"/>
            <w:vAlign w:val="bottom"/>
          </w:tcPr>
          <w:p>
            <w:pPr>
              <w:spacing w:after="0"/>
              <w:rPr>
                <w:sz w:val="13"/>
                <w:szCs w:val="13"/>
                <w:color w:val="auto"/>
              </w:rPr>
            </w:pPr>
          </w:p>
        </w:tc>
        <w:tc>
          <w:tcPr>
            <w:tcW w:w="68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440" w:type="dxa"/>
            <w:vAlign w:val="bottom"/>
          </w:tcPr>
          <w:p>
            <w:pPr>
              <w:spacing w:after="0"/>
              <w:rPr>
                <w:sz w:val="13"/>
                <w:szCs w:val="13"/>
                <w:color w:val="auto"/>
              </w:rPr>
            </w:pPr>
          </w:p>
        </w:tc>
        <w:tc>
          <w:tcPr>
            <w:tcW w:w="6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r>
      <w:tr>
        <w:trPr>
          <w:trHeight w:val="154"/>
        </w:trPr>
        <w:tc>
          <w:tcPr>
            <w:tcW w:w="680" w:type="dxa"/>
            <w:vAlign w:val="bottom"/>
          </w:tcPr>
          <w:p>
            <w:pPr>
              <w:jc w:val="right"/>
              <w:spacing w:after="0"/>
              <w:rPr>
                <w:sz w:val="20"/>
                <w:szCs w:val="20"/>
                <w:color w:val="auto"/>
              </w:rPr>
            </w:pPr>
            <w:r>
              <w:rPr>
                <w:rFonts w:ascii="Courier New" w:cs="Courier New" w:eastAsia="Courier New" w:hAnsi="Courier New"/>
                <w:sz w:val="13"/>
                <w:szCs w:val="13"/>
                <w:color w:val="auto"/>
              </w:rPr>
              <w:t>Stock</w:t>
            </w:r>
          </w:p>
        </w:tc>
        <w:tc>
          <w:tcPr>
            <w:tcW w:w="3620" w:type="dxa"/>
            <w:vAlign w:val="bottom"/>
          </w:tcPr>
          <w:p>
            <w:pPr>
              <w:ind w:left="40"/>
              <w:spacing w:after="0"/>
              <w:rPr>
                <w:sz w:val="20"/>
                <w:szCs w:val="20"/>
                <w:color w:val="auto"/>
              </w:rPr>
            </w:pPr>
            <w:r>
              <w:rPr>
                <w:rFonts w:ascii="Courier New" w:cs="Courier New" w:eastAsia="Courier New" w:hAnsi="Courier New"/>
                <w:sz w:val="13"/>
                <w:szCs w:val="13"/>
                <w:color w:val="auto"/>
              </w:rPr>
              <w:t>based compensation costs, net of income</w:t>
            </w: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4"/>
        </w:trPr>
        <w:tc>
          <w:tcPr>
            <w:tcW w:w="680" w:type="dxa"/>
            <w:vAlign w:val="bottom"/>
          </w:tcPr>
          <w:p>
            <w:pPr>
              <w:jc w:val="right"/>
              <w:spacing w:after="0"/>
              <w:rPr>
                <w:sz w:val="20"/>
                <w:szCs w:val="20"/>
                <w:color w:val="auto"/>
              </w:rPr>
            </w:pPr>
            <w:r>
              <w:rPr>
                <w:rFonts w:ascii="Courier New" w:cs="Courier New" w:eastAsia="Courier New" w:hAnsi="Courier New"/>
                <w:sz w:val="13"/>
                <w:szCs w:val="13"/>
                <w:color w:val="auto"/>
              </w:rPr>
              <w:t>tax,</w:t>
            </w:r>
          </w:p>
        </w:tc>
        <w:tc>
          <w:tcPr>
            <w:tcW w:w="3620" w:type="dxa"/>
            <w:vAlign w:val="bottom"/>
          </w:tcPr>
          <w:p>
            <w:pPr>
              <w:ind w:left="40"/>
              <w:spacing w:after="0"/>
              <w:rPr>
                <w:sz w:val="20"/>
                <w:szCs w:val="20"/>
                <w:color w:val="auto"/>
              </w:rPr>
            </w:pPr>
            <w:r>
              <w:rPr>
                <w:rFonts w:ascii="Courier New" w:cs="Courier New" w:eastAsia="Courier New" w:hAnsi="Courier New"/>
                <w:sz w:val="13"/>
                <w:szCs w:val="13"/>
                <w:color w:val="auto"/>
              </w:rPr>
              <w:t>that would have been included in net</w:t>
            </w: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4"/>
        </w:trPr>
        <w:tc>
          <w:tcPr>
            <w:tcW w:w="4300" w:type="dxa"/>
            <w:vAlign w:val="bottom"/>
            <w:gridSpan w:val="2"/>
          </w:tcPr>
          <w:p>
            <w:pPr>
              <w:ind w:left="320"/>
              <w:spacing w:after="0"/>
              <w:rPr>
                <w:sz w:val="20"/>
                <w:szCs w:val="20"/>
                <w:color w:val="auto"/>
              </w:rPr>
            </w:pPr>
            <w:r>
              <w:rPr>
                <w:rFonts w:ascii="Courier New" w:cs="Courier New" w:eastAsia="Courier New" w:hAnsi="Courier New"/>
                <w:sz w:val="13"/>
                <w:szCs w:val="13"/>
                <w:color w:val="auto"/>
              </w:rPr>
              <w:t>income if the fair value method had been</w:t>
            </w: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4"/>
        </w:trPr>
        <w:tc>
          <w:tcPr>
            <w:tcW w:w="4300" w:type="dxa"/>
            <w:vAlign w:val="bottom"/>
            <w:gridSpan w:val="2"/>
          </w:tcPr>
          <w:p>
            <w:pPr>
              <w:ind w:left="320"/>
              <w:spacing w:after="0"/>
              <w:rPr>
                <w:sz w:val="20"/>
                <w:szCs w:val="20"/>
                <w:color w:val="auto"/>
              </w:rPr>
            </w:pPr>
            <w:r>
              <w:rPr>
                <w:rFonts w:ascii="Courier New" w:cs="Courier New" w:eastAsia="Courier New" w:hAnsi="Courier New"/>
                <w:sz w:val="13"/>
                <w:szCs w:val="13"/>
                <w:color w:val="auto"/>
              </w:rPr>
              <w:t>applied</w:t>
            </w:r>
          </w:p>
        </w:tc>
        <w:tc>
          <w:tcPr>
            <w:tcW w:w="680" w:type="dxa"/>
            <w:vAlign w:val="bottom"/>
          </w:tcPr>
          <w:p>
            <w:pPr>
              <w:spacing w:after="0"/>
              <w:rPr>
                <w:sz w:val="13"/>
                <w:szCs w:val="13"/>
                <w:color w:val="auto"/>
              </w:rPr>
            </w:pPr>
          </w:p>
        </w:tc>
        <w:tc>
          <w:tcPr>
            <w:tcW w:w="8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0.03</w:t>
            </w:r>
          </w:p>
        </w:tc>
        <w:tc>
          <w:tcPr>
            <w:tcW w:w="400" w:type="dxa"/>
            <w:vAlign w:val="bottom"/>
          </w:tcPr>
          <w:p>
            <w:pPr>
              <w:spacing w:after="0"/>
              <w:rPr>
                <w:sz w:val="13"/>
                <w:szCs w:val="13"/>
                <w:color w:val="auto"/>
              </w:rPr>
            </w:pPr>
          </w:p>
        </w:tc>
        <w:tc>
          <w:tcPr>
            <w:tcW w:w="680" w:type="dxa"/>
            <w:vAlign w:val="bottom"/>
          </w:tcPr>
          <w:p>
            <w:pPr>
              <w:jc w:val="right"/>
              <w:ind w:right="53"/>
              <w:spacing w:after="0"/>
              <w:rPr>
                <w:sz w:val="20"/>
                <w:szCs w:val="20"/>
                <w:color w:val="auto"/>
              </w:rPr>
            </w:pPr>
            <w:r>
              <w:rPr>
                <w:rFonts w:ascii="Courier New" w:cs="Courier New" w:eastAsia="Courier New" w:hAnsi="Courier New"/>
                <w:sz w:val="13"/>
                <w:szCs w:val="13"/>
                <w:color w:val="auto"/>
              </w:rPr>
              <w:t>0.03</w:t>
            </w:r>
          </w:p>
        </w:tc>
        <w:tc>
          <w:tcPr>
            <w:tcW w:w="440" w:type="dxa"/>
            <w:vAlign w:val="bottom"/>
          </w:tcPr>
          <w:p>
            <w:pPr>
              <w:spacing w:after="0"/>
              <w:rPr>
                <w:sz w:val="13"/>
                <w:szCs w:val="13"/>
                <w:color w:val="auto"/>
              </w:rPr>
            </w:pPr>
          </w:p>
        </w:tc>
        <w:tc>
          <w:tcPr>
            <w:tcW w:w="6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0.02</w:t>
            </w:r>
          </w:p>
        </w:tc>
      </w:tr>
      <w:tr>
        <w:trPr>
          <w:trHeight w:val="154"/>
        </w:trPr>
        <w:tc>
          <w:tcPr>
            <w:tcW w:w="6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480" w:type="dxa"/>
            <w:vAlign w:val="bottom"/>
            <w:gridSpan w:val="2"/>
          </w:tcPr>
          <w:p>
            <w:pPr>
              <w:jc w:val="center"/>
              <w:ind w:left="293"/>
              <w:spacing w:after="0"/>
              <w:rPr>
                <w:sz w:val="20"/>
                <w:szCs w:val="20"/>
                <w:color w:val="auto"/>
              </w:rPr>
            </w:pPr>
            <w:r>
              <w:rPr>
                <w:rFonts w:ascii="Courier New" w:cs="Courier New" w:eastAsia="Courier New" w:hAnsi="Courier New"/>
                <w:sz w:val="13"/>
                <w:szCs w:val="13"/>
                <w:color w:val="auto"/>
              </w:rPr>
              <w:t>------------</w:t>
            </w:r>
          </w:p>
        </w:tc>
        <w:tc>
          <w:tcPr>
            <w:tcW w:w="1080" w:type="dxa"/>
            <w:vAlign w:val="bottom"/>
            <w:gridSpan w:val="2"/>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1080" w:type="dxa"/>
            <w:vAlign w:val="bottom"/>
            <w:gridSpan w:val="2"/>
          </w:tcPr>
          <w:p>
            <w:pPr>
              <w:jc w:val="center"/>
              <w:ind w:left="53"/>
              <w:spacing w:after="0"/>
              <w:rPr>
                <w:sz w:val="20"/>
                <w:szCs w:val="20"/>
                <w:color w:val="auto"/>
              </w:rPr>
            </w:pPr>
            <w:r>
              <w:rPr>
                <w:rFonts w:ascii="Courier New" w:cs="Courier New" w:eastAsia="Courier New" w:hAnsi="Courier New"/>
                <w:sz w:val="13"/>
                <w:szCs w:val="13"/>
                <w:color w:val="auto"/>
              </w:rPr>
              <w:t>------------</w:t>
            </w:r>
          </w:p>
        </w:tc>
      </w:tr>
      <w:tr>
        <w:trPr>
          <w:trHeight w:val="154"/>
        </w:trPr>
        <w:tc>
          <w:tcPr>
            <w:tcW w:w="680" w:type="dxa"/>
            <w:vAlign w:val="bottom"/>
          </w:tcPr>
          <w:p>
            <w:pPr>
              <w:jc w:val="right"/>
              <w:spacing w:after="0"/>
              <w:rPr>
                <w:sz w:val="20"/>
                <w:szCs w:val="20"/>
                <w:color w:val="auto"/>
              </w:rPr>
            </w:pPr>
            <w:r>
              <w:rPr>
                <w:rFonts w:ascii="Courier New" w:cs="Courier New" w:eastAsia="Courier New" w:hAnsi="Courier New"/>
                <w:sz w:val="13"/>
                <w:szCs w:val="13"/>
                <w:color w:val="auto"/>
                <w:w w:val="99"/>
              </w:rPr>
              <w:t>Earnings</w:t>
            </w:r>
          </w:p>
        </w:tc>
        <w:tc>
          <w:tcPr>
            <w:tcW w:w="3620" w:type="dxa"/>
            <w:vAlign w:val="bottom"/>
          </w:tcPr>
          <w:p>
            <w:pPr>
              <w:ind w:left="40"/>
              <w:spacing w:after="0"/>
              <w:rPr>
                <w:sz w:val="20"/>
                <w:szCs w:val="20"/>
                <w:color w:val="auto"/>
              </w:rPr>
            </w:pPr>
            <w:r>
              <w:rPr>
                <w:rFonts w:ascii="Courier New" w:cs="Courier New" w:eastAsia="Courier New" w:hAnsi="Courier New"/>
                <w:sz w:val="13"/>
                <w:szCs w:val="13"/>
                <w:color w:val="auto"/>
              </w:rPr>
              <w:t>per share - proforma</w:t>
            </w:r>
          </w:p>
        </w:tc>
        <w:tc>
          <w:tcPr>
            <w:tcW w:w="6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8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0.86</w:t>
            </w:r>
          </w:p>
        </w:tc>
        <w:tc>
          <w:tcPr>
            <w:tcW w:w="4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jc w:val="right"/>
              <w:ind w:right="53"/>
              <w:spacing w:after="0"/>
              <w:rPr>
                <w:sz w:val="20"/>
                <w:szCs w:val="20"/>
                <w:color w:val="auto"/>
              </w:rPr>
            </w:pPr>
            <w:r>
              <w:rPr>
                <w:rFonts w:ascii="Courier New" w:cs="Courier New" w:eastAsia="Courier New" w:hAnsi="Courier New"/>
                <w:sz w:val="13"/>
                <w:szCs w:val="13"/>
                <w:color w:val="auto"/>
              </w:rPr>
              <w:t>0.28</w:t>
            </w:r>
          </w:p>
        </w:tc>
        <w:tc>
          <w:tcPr>
            <w:tcW w:w="4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0.64</w:t>
            </w:r>
          </w:p>
        </w:tc>
      </w:tr>
      <w:tr>
        <w:trPr>
          <w:trHeight w:val="154"/>
        </w:trPr>
        <w:tc>
          <w:tcPr>
            <w:tcW w:w="6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480" w:type="dxa"/>
            <w:vAlign w:val="bottom"/>
            <w:gridSpan w:val="2"/>
          </w:tcPr>
          <w:p>
            <w:pPr>
              <w:jc w:val="center"/>
              <w:ind w:left="293"/>
              <w:spacing w:after="0"/>
              <w:rPr>
                <w:sz w:val="20"/>
                <w:szCs w:val="20"/>
                <w:color w:val="auto"/>
              </w:rPr>
            </w:pPr>
            <w:r>
              <w:rPr>
                <w:rFonts w:ascii="Courier New" w:cs="Courier New" w:eastAsia="Courier New" w:hAnsi="Courier New"/>
                <w:sz w:val="13"/>
                <w:szCs w:val="13"/>
                <w:color w:val="auto"/>
              </w:rPr>
              <w:t>============</w:t>
            </w:r>
          </w:p>
        </w:tc>
        <w:tc>
          <w:tcPr>
            <w:tcW w:w="1080" w:type="dxa"/>
            <w:vAlign w:val="bottom"/>
            <w:gridSpan w:val="2"/>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1080" w:type="dxa"/>
            <w:vAlign w:val="bottom"/>
            <w:gridSpan w:val="2"/>
          </w:tcPr>
          <w:p>
            <w:pPr>
              <w:jc w:val="center"/>
              <w:ind w:left="53"/>
              <w:spacing w:after="0"/>
              <w:rPr>
                <w:sz w:val="20"/>
                <w:szCs w:val="20"/>
                <w:color w:val="auto"/>
              </w:rPr>
            </w:pPr>
            <w:r>
              <w:rPr>
                <w:rFonts w:ascii="Courier New" w:cs="Courier New" w:eastAsia="Courier New" w:hAnsi="Courier New"/>
                <w:sz w:val="13"/>
                <w:szCs w:val="13"/>
                <w:color w:val="auto"/>
              </w:rPr>
              <w:t>============</w:t>
            </w:r>
          </w:p>
        </w:tc>
      </w:tr>
    </w:tbl>
    <w:p>
      <w:pPr>
        <w:spacing w:after="0" w:line="313" w:lineRule="exact"/>
        <w:rPr>
          <w:sz w:val="20"/>
          <w:szCs w:val="20"/>
          <w:color w:val="auto"/>
        </w:rPr>
      </w:pPr>
    </w:p>
    <w:p>
      <w:pPr>
        <w:jc w:val="right"/>
        <w:ind w:right="3819"/>
        <w:spacing w:after="0"/>
        <w:rPr>
          <w:sz w:val="20"/>
          <w:szCs w:val="20"/>
          <w:color w:val="auto"/>
        </w:rPr>
      </w:pPr>
      <w:r>
        <w:rPr>
          <w:rFonts w:ascii="Courier New" w:cs="Courier New" w:eastAsia="Courier New" w:hAnsi="Courier New"/>
          <w:sz w:val="13"/>
          <w:szCs w:val="13"/>
          <w:color w:val="auto"/>
        </w:rPr>
        <w:t>Continued</w:t>
      </w:r>
    </w:p>
    <w:p>
      <w:pPr>
        <w:spacing w:after="0" w:line="161" w:lineRule="exact"/>
        <w:rPr>
          <w:sz w:val="20"/>
          <w:szCs w:val="20"/>
          <w:color w:val="auto"/>
        </w:rPr>
      </w:pPr>
    </w:p>
    <w:p>
      <w:pPr>
        <w:ind w:left="2560"/>
        <w:spacing w:after="0"/>
        <w:rPr>
          <w:sz w:val="20"/>
          <w:szCs w:val="20"/>
          <w:color w:val="auto"/>
        </w:rPr>
      </w:pPr>
      <w:r>
        <w:rPr>
          <w:rFonts w:ascii="Courier New" w:cs="Courier New" w:eastAsia="Courier New" w:hAnsi="Courier New"/>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173355</wp:posOffset>
            </wp:positionV>
            <wp:extent cx="730440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3"/>
          <w:szCs w:val="13"/>
          <w:b w:val="1"/>
          <w:bCs w:val="1"/>
          <w:color w:val="auto"/>
        </w:rPr>
        <w:t>NN, Inc.</w:t>
      </w:r>
    </w:p>
    <w:p>
      <w:pPr>
        <w:spacing w:after="0" w:line="7"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3"/>
          <w:szCs w:val="13"/>
          <w:b w:val="1"/>
          <w:bCs w:val="1"/>
          <w:color w:val="auto"/>
        </w:rPr>
        <w:t>Notes to Consolidated Financial Statements</w:t>
      </w:r>
    </w:p>
    <w:p>
      <w:pPr>
        <w:spacing w:after="0" w:line="7"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3"/>
          <w:szCs w:val="13"/>
          <w:b w:val="1"/>
          <w:bCs w:val="1"/>
          <w:color w:val="auto"/>
        </w:rPr>
        <w:t>December 31, 2002, 2001 and 2000</w:t>
      </w:r>
    </w:p>
    <w:p>
      <w:pPr>
        <w:spacing w:after="0" w:line="7"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4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(In</w:t>
            </w:r>
          </w:p>
        </w:tc>
        <w:tc>
          <w:tcPr>
            <w:tcW w:w="1460" w:type="dxa"/>
            <w:vAlign w:val="bottom"/>
            <w:gridSpan w:val="2"/>
          </w:tcPr>
          <w:p>
            <w:pPr>
              <w:ind w:left="40"/>
              <w:spacing w:after="0"/>
              <w:rPr>
                <w:sz w:val="20"/>
                <w:szCs w:val="20"/>
                <w:color w:val="auto"/>
              </w:rPr>
            </w:pPr>
            <w:r>
              <w:rPr>
                <w:rFonts w:ascii="Courier New" w:cs="Courier New" w:eastAsia="Courier New" w:hAnsi="Courier New"/>
                <w:sz w:val="13"/>
                <w:szCs w:val="13"/>
                <w:b w:val="1"/>
                <w:bCs w:val="1"/>
                <w:color w:val="auto"/>
              </w:rPr>
              <w:t>thousands, except</w:t>
            </w:r>
          </w:p>
        </w:tc>
        <w:tc>
          <w:tcPr>
            <w:tcW w:w="2080" w:type="dxa"/>
            <w:vAlign w:val="bottom"/>
            <w:gridSpan w:val="4"/>
          </w:tcPr>
          <w:p>
            <w:pPr>
              <w:ind w:left="40"/>
              <w:spacing w:after="0"/>
              <w:rPr>
                <w:sz w:val="20"/>
                <w:szCs w:val="20"/>
                <w:color w:val="auto"/>
              </w:rPr>
            </w:pPr>
            <w:r>
              <w:rPr>
                <w:rFonts w:ascii="Courier New" w:cs="Courier New" w:eastAsia="Courier New" w:hAnsi="Courier New"/>
                <w:sz w:val="13"/>
                <w:szCs w:val="13"/>
                <w:b w:val="1"/>
                <w:bCs w:val="1"/>
                <w:color w:val="auto"/>
              </w:rPr>
              <w:t>per share data)</w:t>
            </w: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617"/>
        </w:trPr>
        <w:tc>
          <w:tcPr>
            <w:tcW w:w="3100" w:type="dxa"/>
            <w:vAlign w:val="bottom"/>
            <w:gridSpan w:val="7"/>
          </w:tcPr>
          <w:p>
            <w:pPr>
              <w:jc w:val="right"/>
              <w:spacing w:after="0"/>
              <w:rPr>
                <w:sz w:val="20"/>
                <w:szCs w:val="20"/>
                <w:color w:val="auto"/>
              </w:rPr>
            </w:pPr>
            <w:r>
              <w:rPr>
                <w:rFonts w:ascii="Courier New" w:cs="Courier New" w:eastAsia="Courier New" w:hAnsi="Courier New"/>
                <w:sz w:val="13"/>
                <w:szCs w:val="13"/>
                <w:color w:val="auto"/>
              </w:rPr>
              <w:t>Earnings per share-assuming dilution -</w:t>
            </w:r>
          </w:p>
        </w:tc>
        <w:tc>
          <w:tcPr>
            <w:tcW w:w="1360" w:type="dxa"/>
            <w:vAlign w:val="bottom"/>
          </w:tcPr>
          <w:p>
            <w:pPr>
              <w:ind w:left="40"/>
              <w:spacing w:after="0"/>
              <w:rPr>
                <w:sz w:val="20"/>
                <w:szCs w:val="20"/>
                <w:color w:val="auto"/>
              </w:rPr>
            </w:pPr>
            <w:r>
              <w:rPr>
                <w:rFonts w:ascii="Courier New" w:cs="Courier New" w:eastAsia="Courier New" w:hAnsi="Courier New"/>
                <w:sz w:val="13"/>
                <w:szCs w:val="13"/>
                <w:color w:val="auto"/>
              </w:rPr>
              <w:t>as reported</w:t>
            </w:r>
          </w:p>
        </w:tc>
        <w:tc>
          <w:tcPr>
            <w:tcW w:w="6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0.87</w:t>
            </w:r>
          </w:p>
        </w:tc>
        <w:tc>
          <w:tcPr>
            <w:tcW w:w="4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0.30</w:t>
            </w:r>
          </w:p>
        </w:tc>
        <w:tc>
          <w:tcPr>
            <w:tcW w:w="880" w:type="dxa"/>
            <w:vAlign w:val="bottom"/>
          </w:tcPr>
          <w:p>
            <w:pPr>
              <w:jc w:val="right"/>
              <w:spacing w:after="0"/>
              <w:rPr>
                <w:sz w:val="20"/>
                <w:szCs w:val="20"/>
                <w:color w:val="auto"/>
              </w:rPr>
            </w:pPr>
            <w:r>
              <w:rPr>
                <w:rFonts w:ascii="Courier New" w:cs="Courier New" w:eastAsia="Courier New" w:hAnsi="Courier New"/>
                <w:sz w:val="13"/>
                <w:szCs w:val="13"/>
                <w:color w:val="auto"/>
              </w:rPr>
              <w:t>$   0.64</w:t>
            </w:r>
          </w:p>
        </w:tc>
      </w:tr>
      <w:tr>
        <w:trPr>
          <w:trHeight w:val="154"/>
        </w:trPr>
        <w:tc>
          <w:tcPr>
            <w:tcW w:w="440" w:type="dxa"/>
            <w:vAlign w:val="bottom"/>
          </w:tcPr>
          <w:p>
            <w:pPr>
              <w:spacing w:after="0"/>
              <w:rPr>
                <w:sz w:val="20"/>
                <w:szCs w:val="20"/>
                <w:color w:val="auto"/>
              </w:rPr>
            </w:pPr>
            <w:r>
              <w:rPr>
                <w:rFonts w:ascii="Courier New" w:cs="Courier New" w:eastAsia="Courier New" w:hAnsi="Courier New"/>
                <w:sz w:val="13"/>
                <w:szCs w:val="13"/>
                <w:color w:val="auto"/>
              </w:rPr>
              <w:t>Stock</w:t>
            </w: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rPr>
              <w:t>based</w:t>
            </w:r>
          </w:p>
        </w:tc>
        <w:tc>
          <w:tcPr>
            <w:tcW w:w="1040" w:type="dxa"/>
            <w:vAlign w:val="bottom"/>
          </w:tcPr>
          <w:p>
            <w:pPr>
              <w:ind w:left="40"/>
              <w:spacing w:after="0"/>
              <w:rPr>
                <w:sz w:val="20"/>
                <w:szCs w:val="20"/>
                <w:color w:val="auto"/>
              </w:rPr>
            </w:pPr>
            <w:r>
              <w:rPr>
                <w:rFonts w:ascii="Courier New" w:cs="Courier New" w:eastAsia="Courier New" w:hAnsi="Courier New"/>
                <w:sz w:val="13"/>
                <w:szCs w:val="13"/>
                <w:color w:val="auto"/>
              </w:rPr>
              <w:t>compensation</w:t>
            </w:r>
          </w:p>
        </w:tc>
        <w:tc>
          <w:tcPr>
            <w:tcW w:w="58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costs,</w:t>
            </w:r>
          </w:p>
        </w:tc>
        <w:tc>
          <w:tcPr>
            <w:tcW w:w="320" w:type="dxa"/>
            <w:vAlign w:val="bottom"/>
          </w:tcPr>
          <w:p>
            <w:pPr>
              <w:ind w:left="40"/>
              <w:spacing w:after="0"/>
              <w:rPr>
                <w:sz w:val="20"/>
                <w:szCs w:val="20"/>
                <w:color w:val="auto"/>
              </w:rPr>
            </w:pPr>
            <w:r>
              <w:rPr>
                <w:rFonts w:ascii="Courier New" w:cs="Courier New" w:eastAsia="Courier New" w:hAnsi="Courier New"/>
                <w:sz w:val="13"/>
                <w:szCs w:val="13"/>
                <w:color w:val="auto"/>
              </w:rPr>
              <w:t>net</w:t>
            </w:r>
          </w:p>
        </w:tc>
        <w:tc>
          <w:tcPr>
            <w:tcW w:w="240" w:type="dxa"/>
            <w:vAlign w:val="bottom"/>
          </w:tcPr>
          <w:p>
            <w:pPr>
              <w:jc w:val="right"/>
              <w:spacing w:after="0"/>
              <w:rPr>
                <w:sz w:val="20"/>
                <w:szCs w:val="20"/>
                <w:color w:val="auto"/>
              </w:rPr>
            </w:pPr>
            <w:r>
              <w:rPr>
                <w:rFonts w:ascii="Courier New" w:cs="Courier New" w:eastAsia="Courier New" w:hAnsi="Courier New"/>
                <w:sz w:val="13"/>
                <w:szCs w:val="13"/>
                <w:color w:val="auto"/>
              </w:rPr>
              <w:t>of</w:t>
            </w:r>
          </w:p>
        </w:tc>
        <w:tc>
          <w:tcPr>
            <w:tcW w:w="1360" w:type="dxa"/>
            <w:vAlign w:val="bottom"/>
          </w:tcPr>
          <w:p>
            <w:pPr>
              <w:ind w:left="40"/>
              <w:spacing w:after="0"/>
              <w:rPr>
                <w:sz w:val="20"/>
                <w:szCs w:val="20"/>
                <w:color w:val="auto"/>
              </w:rPr>
            </w:pPr>
            <w:r>
              <w:rPr>
                <w:rFonts w:ascii="Courier New" w:cs="Courier New" w:eastAsia="Courier New" w:hAnsi="Courier New"/>
                <w:sz w:val="13"/>
                <w:szCs w:val="13"/>
                <w:color w:val="auto"/>
              </w:rPr>
              <w:t>income tax,</w:t>
            </w: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4"/>
        </w:trPr>
        <w:tc>
          <w:tcPr>
            <w:tcW w:w="2380" w:type="dxa"/>
            <w:vAlign w:val="bottom"/>
            <w:gridSpan w:val="4"/>
          </w:tcPr>
          <w:p>
            <w:pPr>
              <w:ind w:left="320"/>
              <w:spacing w:after="0"/>
              <w:rPr>
                <w:sz w:val="20"/>
                <w:szCs w:val="20"/>
                <w:color w:val="auto"/>
              </w:rPr>
            </w:pPr>
            <w:r>
              <w:rPr>
                <w:rFonts w:ascii="Courier New" w:cs="Courier New" w:eastAsia="Courier New" w:hAnsi="Courier New"/>
                <w:sz w:val="13"/>
                <w:szCs w:val="13"/>
                <w:color w:val="auto"/>
              </w:rPr>
              <w:t>included in net income as</w:t>
            </w:r>
          </w:p>
        </w:tc>
        <w:tc>
          <w:tcPr>
            <w:tcW w:w="720" w:type="dxa"/>
            <w:vAlign w:val="bottom"/>
            <w:gridSpan w:val="3"/>
          </w:tcPr>
          <w:p>
            <w:pPr>
              <w:jc w:val="right"/>
              <w:spacing w:after="0"/>
              <w:rPr>
                <w:sz w:val="20"/>
                <w:szCs w:val="20"/>
                <w:color w:val="auto"/>
              </w:rPr>
            </w:pPr>
            <w:r>
              <w:rPr>
                <w:rFonts w:ascii="Courier New" w:cs="Courier New" w:eastAsia="Courier New" w:hAnsi="Courier New"/>
                <w:sz w:val="13"/>
                <w:szCs w:val="13"/>
                <w:color w:val="auto"/>
              </w:rPr>
              <w:t>reported</w:t>
            </w:r>
          </w:p>
        </w:tc>
        <w:tc>
          <w:tcPr>
            <w:tcW w:w="1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40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440" w:type="dxa"/>
            <w:vAlign w:val="bottom"/>
          </w:tcPr>
          <w:p>
            <w:pPr>
              <w:spacing w:after="0"/>
              <w:rPr>
                <w:sz w:val="20"/>
                <w:szCs w:val="20"/>
                <w:color w:val="auto"/>
              </w:rPr>
            </w:pPr>
            <w:r>
              <w:rPr>
                <w:rFonts w:ascii="Courier New" w:cs="Courier New" w:eastAsia="Courier New" w:hAnsi="Courier New"/>
                <w:sz w:val="13"/>
                <w:szCs w:val="13"/>
                <w:color w:val="auto"/>
              </w:rPr>
              <w:t>Stock</w:t>
            </w: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rPr>
              <w:t>based</w:t>
            </w:r>
          </w:p>
        </w:tc>
        <w:tc>
          <w:tcPr>
            <w:tcW w:w="1040" w:type="dxa"/>
            <w:vAlign w:val="bottom"/>
          </w:tcPr>
          <w:p>
            <w:pPr>
              <w:ind w:left="40"/>
              <w:spacing w:after="0"/>
              <w:rPr>
                <w:sz w:val="20"/>
                <w:szCs w:val="20"/>
                <w:color w:val="auto"/>
              </w:rPr>
            </w:pPr>
            <w:r>
              <w:rPr>
                <w:rFonts w:ascii="Courier New" w:cs="Courier New" w:eastAsia="Courier New" w:hAnsi="Courier New"/>
                <w:sz w:val="13"/>
                <w:szCs w:val="13"/>
                <w:color w:val="auto"/>
              </w:rPr>
              <w:t>compensation</w:t>
            </w:r>
          </w:p>
        </w:tc>
        <w:tc>
          <w:tcPr>
            <w:tcW w:w="58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costs,</w:t>
            </w:r>
          </w:p>
        </w:tc>
        <w:tc>
          <w:tcPr>
            <w:tcW w:w="320" w:type="dxa"/>
            <w:vAlign w:val="bottom"/>
          </w:tcPr>
          <w:p>
            <w:pPr>
              <w:ind w:left="40"/>
              <w:spacing w:after="0"/>
              <w:rPr>
                <w:sz w:val="20"/>
                <w:szCs w:val="20"/>
                <w:color w:val="auto"/>
              </w:rPr>
            </w:pPr>
            <w:r>
              <w:rPr>
                <w:rFonts w:ascii="Courier New" w:cs="Courier New" w:eastAsia="Courier New" w:hAnsi="Courier New"/>
                <w:sz w:val="13"/>
                <w:szCs w:val="13"/>
                <w:color w:val="auto"/>
              </w:rPr>
              <w:t>net</w:t>
            </w:r>
          </w:p>
        </w:tc>
        <w:tc>
          <w:tcPr>
            <w:tcW w:w="240" w:type="dxa"/>
            <w:vAlign w:val="bottom"/>
          </w:tcPr>
          <w:p>
            <w:pPr>
              <w:jc w:val="right"/>
              <w:spacing w:after="0"/>
              <w:rPr>
                <w:sz w:val="20"/>
                <w:szCs w:val="20"/>
                <w:color w:val="auto"/>
              </w:rPr>
            </w:pPr>
            <w:r>
              <w:rPr>
                <w:rFonts w:ascii="Courier New" w:cs="Courier New" w:eastAsia="Courier New" w:hAnsi="Courier New"/>
                <w:sz w:val="13"/>
                <w:szCs w:val="13"/>
                <w:color w:val="auto"/>
              </w:rPr>
              <w:t>of</w:t>
            </w:r>
          </w:p>
        </w:tc>
        <w:tc>
          <w:tcPr>
            <w:tcW w:w="1360" w:type="dxa"/>
            <w:vAlign w:val="bottom"/>
          </w:tcPr>
          <w:p>
            <w:pPr>
              <w:ind w:left="40"/>
              <w:spacing w:after="0"/>
              <w:rPr>
                <w:sz w:val="20"/>
                <w:szCs w:val="20"/>
                <w:color w:val="auto"/>
              </w:rPr>
            </w:pPr>
            <w:r>
              <w:rPr>
                <w:rFonts w:ascii="Courier New" w:cs="Courier New" w:eastAsia="Courier New" w:hAnsi="Courier New"/>
                <w:sz w:val="13"/>
                <w:szCs w:val="13"/>
                <w:color w:val="auto"/>
              </w:rPr>
              <w:t>income tax,</w:t>
            </w: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r>
    </w:tbl>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3"/>
          <w:szCs w:val="13"/>
          <w:color w:val="auto"/>
        </w:rPr>
        <w:t>that would have been included in net income if</w:t>
      </w:r>
    </w:p>
    <w:p>
      <w:pPr>
        <w:sectPr>
          <w:pgSz w:w="11900" w:h="16838" w:orient="portrait"/>
          <w:cols w:equalWidth="0" w:num="1">
            <w:col w:w="9679"/>
          </w:cols>
          <w:pgMar w:left="780" w:top="141" w:right="1440" w:bottom="0" w:gutter="0" w:footer="0" w:header="0"/>
        </w:sectPr>
      </w:pPr>
    </w:p>
    <w:p>
      <w:pPr>
        <w:spacing w:after="0" w:line="7" w:lineRule="exact"/>
        <w:rPr>
          <w:sz w:val="20"/>
          <w:szCs w:val="20"/>
          <w:color w:val="auto"/>
        </w:rPr>
      </w:pPr>
    </w:p>
    <w:p>
      <w:pPr>
        <w:ind w:left="560" w:right="160" w:firstLine="321"/>
        <w:spacing w:after="0" w:line="506" w:lineRule="auto"/>
        <w:rPr>
          <w:sz w:val="20"/>
          <w:szCs w:val="20"/>
          <w:color w:val="auto"/>
        </w:rPr>
      </w:pPr>
      <w:r>
        <w:rPr>
          <w:rFonts w:ascii="Courier New" w:cs="Courier New" w:eastAsia="Courier New" w:hAnsi="Courier New"/>
          <w:sz w:val="13"/>
          <w:szCs w:val="13"/>
          <w:color w:val="auto"/>
        </w:rPr>
        <w:t>the fair value method had been applied Earnings per share - assuming dilution-proforma</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3"/>
          <w:szCs w:val="13"/>
          <w:color w:val="auto"/>
        </w:rPr>
        <w:t>0.03</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3"/>
          <w:szCs w:val="13"/>
          <w:color w:val="auto"/>
        </w:rPr>
        <w:t>------------</w:t>
      </w:r>
    </w:p>
    <w:p>
      <w:pPr>
        <w:spacing w:after="0" w:line="7" w:lineRule="exact"/>
        <w:rPr>
          <w:sz w:val="20"/>
          <w:szCs w:val="20"/>
          <w:color w:val="auto"/>
        </w:rPr>
      </w:pPr>
    </w:p>
    <w:p>
      <w:pPr>
        <w:jc w:val="both"/>
        <w:ind w:left="240"/>
        <w:spacing w:after="0"/>
        <w:tabs>
          <w:tab w:leader="none" w:pos="620" w:val="left"/>
        </w:tabs>
        <w:rPr>
          <w:sz w:val="20"/>
          <w:szCs w:val="20"/>
          <w:color w:val="auto"/>
        </w:rPr>
      </w:pP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0.84</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3"/>
          <w:szCs w:val="13"/>
          <w:color w:val="auto"/>
        </w:rPr>
        <w:t>0.02</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3"/>
          <w:szCs w:val="13"/>
          <w:color w:val="auto"/>
        </w:rPr>
        <w:t>-----------</w:t>
      </w:r>
    </w:p>
    <w:p>
      <w:pPr>
        <w:spacing w:after="0" w:line="7" w:lineRule="exact"/>
        <w:rPr>
          <w:sz w:val="20"/>
          <w:szCs w:val="20"/>
          <w:color w:val="auto"/>
        </w:rPr>
      </w:pPr>
    </w:p>
    <w:p>
      <w:pPr>
        <w:jc w:val="both"/>
        <w:ind w:left="160"/>
        <w:spacing w:after="0"/>
        <w:tabs>
          <w:tab w:leader="none" w:pos="540" w:val="left"/>
        </w:tabs>
        <w:rPr>
          <w:sz w:val="20"/>
          <w:szCs w:val="20"/>
          <w:color w:val="auto"/>
        </w:rPr>
      </w:pP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0.28</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ind w:left="560"/>
        <w:spacing w:after="0"/>
        <w:rPr>
          <w:sz w:val="20"/>
          <w:szCs w:val="20"/>
          <w:color w:val="auto"/>
        </w:rPr>
      </w:pPr>
      <w:r>
        <w:rPr>
          <w:rFonts w:ascii="Courier New" w:cs="Courier New" w:eastAsia="Courier New" w:hAnsi="Courier New"/>
          <w:sz w:val="13"/>
          <w:szCs w:val="13"/>
          <w:color w:val="auto"/>
        </w:rPr>
        <w:t>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7" w:lineRule="exact"/>
        <w:rPr>
          <w:sz w:val="20"/>
          <w:szCs w:val="20"/>
          <w:color w:val="auto"/>
        </w:rPr>
      </w:pPr>
    </w:p>
    <w:p>
      <w:pPr>
        <w:ind w:left="240"/>
        <w:spacing w:after="0"/>
        <w:tabs>
          <w:tab w:leader="none" w:pos="540" w:val="left"/>
        </w:tabs>
        <w:rPr>
          <w:sz w:val="20"/>
          <w:szCs w:val="20"/>
          <w:color w:val="auto"/>
        </w:rPr>
      </w:pPr>
      <w:r>
        <w:rPr>
          <w:rFonts w:ascii="Courier New" w:cs="Courier New" w:eastAsia="Courier New" w:hAnsi="Courier New"/>
          <w:sz w:val="13"/>
          <w:szCs w:val="13"/>
          <w:color w:val="auto"/>
        </w:rPr>
        <w:t>$</w:t>
        <w:tab/>
        <w:t>0.63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11" w:lineRule="exact"/>
        <w:rPr>
          <w:sz w:val="20"/>
          <w:szCs w:val="20"/>
          <w:color w:val="auto"/>
        </w:rPr>
      </w:pPr>
    </w:p>
    <w:p>
      <w:pPr>
        <w:sectPr>
          <w:pgSz w:w="11900" w:h="16838" w:orient="portrait"/>
          <w:cols w:equalWidth="0" w:num="4">
            <w:col w:w="4500" w:space="720"/>
            <w:col w:w="960" w:space="160"/>
            <w:col w:w="880" w:space="240"/>
            <w:col w:w="2219"/>
          </w:cols>
          <w:pgMar w:left="780" w:top="141" w:right="1440" w:bottom="0" w:gutter="0" w:footer="0" w:header="0"/>
          <w:type w:val="continuous"/>
        </w:sectPr>
      </w:pPr>
    </w:p>
    <w:p>
      <w:pPr>
        <w:spacing w:after="0" w:line="104" w:lineRule="exact"/>
        <w:rPr>
          <w:sz w:val="20"/>
          <w:szCs w:val="20"/>
          <w:color w:val="auto"/>
        </w:rPr>
      </w:pPr>
    </w:p>
    <w:p>
      <w:pPr>
        <w:ind w:left="560" w:right="3899"/>
        <w:spacing w:after="0" w:line="252" w:lineRule="auto"/>
        <w:rPr>
          <w:sz w:val="20"/>
          <w:szCs w:val="20"/>
          <w:color w:val="auto"/>
        </w:rPr>
      </w:pPr>
      <w:r>
        <w:rPr>
          <w:rFonts w:ascii="Courier New" w:cs="Courier New" w:eastAsia="Courier New" w:hAnsi="Courier New"/>
          <w:sz w:val="13"/>
          <w:szCs w:val="13"/>
          <w:color w:val="auto"/>
        </w:rPr>
        <w:t>The fair value of each option grant was estimated based on actual information available through December 31, 2002, 2001 and 2000 using the Black Scholes option-pricing model with the following assumptions:</w:t>
      </w:r>
    </w:p>
    <w:p>
      <w:pPr>
        <w:sectPr>
          <w:pgSz w:w="11900" w:h="16838" w:orient="portrait"/>
          <w:cols w:equalWidth="0" w:num="1">
            <w:col w:w="9679"/>
          </w:cols>
          <w:pgMar w:left="780" w:top="141" w:right="1440" w:bottom="0" w:gutter="0" w:footer="0" w:header="0"/>
          <w:type w:val="continuous"/>
        </w:sectPr>
      </w:pPr>
    </w:p>
    <w:p>
      <w:pPr>
        <w:spacing w:after="0" w:line="153"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Term</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Risk free interest rate</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Dividend yield</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Volatility</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Vesting period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3.28%, 4.75% and 5.1% for 2002, 2001 and 2000, respectively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3.2%, 2.8%, and 3.6% annually for 2002, 2001 and 2000, respectively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50.11%, 40.7% and 39.5% for 2002, 2001 and 2000, respectively</w:t>
      </w:r>
    </w:p>
    <w:p>
      <w:pPr>
        <w:spacing w:after="0" w:line="200" w:lineRule="exact"/>
        <w:rPr>
          <w:sz w:val="20"/>
          <w:szCs w:val="20"/>
          <w:color w:val="auto"/>
        </w:rPr>
      </w:pPr>
    </w:p>
    <w:p>
      <w:pPr>
        <w:sectPr>
          <w:pgSz w:w="11900" w:h="16838" w:orient="portrait"/>
          <w:cols w:equalWidth="0" w:num="2">
            <w:col w:w="2400" w:space="340"/>
            <w:col w:w="6939"/>
          </w:cols>
          <w:pgMar w:left="780" w:top="141" w:right="1440" w:bottom="0" w:gutter="0" w:footer="0" w:header="0"/>
          <w:type w:val="continuous"/>
        </w:sectPr>
      </w:pPr>
    </w:p>
    <w:p>
      <w:pPr>
        <w:spacing w:after="0" w:line="115" w:lineRule="exact"/>
        <w:rPr>
          <w:sz w:val="20"/>
          <w:szCs w:val="20"/>
          <w:color w:val="auto"/>
        </w:rPr>
      </w:pPr>
    </w:p>
    <w:p>
      <w:pPr>
        <w:ind w:right="4059"/>
        <w:spacing w:after="0" w:line="252" w:lineRule="auto"/>
        <w:rPr>
          <w:sz w:val="20"/>
          <w:szCs w:val="20"/>
          <w:color w:val="auto"/>
        </w:rPr>
      </w:pPr>
      <w:r>
        <w:rPr>
          <w:rFonts w:ascii="Courier New" w:cs="Courier New" w:eastAsia="Courier New" w:hAnsi="Courier New"/>
          <w:sz w:val="13"/>
          <w:szCs w:val="13"/>
          <w:color w:val="auto"/>
        </w:rPr>
        <w:t>In November 2002, the FASB issued FASB Interpretation ("FIN") No. 45, "Guarantor's Accounting and Disclosure Requirements for Guarantees, Including Indirect Guarantees of Indebtedness of Others," an interpretation of FASB Statements No. 5, 57, and 107 and rescission of FASB Interpretation No. 34. This interpretation elaborates the</w:t>
      </w:r>
    </w:p>
    <w:p>
      <w:pPr>
        <w:sectPr>
          <w:pgSz w:w="11900" w:h="16838" w:orient="portrait"/>
          <w:cols w:equalWidth="0" w:num="1">
            <w:col w:w="9679"/>
          </w:cols>
          <w:pgMar w:left="780" w:top="141" w:right="1440" w:bottom="0" w:gutter="0" w:footer="0" w:header="0"/>
          <w:type w:val="continuous"/>
        </w:sectPr>
      </w:pPr>
    </w:p>
    <w:bookmarkStart w:id="27" w:name="page28"/>
    <w:bookmarkEnd w:id="27"/>
    <w:p>
      <w:pPr>
        <w:ind w:left="560" w:right="3819"/>
        <w:spacing w:after="0" w:line="251" w:lineRule="auto"/>
        <w:rPr>
          <w:sz w:val="20"/>
          <w:szCs w:val="20"/>
          <w:color w:val="auto"/>
        </w:rPr>
      </w:pPr>
      <w:r>
        <w:rPr>
          <w:rFonts w:ascii="Courier New" w:cs="Courier New" w:eastAsia="Courier New" w:hAnsi="Courier New"/>
          <w:sz w:val="13"/>
          <w:szCs w:val="13"/>
          <w:color w:val="auto"/>
        </w:rPr>
        <w:t>disclosures to be made by a guarantor in its interim and annual financial statements about its obligations under certain guarantees that it has issued. It also clarifies that a guarantor is required to recognize, at the inception of a guarantee, a liability for the fair value of the obligation undertaken in issuing the guarantee. The initial recognition and initial measurement provisions of this interpretation are applicable on a prospective basis to guarantees issued or modified after December 31, 2002 and are not expected to have a material effect on the Company's consolidated results of operations, financial position or cash flows.</w:t>
      </w:r>
    </w:p>
    <w:p>
      <w:pPr>
        <w:spacing w:after="0" w:line="200" w:lineRule="exact"/>
        <w:rPr>
          <w:sz w:val="20"/>
          <w:szCs w:val="20"/>
          <w:color w:val="auto"/>
        </w:rPr>
      </w:pPr>
    </w:p>
    <w:p>
      <w:pPr>
        <w:spacing w:after="0" w:line="264" w:lineRule="exact"/>
        <w:rPr>
          <w:sz w:val="20"/>
          <w:szCs w:val="20"/>
          <w:color w:val="auto"/>
        </w:rPr>
      </w:pPr>
    </w:p>
    <w:p>
      <w:pPr>
        <w:ind w:left="720" w:hanging="718"/>
        <w:spacing w:after="0"/>
        <w:tabs>
          <w:tab w:leader="none" w:pos="720" w:val="left"/>
        </w:tabs>
        <w:numPr>
          <w:ilvl w:val="0"/>
          <w:numId w:val="10"/>
        </w:numPr>
        <w:rPr>
          <w:rFonts w:ascii="Courier New" w:cs="Courier New" w:eastAsia="Courier New" w:hAnsi="Courier New"/>
          <w:sz w:val="13"/>
          <w:szCs w:val="13"/>
          <w:b w:val="1"/>
          <w:bCs w:val="1"/>
          <w:color w:val="auto"/>
        </w:rPr>
      </w:pPr>
      <w:r>
        <w:rPr>
          <w:rFonts w:ascii="Courier New" w:cs="Courier New" w:eastAsia="Courier New" w:hAnsi="Courier New"/>
          <w:sz w:val="13"/>
          <w:szCs w:val="13"/>
          <w:b w:val="1"/>
          <w:bCs w:val="1"/>
          <w:color w:val="auto"/>
        </w:rPr>
        <w:t>Acquisitions and Purchase of Minority Interest</w:t>
      </w:r>
    </w:p>
    <w:p>
      <w:pPr>
        <w:spacing w:after="0" w:line="161" w:lineRule="exact"/>
        <w:rPr>
          <w:sz w:val="20"/>
          <w:szCs w:val="20"/>
          <w:color w:val="auto"/>
        </w:rPr>
      </w:pPr>
    </w:p>
    <w:p>
      <w:pPr>
        <w:ind w:left="560" w:right="3819"/>
        <w:spacing w:after="0" w:line="251" w:lineRule="auto"/>
        <w:rPr>
          <w:sz w:val="20"/>
          <w:szCs w:val="20"/>
          <w:color w:val="auto"/>
        </w:rPr>
      </w:pPr>
      <w:r>
        <w:rPr>
          <w:rFonts w:ascii="Courier New" w:cs="Courier New" w:eastAsia="Courier New" w:hAnsi="Courier New"/>
          <w:sz w:val="13"/>
          <w:szCs w:val="13"/>
          <w:color w:val="auto"/>
        </w:rPr>
        <w:t>On December 20, 2002 the Company completed the purchase of the 23% interest in NN Euroball, ApS ("Euroball") held by INA/FAG. Euroball was formed in 2000 by the Company, FAG Kugelfischer George Schaefer AG, which was subsequently acquired by INA - Schaeffler KG (collectively, "INA/FAG"), and AB SKF ("SKF"). INA/FAG is a global bearing manufacturer and one of our largest customers. The Company paid approximately 13,400 Euro (13,800 million) for INA/FAG's interest in Euroball. The</w:t>
      </w:r>
    </w:p>
    <w:p>
      <w:pPr>
        <w:spacing w:after="0" w:line="1" w:lineRule="exact"/>
        <w:rPr>
          <w:sz w:val="20"/>
          <w:szCs w:val="20"/>
          <w:color w:val="auto"/>
        </w:rPr>
      </w:pPr>
    </w:p>
    <w:p>
      <w:pPr>
        <w:ind w:left="560" w:right="3339"/>
        <w:spacing w:after="0" w:line="251" w:lineRule="auto"/>
        <w:rPr>
          <w:sz w:val="20"/>
          <w:szCs w:val="20"/>
          <w:color w:val="auto"/>
        </w:rPr>
      </w:pPr>
      <w:r>
        <w:rPr>
          <w:rFonts w:ascii="Courier New" w:cs="Courier New" w:eastAsia="Courier New" w:hAnsi="Courier New"/>
          <w:sz w:val="13"/>
          <w:szCs w:val="13"/>
          <w:color w:val="auto"/>
        </w:rPr>
        <w:t>excess of minority interest in consolidated subsidiaries related to INA/FAG's 23% interest over the purchase price has been recorded as a non-taxable gain in the amount of approximately $5,904. Following the closing of the transaction, the Company owns 77% of the outstanding shares of Euroball and SKF owns the remaining 23%. SKF consented to our purchase of INA/FAG's interest pursuant to the terms of the Euroball Shareholder Agreement. SKF has informed us that it intends to exercise its right and we expect to purchase its interest during the second quarter of 2003.</w:t>
      </w:r>
    </w:p>
    <w:p>
      <w:pPr>
        <w:spacing w:after="0" w:line="156" w:lineRule="exact"/>
        <w:rPr>
          <w:sz w:val="20"/>
          <w:szCs w:val="20"/>
          <w:color w:val="auto"/>
        </w:rPr>
      </w:pPr>
    </w:p>
    <w:p>
      <w:pPr>
        <w:ind w:left="560" w:right="3819"/>
        <w:spacing w:after="0" w:line="251" w:lineRule="auto"/>
        <w:rPr>
          <w:sz w:val="20"/>
          <w:szCs w:val="20"/>
          <w:color w:val="auto"/>
        </w:rPr>
      </w:pPr>
      <w:r>
        <w:rPr>
          <w:rFonts w:ascii="Courier New" w:cs="Courier New" w:eastAsia="Courier New" w:hAnsi="Courier New"/>
          <w:sz w:val="13"/>
          <w:szCs w:val="13"/>
          <w:color w:val="auto"/>
        </w:rPr>
        <w:t>On February 16, 2001, the Company completed the acquisition of all of the outstanding stock of The Delta Rubber Company, ("Delta") a Connecticut corporation for $22,500 in cash, of which $500 was to be held in escrow for one year from the date of closing. Delta provides high quality engineered bearing seals and other precision-molded rubber products to original equipment manufacturers. The Company plans to continue the operation of the Delta business, which operates a manufacturing facility in Danielson, Connecticut. The excess of the purchase price over the fair value of the net identifiable assets acquired of $14,107 has been recorded as goodwill.</w:t>
      </w:r>
    </w:p>
    <w:p>
      <w:pPr>
        <w:spacing w:after="0" w:line="310" w:lineRule="exact"/>
        <w:rPr>
          <w:sz w:val="20"/>
          <w:szCs w:val="20"/>
          <w:color w:val="auto"/>
        </w:rPr>
      </w:pPr>
    </w:p>
    <w:p>
      <w:pPr>
        <w:ind w:left="560" w:right="3819"/>
        <w:spacing w:after="0" w:line="252" w:lineRule="auto"/>
        <w:rPr>
          <w:sz w:val="20"/>
          <w:szCs w:val="20"/>
          <w:color w:val="auto"/>
        </w:rPr>
      </w:pPr>
      <w:r>
        <w:rPr>
          <w:rFonts w:ascii="Courier New" w:cs="Courier New" w:eastAsia="Courier New" w:hAnsi="Courier New"/>
          <w:sz w:val="13"/>
          <w:szCs w:val="13"/>
          <w:color w:val="auto"/>
        </w:rPr>
        <w:t>Effective July 31, 2000, the Company completed its Euroball transaction. Completion of the transaction required the Company to start a majority owned stand-alone company in Europe, NN Euroball ApS, for the manufacture and sale of precision steel balls used for ball bearings and other products. As a result of this transaction the Company owned</w:t>
      </w:r>
    </w:p>
    <w:p>
      <w:pPr>
        <w:spacing w:after="0" w:line="306" w:lineRule="exact"/>
        <w:rPr>
          <w:sz w:val="20"/>
          <w:szCs w:val="20"/>
          <w:color w:val="auto"/>
        </w:rPr>
      </w:pPr>
    </w:p>
    <w:p>
      <w:pPr>
        <w:ind w:left="5700"/>
        <w:spacing w:after="0"/>
        <w:rPr>
          <w:sz w:val="20"/>
          <w:szCs w:val="20"/>
          <w:color w:val="auto"/>
        </w:rPr>
      </w:pPr>
      <w:r>
        <w:rPr>
          <w:rFonts w:ascii="Courier New" w:cs="Courier New" w:eastAsia="Courier New" w:hAnsi="Courier New"/>
          <w:sz w:val="13"/>
          <w:szCs w:val="13"/>
          <w:color w:val="auto"/>
        </w:rPr>
        <w:t>Continued</w:t>
      </w:r>
    </w:p>
    <w:p>
      <w:pPr>
        <w:spacing w:after="0" w:line="161"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271145</wp:posOffset>
            </wp:positionV>
            <wp:extent cx="730440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3"/>
          <w:szCs w:val="13"/>
          <w:b w:val="1"/>
          <w:bCs w:val="1"/>
          <w:color w:val="auto"/>
        </w:rPr>
        <w:t>NN, Inc.</w:t>
      </w:r>
    </w:p>
    <w:p>
      <w:pPr>
        <w:spacing w:after="0" w:line="7"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3"/>
          <w:szCs w:val="13"/>
          <w:b w:val="1"/>
          <w:bCs w:val="1"/>
          <w:color w:val="auto"/>
        </w:rPr>
        <w:t>Notes to Consolidated Financial Statements</w:t>
      </w:r>
    </w:p>
    <w:p>
      <w:pPr>
        <w:spacing w:after="0" w:line="7" w:lineRule="exact"/>
        <w:rPr>
          <w:sz w:val="20"/>
          <w:szCs w:val="20"/>
          <w:color w:val="auto"/>
        </w:rPr>
      </w:pPr>
    </w:p>
    <w:p>
      <w:pPr>
        <w:ind w:left="1920"/>
        <w:spacing w:after="0"/>
        <w:rPr>
          <w:sz w:val="20"/>
          <w:szCs w:val="20"/>
          <w:color w:val="auto"/>
        </w:rPr>
      </w:pPr>
      <w:r>
        <w:rPr>
          <w:rFonts w:ascii="Courier New" w:cs="Courier New" w:eastAsia="Courier New" w:hAnsi="Courier New"/>
          <w:sz w:val="13"/>
          <w:szCs w:val="13"/>
          <w:b w:val="1"/>
          <w:bCs w:val="1"/>
          <w:color w:val="auto"/>
        </w:rPr>
        <w:t>December 31, 2002, 2001 and 2000</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3"/>
          <w:szCs w:val="13"/>
          <w:b w:val="1"/>
          <w:bCs w:val="1"/>
          <w:color w:val="auto"/>
        </w:rPr>
        <w:t>(In thousands, except per share data)</w:t>
      </w:r>
    </w:p>
    <w:p>
      <w:pPr>
        <w:spacing w:after="0" w:line="161" w:lineRule="exact"/>
        <w:rPr>
          <w:sz w:val="20"/>
          <w:szCs w:val="20"/>
          <w:color w:val="auto"/>
        </w:rPr>
      </w:pPr>
    </w:p>
    <w:p>
      <w:pPr>
        <w:ind w:left="560" w:right="3659"/>
        <w:spacing w:after="0" w:line="251" w:lineRule="auto"/>
        <w:rPr>
          <w:sz w:val="20"/>
          <w:szCs w:val="20"/>
          <w:color w:val="auto"/>
        </w:rPr>
      </w:pPr>
      <w:r>
        <w:rPr>
          <w:rFonts w:ascii="Courier New" w:cs="Courier New" w:eastAsia="Courier New" w:hAnsi="Courier New"/>
          <w:sz w:val="13"/>
          <w:szCs w:val="13"/>
          <w:color w:val="auto"/>
        </w:rPr>
        <w:t>54% of the shares of NN Euroball, ApS, AB SKF (SKF), a Swedish Company, and FAG Kugelfischer Georg Schager AG (FAG), a German Company, owned 23% each.</w:t>
      </w:r>
    </w:p>
    <w:p>
      <w:pPr>
        <w:ind w:left="560" w:right="3739" w:firstLine="4"/>
        <w:spacing w:after="0" w:line="251" w:lineRule="auto"/>
        <w:tabs>
          <w:tab w:leader="none" w:pos="801" w:val="left"/>
        </w:tabs>
        <w:numPr>
          <w:ilvl w:val="0"/>
          <w:numId w:val="11"/>
        </w:numPr>
        <w:rPr>
          <w:rFonts w:ascii="Courier New" w:cs="Courier New" w:eastAsia="Courier New" w:hAnsi="Courier New"/>
          <w:sz w:val="13"/>
          <w:szCs w:val="13"/>
          <w:color w:val="auto"/>
        </w:rPr>
      </w:pPr>
      <w:r>
        <w:rPr>
          <w:rFonts w:ascii="Courier New" w:cs="Courier New" w:eastAsia="Courier New" w:hAnsi="Courier New"/>
          <w:sz w:val="13"/>
          <w:szCs w:val="13"/>
          <w:color w:val="auto"/>
        </w:rPr>
        <w:t>Euroball ApS subsequently acquired the steel ball manufacturing facilities located in Pinerolo, Italy (previously owned by SKF), Eltmann, Germany (previously owned by FAG) and Kilkenny, Ireland (previously owned by the Company). NN Euroball ApS paid approximately $57,788 for the net assets originally acquired from SKF and FAG. The acquisitions of the Pinerolo, Italy and Eltmann, Germany ball manufacturing facilities have been accounted for by the purchase method of accounting and, accordingly, the results of operations of Euroball have been included in the Company's consolidated financial statements from July 31, 2000. The excess of the purchase price over the fair value of the net identifiable assets acquired of $15,507 has been recorded as goodwill.</w:t>
      </w:r>
    </w:p>
    <w:p>
      <w:pPr>
        <w:spacing w:after="0" w:line="156" w:lineRule="exact"/>
        <w:rPr>
          <w:sz w:val="20"/>
          <w:szCs w:val="20"/>
          <w:color w:val="auto"/>
        </w:rPr>
      </w:pPr>
    </w:p>
    <w:p>
      <w:pPr>
        <w:ind w:left="560" w:right="3899"/>
        <w:spacing w:after="0" w:line="252" w:lineRule="auto"/>
        <w:rPr>
          <w:sz w:val="20"/>
          <w:szCs w:val="20"/>
          <w:color w:val="auto"/>
        </w:rPr>
      </w:pPr>
      <w:r>
        <w:rPr>
          <w:rFonts w:ascii="Courier New" w:cs="Courier New" w:eastAsia="Courier New" w:hAnsi="Courier New"/>
          <w:sz w:val="13"/>
          <w:szCs w:val="13"/>
          <w:color w:val="auto"/>
        </w:rPr>
        <w:t>Under the terms of a Shareholder Agreement between the Company and SKF, at any time after December 31, 2002, SKF can require the Company to purchase its shares of NN Euroball ApS. The purchase price of the shares is to be calculated based on a formula price detailed in the Euroball Shareholder Agreement.</w:t>
      </w:r>
    </w:p>
    <w:p>
      <w:pPr>
        <w:spacing w:after="0" w:line="152" w:lineRule="exact"/>
        <w:rPr>
          <w:sz w:val="20"/>
          <w:szCs w:val="20"/>
          <w:color w:val="auto"/>
        </w:rPr>
      </w:pPr>
    </w:p>
    <w:p>
      <w:pPr>
        <w:ind w:left="560" w:right="3819"/>
        <w:spacing w:after="0" w:line="251" w:lineRule="auto"/>
        <w:rPr>
          <w:sz w:val="20"/>
          <w:szCs w:val="20"/>
          <w:color w:val="auto"/>
        </w:rPr>
      </w:pPr>
      <w:r>
        <w:rPr>
          <w:rFonts w:ascii="Courier New" w:cs="Courier New" w:eastAsia="Courier New" w:hAnsi="Courier New"/>
          <w:sz w:val="13"/>
          <w:szCs w:val="13"/>
          <w:color w:val="auto"/>
        </w:rPr>
        <w:t>The following unaudited pro forma summary presents the financial information as if the Company's Euroball transaction and Delta acquisition had occurred on January 1, 2001 and 2000. These proforma results have been prepared for comparative purposes and do not purport to be indicative of what would have occurred had the acquisitions been made on January 1, 2001 and 2000, nor is it indicative of future results.</w:t>
      </w:r>
    </w:p>
    <w:p>
      <w:pPr>
        <w:spacing w:after="0" w:line="200" w:lineRule="exact"/>
        <w:rPr>
          <w:sz w:val="20"/>
          <w:szCs w:val="20"/>
          <w:color w:val="auto"/>
        </w:rPr>
      </w:pPr>
    </w:p>
    <w:p>
      <w:pPr>
        <w:spacing w:after="0" w:line="264"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2940" w:type="dxa"/>
            <w:vAlign w:val="bottom"/>
          </w:tcPr>
          <w:p>
            <w:pPr>
              <w:spacing w:after="0"/>
              <w:rPr>
                <w:sz w:val="12"/>
                <w:szCs w:val="12"/>
                <w:color w:val="auto"/>
              </w:rPr>
            </w:pPr>
          </w:p>
        </w:tc>
        <w:tc>
          <w:tcPr>
            <w:tcW w:w="2400" w:type="dxa"/>
            <w:vAlign w:val="bottom"/>
          </w:tcPr>
          <w:p>
            <w:pPr>
              <w:jc w:val="right"/>
              <w:ind w:right="373"/>
              <w:spacing w:after="0"/>
              <w:rPr>
                <w:sz w:val="20"/>
                <w:szCs w:val="20"/>
                <w:color w:val="auto"/>
              </w:rPr>
            </w:pPr>
            <w:r>
              <w:rPr>
                <w:rFonts w:ascii="Courier New" w:cs="Courier New" w:eastAsia="Courier New" w:hAnsi="Courier New"/>
                <w:sz w:val="13"/>
                <w:szCs w:val="13"/>
                <w:b w:val="1"/>
                <w:bCs w:val="1"/>
                <w:color w:val="auto"/>
              </w:rPr>
              <w:t>(Unaudited)</w:t>
            </w:r>
          </w:p>
        </w:tc>
        <w:tc>
          <w:tcPr>
            <w:tcW w:w="1560" w:type="dxa"/>
            <w:vAlign w:val="bottom"/>
          </w:tcPr>
          <w:p>
            <w:pPr>
              <w:jc w:val="right"/>
              <w:ind w:right="253"/>
              <w:spacing w:after="0"/>
              <w:rPr>
                <w:sz w:val="20"/>
                <w:szCs w:val="20"/>
                <w:color w:val="auto"/>
              </w:rPr>
            </w:pPr>
            <w:r>
              <w:rPr>
                <w:rFonts w:ascii="Courier New" w:cs="Courier New" w:eastAsia="Courier New" w:hAnsi="Courier New"/>
                <w:sz w:val="13"/>
                <w:szCs w:val="13"/>
                <w:b w:val="1"/>
                <w:bCs w:val="1"/>
                <w:color w:val="auto"/>
              </w:rPr>
              <w:t>(Unaudited)</w:t>
            </w:r>
          </w:p>
        </w:tc>
      </w:tr>
      <w:tr>
        <w:trPr>
          <w:trHeight w:val="154"/>
        </w:trPr>
        <w:tc>
          <w:tcPr>
            <w:tcW w:w="2940" w:type="dxa"/>
            <w:vAlign w:val="bottom"/>
          </w:tcPr>
          <w:p>
            <w:pPr>
              <w:spacing w:after="0"/>
              <w:rPr>
                <w:sz w:val="13"/>
                <w:szCs w:val="13"/>
                <w:color w:val="auto"/>
              </w:rPr>
            </w:pPr>
          </w:p>
        </w:tc>
        <w:tc>
          <w:tcPr>
            <w:tcW w:w="2400" w:type="dxa"/>
            <w:vAlign w:val="bottom"/>
          </w:tcPr>
          <w:p>
            <w:pPr>
              <w:ind w:left="840"/>
              <w:spacing w:after="0"/>
              <w:rPr>
                <w:sz w:val="20"/>
                <w:szCs w:val="20"/>
                <w:color w:val="auto"/>
              </w:rPr>
            </w:pPr>
            <w:r>
              <w:rPr>
                <w:rFonts w:ascii="Courier New" w:cs="Courier New" w:eastAsia="Courier New" w:hAnsi="Courier New"/>
                <w:sz w:val="13"/>
                <w:szCs w:val="13"/>
                <w:b w:val="1"/>
                <w:bCs w:val="1"/>
                <w:color w:val="auto"/>
              </w:rPr>
              <w:t>December 31, 2001</w:t>
            </w:r>
          </w:p>
        </w:tc>
        <w:tc>
          <w:tcPr>
            <w:tcW w:w="1560" w:type="dxa"/>
            <w:vAlign w:val="bottom"/>
          </w:tcPr>
          <w:p>
            <w:pPr>
              <w:ind w:left="120"/>
              <w:spacing w:after="0"/>
              <w:rPr>
                <w:sz w:val="20"/>
                <w:szCs w:val="20"/>
                <w:color w:val="auto"/>
              </w:rPr>
            </w:pPr>
            <w:r>
              <w:rPr>
                <w:rFonts w:ascii="Courier New" w:cs="Courier New" w:eastAsia="Courier New" w:hAnsi="Courier New"/>
                <w:sz w:val="13"/>
                <w:szCs w:val="13"/>
                <w:b w:val="1"/>
                <w:bCs w:val="1"/>
                <w:color w:val="auto"/>
              </w:rPr>
              <w:t>December 31, 2000</w:t>
            </w:r>
          </w:p>
        </w:tc>
      </w:tr>
      <w:tr>
        <w:trPr>
          <w:trHeight w:val="154"/>
        </w:trPr>
        <w:tc>
          <w:tcPr>
            <w:tcW w:w="2940" w:type="dxa"/>
            <w:vAlign w:val="bottom"/>
          </w:tcPr>
          <w:p>
            <w:pPr>
              <w:spacing w:after="0"/>
              <w:rPr>
                <w:sz w:val="13"/>
                <w:szCs w:val="13"/>
                <w:color w:val="auto"/>
              </w:rPr>
            </w:pPr>
          </w:p>
        </w:tc>
        <w:tc>
          <w:tcPr>
            <w:tcW w:w="2400" w:type="dxa"/>
            <w:vAlign w:val="bottom"/>
          </w:tcPr>
          <w:p>
            <w:pPr>
              <w:ind w:left="840"/>
              <w:spacing w:after="0"/>
              <w:rPr>
                <w:sz w:val="20"/>
                <w:szCs w:val="20"/>
                <w:color w:val="auto"/>
              </w:rPr>
            </w:pPr>
            <w:r>
              <w:rPr>
                <w:rFonts w:ascii="Courier New" w:cs="Courier New" w:eastAsia="Courier New" w:hAnsi="Courier New"/>
                <w:sz w:val="13"/>
                <w:szCs w:val="13"/>
                <w:b w:val="1"/>
                <w:bCs w:val="1"/>
                <w:color w:val="auto"/>
              </w:rPr>
              <w:t>------------------</w:t>
            </w:r>
          </w:p>
        </w:tc>
        <w:tc>
          <w:tcPr>
            <w:tcW w:w="1560" w:type="dxa"/>
            <w:vAlign w:val="bottom"/>
          </w:tcPr>
          <w:p>
            <w:pPr>
              <w:ind w:left="120"/>
              <w:spacing w:after="0"/>
              <w:rPr>
                <w:sz w:val="20"/>
                <w:szCs w:val="20"/>
                <w:color w:val="auto"/>
              </w:rPr>
            </w:pPr>
            <w:r>
              <w:rPr>
                <w:rFonts w:ascii="Courier New" w:cs="Courier New" w:eastAsia="Courier New" w:hAnsi="Courier New"/>
                <w:sz w:val="13"/>
                <w:szCs w:val="13"/>
                <w:b w:val="1"/>
                <w:bCs w:val="1"/>
                <w:color w:val="auto"/>
              </w:rPr>
              <w:t>------------------</w:t>
            </w:r>
          </w:p>
        </w:tc>
      </w:tr>
      <w:tr>
        <w:trPr>
          <w:trHeight w:val="308"/>
        </w:trPr>
        <w:tc>
          <w:tcPr>
            <w:tcW w:w="2940" w:type="dxa"/>
            <w:vAlign w:val="bottom"/>
          </w:tcPr>
          <w:p>
            <w:pPr>
              <w:spacing w:after="0"/>
              <w:rPr>
                <w:sz w:val="20"/>
                <w:szCs w:val="20"/>
                <w:color w:val="auto"/>
              </w:rPr>
            </w:pPr>
            <w:r>
              <w:rPr>
                <w:rFonts w:ascii="Courier New" w:cs="Courier New" w:eastAsia="Courier New" w:hAnsi="Courier New"/>
                <w:sz w:val="13"/>
                <w:szCs w:val="13"/>
                <w:color w:val="auto"/>
              </w:rPr>
              <w:t>Net sales</w:t>
            </w:r>
          </w:p>
        </w:tc>
        <w:tc>
          <w:tcPr>
            <w:tcW w:w="240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$ 182,700</w:t>
            </w:r>
          </w:p>
        </w:tc>
        <w:tc>
          <w:tcPr>
            <w:tcW w:w="1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$ 200,500</w:t>
            </w:r>
          </w:p>
        </w:tc>
      </w:tr>
      <w:tr>
        <w:trPr>
          <w:trHeight w:val="154"/>
        </w:trPr>
        <w:tc>
          <w:tcPr>
            <w:tcW w:w="2940" w:type="dxa"/>
            <w:vAlign w:val="bottom"/>
          </w:tcPr>
          <w:p>
            <w:pPr>
              <w:spacing w:after="0"/>
              <w:rPr>
                <w:sz w:val="20"/>
                <w:szCs w:val="20"/>
                <w:color w:val="auto"/>
              </w:rPr>
            </w:pPr>
            <w:r>
              <w:rPr>
                <w:rFonts w:ascii="Courier New" w:cs="Courier New" w:eastAsia="Courier New" w:hAnsi="Courier New"/>
                <w:sz w:val="13"/>
                <w:szCs w:val="13"/>
                <w:color w:val="auto"/>
              </w:rPr>
              <w:t>Net income</w:t>
            </w:r>
          </w:p>
        </w:tc>
        <w:tc>
          <w:tcPr>
            <w:tcW w:w="240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4,800</w:t>
            </w:r>
          </w:p>
        </w:tc>
        <w:tc>
          <w:tcPr>
            <w:tcW w:w="1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11,800</w:t>
            </w:r>
          </w:p>
        </w:tc>
      </w:tr>
      <w:tr>
        <w:trPr>
          <w:trHeight w:val="154"/>
        </w:trPr>
        <w:tc>
          <w:tcPr>
            <w:tcW w:w="2940" w:type="dxa"/>
            <w:vAlign w:val="bottom"/>
          </w:tcPr>
          <w:p>
            <w:pPr>
              <w:spacing w:after="0"/>
              <w:rPr>
                <w:sz w:val="20"/>
                <w:szCs w:val="20"/>
                <w:color w:val="auto"/>
              </w:rPr>
            </w:pPr>
            <w:r>
              <w:rPr>
                <w:rFonts w:ascii="Courier New" w:cs="Courier New" w:eastAsia="Courier New" w:hAnsi="Courier New"/>
                <w:sz w:val="13"/>
                <w:szCs w:val="13"/>
                <w:color w:val="auto"/>
              </w:rPr>
              <w:t>Basic earnings per share</w:t>
            </w:r>
          </w:p>
        </w:tc>
        <w:tc>
          <w:tcPr>
            <w:tcW w:w="240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0.31</w:t>
            </w:r>
          </w:p>
        </w:tc>
        <w:tc>
          <w:tcPr>
            <w:tcW w:w="1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0.77</w:t>
            </w:r>
          </w:p>
        </w:tc>
      </w:tr>
      <w:tr>
        <w:trPr>
          <w:trHeight w:val="154"/>
        </w:trPr>
        <w:tc>
          <w:tcPr>
            <w:tcW w:w="2940" w:type="dxa"/>
            <w:vAlign w:val="bottom"/>
          </w:tcPr>
          <w:p>
            <w:pPr>
              <w:spacing w:after="0"/>
              <w:rPr>
                <w:sz w:val="20"/>
                <w:szCs w:val="20"/>
                <w:color w:val="auto"/>
              </w:rPr>
            </w:pPr>
            <w:r>
              <w:rPr>
                <w:rFonts w:ascii="Courier New" w:cs="Courier New" w:eastAsia="Courier New" w:hAnsi="Courier New"/>
                <w:sz w:val="13"/>
                <w:szCs w:val="13"/>
                <w:color w:val="auto"/>
              </w:rPr>
              <w:t>Diluted earnings per share</w:t>
            </w:r>
          </w:p>
        </w:tc>
        <w:tc>
          <w:tcPr>
            <w:tcW w:w="240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0.31</w:t>
            </w:r>
          </w:p>
        </w:tc>
        <w:tc>
          <w:tcPr>
            <w:tcW w:w="1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0.76</w:t>
            </w:r>
          </w:p>
        </w:tc>
      </w:tr>
    </w:tbl>
    <w:p>
      <w:pPr>
        <w:spacing w:after="0" w:line="159" w:lineRule="exact"/>
        <w:rPr>
          <w:sz w:val="20"/>
          <w:szCs w:val="20"/>
          <w:color w:val="auto"/>
        </w:rPr>
      </w:pPr>
    </w:p>
    <w:p>
      <w:pPr>
        <w:ind w:left="560" w:hanging="478"/>
        <w:spacing w:after="0"/>
        <w:tabs>
          <w:tab w:leader="none" w:pos="560" w:val="left"/>
        </w:tabs>
        <w:numPr>
          <w:ilvl w:val="0"/>
          <w:numId w:val="12"/>
        </w:numPr>
        <w:rPr>
          <w:rFonts w:ascii="Courier New" w:cs="Courier New" w:eastAsia="Courier New" w:hAnsi="Courier New"/>
          <w:sz w:val="13"/>
          <w:szCs w:val="13"/>
          <w:b w:val="1"/>
          <w:bCs w:val="1"/>
          <w:color w:val="auto"/>
        </w:rPr>
      </w:pPr>
      <w:r>
        <w:rPr>
          <w:rFonts w:ascii="Courier New" w:cs="Courier New" w:eastAsia="Courier New" w:hAnsi="Courier New"/>
          <w:sz w:val="13"/>
          <w:szCs w:val="13"/>
          <w:b w:val="1"/>
          <w:bCs w:val="1"/>
          <w:color w:val="auto"/>
        </w:rPr>
        <w:t>Restructuring and Impairment Charges</w:t>
      </w:r>
    </w:p>
    <w:p>
      <w:pPr>
        <w:spacing w:after="0" w:line="161" w:lineRule="exact"/>
        <w:rPr>
          <w:rFonts w:ascii="Courier New" w:cs="Courier New" w:eastAsia="Courier New" w:hAnsi="Courier New"/>
          <w:sz w:val="13"/>
          <w:szCs w:val="13"/>
          <w:b w:val="1"/>
          <w:bCs w:val="1"/>
          <w:color w:val="auto"/>
        </w:rPr>
      </w:pPr>
    </w:p>
    <w:p>
      <w:pPr>
        <w:ind w:left="560" w:right="3899"/>
        <w:spacing w:after="0" w:line="252" w:lineRule="auto"/>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In September 2001, the Company announced the closure of its Walterboro, South Carolina ball manufacturing facility as a part of its ongoing strategy to locate manufacturing capacity in closer proximity to its customers. This facility is included in the Company's Domestic Ball and Roller Segment (see Note 11). The closure was substantially completed by</w:t>
      </w:r>
    </w:p>
    <w:p>
      <w:pPr>
        <w:sectPr>
          <w:pgSz w:w="11900" w:h="16838" w:orient="portrait"/>
          <w:cols w:equalWidth="0" w:num="1">
            <w:col w:w="10239"/>
          </w:cols>
          <w:pgMar w:left="220" w:top="141" w:right="1440" w:bottom="0" w:gutter="0" w:footer="0" w:header="0"/>
        </w:sectPr>
      </w:pPr>
    </w:p>
    <w:bookmarkStart w:id="28" w:name="page29"/>
    <w:bookmarkEnd w:id="28"/>
    <w:p>
      <w:pPr>
        <w:ind w:left="560"/>
        <w:spacing w:after="0"/>
        <w:rPr>
          <w:sz w:val="20"/>
          <w:szCs w:val="20"/>
          <w:color w:val="auto"/>
        </w:rPr>
      </w:pPr>
      <w:r>
        <w:rPr>
          <w:rFonts w:ascii="Courier New" w:cs="Courier New" w:eastAsia="Courier New" w:hAnsi="Courier New"/>
          <w:sz w:val="13"/>
          <w:szCs w:val="13"/>
          <w:color w:val="auto"/>
        </w:rPr>
        <w:t>December 31, 2001.</w:t>
      </w:r>
    </w:p>
    <w:p>
      <w:pPr>
        <w:spacing w:after="0" w:line="161" w:lineRule="exact"/>
        <w:rPr>
          <w:sz w:val="20"/>
          <w:szCs w:val="20"/>
          <w:color w:val="auto"/>
        </w:rPr>
      </w:pPr>
    </w:p>
    <w:p>
      <w:pPr>
        <w:ind w:left="560" w:right="3819"/>
        <w:spacing w:after="0" w:line="251" w:lineRule="auto"/>
        <w:rPr>
          <w:sz w:val="20"/>
          <w:szCs w:val="20"/>
          <w:color w:val="auto"/>
        </w:rPr>
      </w:pPr>
      <w:r>
        <w:rPr>
          <w:rFonts w:ascii="Courier New" w:cs="Courier New" w:eastAsia="Courier New" w:hAnsi="Courier New"/>
          <w:sz w:val="13"/>
          <w:szCs w:val="13"/>
          <w:color w:val="auto"/>
        </w:rPr>
        <w:t>Prior to December 31, 2001, production capacity and certain machinery and equipment was transferred from the Walterboro facility to the Company's two domestic ball facilities in Erwin, Tennessee and Mountain City, Tennessee. The plant closing resulted in the termination of approximately 80 full time hourly and salaried employees located at the Walterboro facility. The Company has recorded restructuring costs of $62 and $750 during the years ended December 31, 2002 and 2001, respectively, for the related severance payments. Additionally, prior to December 31, 2001, the Company decided to sell the Walterboro land, building and certain machinery. The Company incurred an impairment charge of $564 and $1,083 during 2002 and 2001, respectively, to write-down the land and building at the Walterboro facility to its net realizable value of $1,128 at December 31, 2002 and $1,692 at December 31, 2001, which were based upon fair market value appraisals. Additionally, the Company incurred an impairment charge of $635 during 2002 to write down the equipment to its net realizable value of $1,086. The amounts the Company will ultimately realize upon disposition of these assets could differ materially from the amounts assumed in arriving at the 2002 and 2001 impairment losses. The land, building, and equipment assets with a recorded book value of $2,214 are held for sale. The Company is attempting to sell the land, building and machinery during 2003. Approximately $522 and $290 of the severance payments were paid in 2002 and 2001, respectively.</w:t>
      </w:r>
    </w:p>
    <w:p>
      <w:pPr>
        <w:spacing w:after="0" w:line="159" w:lineRule="exact"/>
        <w:rPr>
          <w:sz w:val="20"/>
          <w:szCs w:val="20"/>
          <w:color w:val="auto"/>
        </w:rPr>
      </w:pPr>
    </w:p>
    <w:p>
      <w:pPr>
        <w:ind w:left="560" w:right="4059"/>
        <w:spacing w:after="0" w:line="252" w:lineRule="auto"/>
        <w:rPr>
          <w:sz w:val="20"/>
          <w:szCs w:val="20"/>
          <w:color w:val="auto"/>
        </w:rPr>
      </w:pPr>
      <w:r>
        <w:rPr>
          <w:rFonts w:ascii="Courier New" w:cs="Courier New" w:eastAsia="Courier New" w:hAnsi="Courier New"/>
          <w:sz w:val="13"/>
          <w:szCs w:val="13"/>
          <w:color w:val="auto"/>
        </w:rPr>
        <w:t>The Company has charged expenses for moving machinery, equipment and inventory to other production facilities and other costs to close the facility, which will benefit future operations, in the period they are incurred.</w:t>
      </w:r>
    </w:p>
    <w:p>
      <w:pPr>
        <w:spacing w:after="0" w:line="307" w:lineRule="exact"/>
        <w:rPr>
          <w:sz w:val="20"/>
          <w:szCs w:val="20"/>
          <w:color w:val="auto"/>
        </w:rPr>
      </w:pPr>
    </w:p>
    <w:p>
      <w:pPr>
        <w:jc w:val="right"/>
        <w:ind w:right="3819"/>
        <w:spacing w:after="0"/>
        <w:rPr>
          <w:sz w:val="20"/>
          <w:szCs w:val="20"/>
          <w:color w:val="auto"/>
        </w:rPr>
      </w:pPr>
      <w:r>
        <w:rPr>
          <w:rFonts w:ascii="Courier New" w:cs="Courier New" w:eastAsia="Courier New" w:hAnsi="Courier New"/>
          <w:sz w:val="13"/>
          <w:szCs w:val="13"/>
          <w:color w:val="auto"/>
        </w:rPr>
        <w:t>Continued</w:t>
      </w:r>
    </w:p>
    <w:p>
      <w:pPr>
        <w:spacing w:after="0" w:line="315"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3"/>
          <w:szCs w:val="13"/>
          <w:b w:val="1"/>
          <w:bCs w:val="1"/>
          <w:color w:val="auto"/>
        </w:rPr>
        <w:t>NN, Inc.</w:t>
      </w:r>
    </w:p>
    <w:p>
      <w:pPr>
        <w:spacing w:after="0" w:line="7"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3"/>
          <w:szCs w:val="13"/>
          <w:b w:val="1"/>
          <w:bCs w:val="1"/>
          <w:color w:val="auto"/>
        </w:rPr>
        <w:t>Notes to Consolidated Financial Statements</w:t>
      </w:r>
    </w:p>
    <w:p>
      <w:pPr>
        <w:spacing w:after="0" w:line="7" w:lineRule="exact"/>
        <w:rPr>
          <w:sz w:val="20"/>
          <w:szCs w:val="20"/>
          <w:color w:val="auto"/>
        </w:rPr>
      </w:pPr>
    </w:p>
    <w:p>
      <w:pPr>
        <w:ind w:left="1920"/>
        <w:spacing w:after="0"/>
        <w:rPr>
          <w:sz w:val="20"/>
          <w:szCs w:val="20"/>
          <w:color w:val="auto"/>
        </w:rPr>
      </w:pPr>
      <w:r>
        <w:rPr>
          <w:rFonts w:ascii="Courier New" w:cs="Courier New" w:eastAsia="Courier New" w:hAnsi="Courier New"/>
          <w:sz w:val="13"/>
          <w:szCs w:val="13"/>
          <w:b w:val="1"/>
          <w:bCs w:val="1"/>
          <w:color w:val="auto"/>
        </w:rPr>
        <w:t>December 31, 2002, 2001 and 2000</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3"/>
          <w:szCs w:val="13"/>
          <w:b w:val="1"/>
          <w:bCs w:val="1"/>
          <w:color w:val="auto"/>
        </w:rPr>
        <w:t>(In thousands, except per share data)</w:t>
      </w:r>
    </w:p>
    <w:p>
      <w:pPr>
        <w:spacing w:after="0" w:line="315" w:lineRule="exact"/>
        <w:rPr>
          <w:sz w:val="20"/>
          <w:szCs w:val="20"/>
          <w:color w:val="auto"/>
        </w:rPr>
      </w:pPr>
    </w:p>
    <w:p>
      <w:pPr>
        <w:ind w:left="560" w:right="3819"/>
        <w:spacing w:after="0" w:line="251" w:lineRule="auto"/>
        <w:rPr>
          <w:sz w:val="20"/>
          <w:szCs w:val="20"/>
          <w:color w:val="auto"/>
        </w:rPr>
      </w:pPr>
      <w:r>
        <w:rPr>
          <w:rFonts w:ascii="Courier New" w:cs="Courier New" w:eastAsia="Courier New" w:hAnsi="Courier New"/>
          <w:sz w:val="13"/>
          <w:szCs w:val="13"/>
          <w:color w:val="auto"/>
        </w:rPr>
        <w:t>In addition to this restructuring charge, the Company's Euroball subsidiary incurred restructuring charges of $16 and $479 for severance payments as a result of the termination of 15 hourly employees and 3 salaried employees at its Italy production facility during 2002 and 2001, respectively. Approximately $69 and $426 of the severance payments were paid during 2002 and 2001, respectively.</w:t>
      </w:r>
    </w:p>
    <w:p>
      <w:pPr>
        <w:spacing w:after="0" w:line="155"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The following summarizes the 2002 restructurings:</w:t>
      </w:r>
    </w:p>
    <w:p>
      <w:pPr>
        <w:spacing w:after="0" w:line="161" w:lineRule="exact"/>
        <w:rPr>
          <w:sz w:val="20"/>
          <w:szCs w:val="20"/>
          <w:color w:val="auto"/>
        </w:rPr>
      </w:pPr>
    </w:p>
    <w:tbl>
      <w:tblPr>
        <w:tblLayout w:type="fixed"/>
        <w:tblInd w:w="480" w:type="dxa"/>
        <w:tblCellMar>
          <w:top w:w="0" w:type="dxa"/>
          <w:left w:w="0" w:type="dxa"/>
          <w:bottom w:w="0" w:type="dxa"/>
          <w:right w:w="0" w:type="dxa"/>
        </w:tblCellMar>
      </w:tblPr>
      <w:tr>
        <w:trPr>
          <w:trHeight w:val="149"/>
        </w:trPr>
        <w:tc>
          <w:tcPr>
            <w:tcW w:w="3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20" w:type="dxa"/>
            <w:vAlign w:val="bottom"/>
          </w:tcPr>
          <w:p>
            <w:pPr>
              <w:jc w:val="center"/>
              <w:ind w:left="53"/>
              <w:spacing w:after="0"/>
              <w:rPr>
                <w:sz w:val="20"/>
                <w:szCs w:val="20"/>
                <w:color w:val="auto"/>
              </w:rPr>
            </w:pPr>
            <w:r>
              <w:rPr>
                <w:rFonts w:ascii="Courier New" w:cs="Courier New" w:eastAsia="Courier New" w:hAnsi="Courier New"/>
                <w:sz w:val="13"/>
                <w:szCs w:val="13"/>
                <w:color w:val="auto"/>
              </w:rPr>
              <w:t>Reserve</w:t>
            </w:r>
          </w:p>
        </w:tc>
      </w:tr>
      <w:tr>
        <w:trPr>
          <w:trHeight w:val="154"/>
        </w:trPr>
        <w:tc>
          <w:tcPr>
            <w:tcW w:w="3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20" w:type="dxa"/>
            <w:vAlign w:val="bottom"/>
          </w:tcPr>
          <w:p>
            <w:pPr>
              <w:jc w:val="center"/>
              <w:ind w:right="13"/>
              <w:spacing w:after="0"/>
              <w:rPr>
                <w:sz w:val="20"/>
                <w:szCs w:val="20"/>
                <w:color w:val="auto"/>
              </w:rPr>
            </w:pPr>
            <w:r>
              <w:rPr>
                <w:rFonts w:ascii="Courier New" w:cs="Courier New" w:eastAsia="Courier New" w:hAnsi="Courier New"/>
                <w:sz w:val="13"/>
                <w:szCs w:val="13"/>
                <w:color w:val="auto"/>
              </w:rPr>
              <w:t>Non-Cash</w:t>
            </w:r>
          </w:p>
        </w:tc>
        <w:tc>
          <w:tcPr>
            <w:tcW w:w="1320" w:type="dxa"/>
            <w:vAlign w:val="bottom"/>
            <w:gridSpan w:val="2"/>
          </w:tcPr>
          <w:p>
            <w:pPr>
              <w:jc w:val="right"/>
              <w:ind w:right="373"/>
              <w:spacing w:after="0"/>
              <w:rPr>
                <w:sz w:val="20"/>
                <w:szCs w:val="20"/>
                <w:color w:val="auto"/>
              </w:rPr>
            </w:pPr>
            <w:r>
              <w:rPr>
                <w:rFonts w:ascii="Courier New" w:cs="Courier New" w:eastAsia="Courier New" w:hAnsi="Courier New"/>
                <w:sz w:val="13"/>
                <w:szCs w:val="13"/>
                <w:color w:val="auto"/>
              </w:rPr>
              <w:t>Paid in</w:t>
            </w:r>
          </w:p>
        </w:tc>
        <w:tc>
          <w:tcPr>
            <w:tcW w:w="1320" w:type="dxa"/>
            <w:vAlign w:val="bottom"/>
          </w:tcPr>
          <w:p>
            <w:pPr>
              <w:jc w:val="center"/>
              <w:ind w:left="53"/>
              <w:spacing w:after="0"/>
              <w:rPr>
                <w:sz w:val="20"/>
                <w:szCs w:val="20"/>
                <w:color w:val="auto"/>
              </w:rPr>
            </w:pPr>
            <w:r>
              <w:rPr>
                <w:rFonts w:ascii="Courier New" w:cs="Courier New" w:eastAsia="Courier New" w:hAnsi="Courier New"/>
                <w:sz w:val="13"/>
                <w:szCs w:val="13"/>
                <w:color w:val="auto"/>
              </w:rPr>
              <w:t>Balance</w:t>
            </w:r>
          </w:p>
        </w:tc>
      </w:tr>
      <w:tr>
        <w:trPr>
          <w:trHeight w:val="154"/>
        </w:trPr>
        <w:tc>
          <w:tcPr>
            <w:tcW w:w="3140" w:type="dxa"/>
            <w:vAlign w:val="bottom"/>
          </w:tcPr>
          <w:p>
            <w:pPr>
              <w:spacing w:after="0"/>
              <w:rPr>
                <w:sz w:val="13"/>
                <w:szCs w:val="13"/>
                <w:color w:val="auto"/>
              </w:rPr>
            </w:pPr>
          </w:p>
        </w:tc>
        <w:tc>
          <w:tcPr>
            <w:tcW w:w="1760" w:type="dxa"/>
            <w:vAlign w:val="bottom"/>
            <w:gridSpan w:val="2"/>
          </w:tcPr>
          <w:p>
            <w:pPr>
              <w:jc w:val="right"/>
              <w:ind w:right="493"/>
              <w:spacing w:after="0"/>
              <w:rPr>
                <w:sz w:val="20"/>
                <w:szCs w:val="20"/>
                <w:color w:val="auto"/>
              </w:rPr>
            </w:pPr>
            <w:r>
              <w:rPr>
                <w:rFonts w:ascii="Courier New" w:cs="Courier New" w:eastAsia="Courier New" w:hAnsi="Courier New"/>
                <w:sz w:val="13"/>
                <w:szCs w:val="13"/>
                <w:color w:val="auto"/>
              </w:rPr>
              <w:t>Charges</w:t>
            </w:r>
          </w:p>
        </w:tc>
        <w:tc>
          <w:tcPr>
            <w:tcW w:w="1520" w:type="dxa"/>
            <w:vAlign w:val="bottom"/>
          </w:tcPr>
          <w:p>
            <w:pPr>
              <w:jc w:val="center"/>
              <w:ind w:right="13"/>
              <w:spacing w:after="0"/>
              <w:rPr>
                <w:sz w:val="20"/>
                <w:szCs w:val="20"/>
                <w:color w:val="auto"/>
              </w:rPr>
            </w:pPr>
            <w:r>
              <w:rPr>
                <w:rFonts w:ascii="Courier New" w:cs="Courier New" w:eastAsia="Courier New" w:hAnsi="Courier New"/>
                <w:sz w:val="13"/>
                <w:szCs w:val="13"/>
                <w:color w:val="auto"/>
              </w:rPr>
              <w:t>Writedowns</w:t>
            </w:r>
          </w:p>
        </w:tc>
        <w:tc>
          <w:tcPr>
            <w:tcW w:w="760" w:type="dxa"/>
            <w:vAlign w:val="bottom"/>
          </w:tcPr>
          <w:p>
            <w:pPr>
              <w:jc w:val="right"/>
              <w:spacing w:after="0"/>
              <w:rPr>
                <w:sz w:val="20"/>
                <w:szCs w:val="20"/>
                <w:color w:val="auto"/>
              </w:rPr>
            </w:pPr>
            <w:r>
              <w:rPr>
                <w:rFonts w:ascii="Courier New" w:cs="Courier New" w:eastAsia="Courier New" w:hAnsi="Courier New"/>
                <w:sz w:val="13"/>
                <w:szCs w:val="13"/>
                <w:color w:val="auto"/>
              </w:rPr>
              <w:t>2002</w:t>
            </w:r>
          </w:p>
        </w:tc>
        <w:tc>
          <w:tcPr>
            <w:tcW w:w="560" w:type="dxa"/>
            <w:vAlign w:val="bottom"/>
          </w:tcPr>
          <w:p>
            <w:pPr>
              <w:spacing w:after="0"/>
              <w:rPr>
                <w:sz w:val="13"/>
                <w:szCs w:val="13"/>
                <w:color w:val="auto"/>
              </w:rPr>
            </w:pPr>
          </w:p>
        </w:tc>
        <w:tc>
          <w:tcPr>
            <w:tcW w:w="1320" w:type="dxa"/>
            <w:vAlign w:val="bottom"/>
          </w:tcPr>
          <w:p>
            <w:pPr>
              <w:jc w:val="center"/>
              <w:ind w:left="53"/>
              <w:spacing w:after="0"/>
              <w:rPr>
                <w:sz w:val="20"/>
                <w:szCs w:val="20"/>
                <w:color w:val="auto"/>
              </w:rPr>
            </w:pPr>
            <w:r>
              <w:rPr>
                <w:rFonts w:ascii="Courier New" w:cs="Courier New" w:eastAsia="Courier New" w:hAnsi="Courier New"/>
                <w:sz w:val="13"/>
                <w:szCs w:val="13"/>
                <w:color w:val="auto"/>
              </w:rPr>
              <w:t>at 12/31/02</w:t>
            </w:r>
          </w:p>
        </w:tc>
      </w:tr>
      <w:tr>
        <w:trPr>
          <w:trHeight w:val="154"/>
        </w:trPr>
        <w:tc>
          <w:tcPr>
            <w:tcW w:w="3140" w:type="dxa"/>
            <w:vAlign w:val="bottom"/>
          </w:tcPr>
          <w:p>
            <w:pPr>
              <w:spacing w:after="0"/>
              <w:rPr>
                <w:sz w:val="13"/>
                <w:szCs w:val="13"/>
                <w:color w:val="auto"/>
              </w:rPr>
            </w:pPr>
          </w:p>
        </w:tc>
        <w:tc>
          <w:tcPr>
            <w:tcW w:w="176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320" w:type="dxa"/>
            <w:vAlign w:val="bottom"/>
            <w:gridSpan w:val="2"/>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308"/>
        </w:trPr>
        <w:tc>
          <w:tcPr>
            <w:tcW w:w="3140" w:type="dxa"/>
            <w:vAlign w:val="bottom"/>
          </w:tcPr>
          <w:p>
            <w:pPr>
              <w:spacing w:after="0"/>
              <w:rPr>
                <w:sz w:val="20"/>
                <w:szCs w:val="20"/>
                <w:color w:val="auto"/>
              </w:rPr>
            </w:pPr>
            <w:r>
              <w:rPr>
                <w:rFonts w:ascii="Courier New" w:cs="Courier New" w:eastAsia="Courier New" w:hAnsi="Courier New"/>
                <w:sz w:val="13"/>
                <w:szCs w:val="13"/>
                <w:color w:val="auto"/>
              </w:rPr>
              <w:t>Asset impairments</w:t>
            </w:r>
          </w:p>
        </w:tc>
        <w:tc>
          <w:tcPr>
            <w:tcW w:w="112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7"/>
              </w:rPr>
              <w:t>1,199</w:t>
            </w:r>
          </w:p>
        </w:tc>
        <w:tc>
          <w:tcPr>
            <w:tcW w:w="15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$1,199</w:t>
            </w:r>
          </w:p>
        </w:tc>
        <w:tc>
          <w:tcPr>
            <w:tcW w:w="7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56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3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 --</w:t>
            </w:r>
          </w:p>
        </w:tc>
      </w:tr>
      <w:tr>
        <w:trPr>
          <w:trHeight w:val="154"/>
        </w:trPr>
        <w:tc>
          <w:tcPr>
            <w:tcW w:w="3140" w:type="dxa"/>
            <w:vAlign w:val="bottom"/>
          </w:tcPr>
          <w:p>
            <w:pPr>
              <w:spacing w:after="0"/>
              <w:rPr>
                <w:sz w:val="20"/>
                <w:szCs w:val="20"/>
                <w:color w:val="auto"/>
              </w:rPr>
            </w:pPr>
            <w:r>
              <w:rPr>
                <w:rFonts w:ascii="Courier New" w:cs="Courier New" w:eastAsia="Courier New" w:hAnsi="Courier New"/>
                <w:sz w:val="13"/>
                <w:szCs w:val="13"/>
                <w:color w:val="auto"/>
              </w:rPr>
              <w:t>Severance and other employee costs</w:t>
            </w:r>
          </w:p>
        </w:tc>
        <w:tc>
          <w:tcPr>
            <w:tcW w:w="1120" w:type="dxa"/>
            <w:vAlign w:val="bottom"/>
          </w:tcPr>
          <w:p>
            <w:pPr>
              <w:spacing w:after="0"/>
              <w:rPr>
                <w:sz w:val="13"/>
                <w:szCs w:val="13"/>
                <w:color w:val="auto"/>
              </w:rPr>
            </w:pPr>
          </w:p>
        </w:tc>
        <w:tc>
          <w:tcPr>
            <w:tcW w:w="64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78</w:t>
            </w:r>
          </w:p>
        </w:tc>
        <w:tc>
          <w:tcPr>
            <w:tcW w:w="15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760" w:type="dxa"/>
            <w:vAlign w:val="bottom"/>
          </w:tcPr>
          <w:p>
            <w:pPr>
              <w:spacing w:after="0"/>
              <w:rPr>
                <w:sz w:val="13"/>
                <w:szCs w:val="13"/>
                <w:color w:val="auto"/>
              </w:rPr>
            </w:pPr>
          </w:p>
        </w:tc>
        <w:tc>
          <w:tcPr>
            <w:tcW w:w="56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591</w:t>
            </w:r>
          </w:p>
        </w:tc>
        <w:tc>
          <w:tcPr>
            <w:tcW w:w="13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r>
      <w:tr>
        <w:trPr>
          <w:trHeight w:val="154"/>
        </w:trPr>
        <w:tc>
          <w:tcPr>
            <w:tcW w:w="3140" w:type="dxa"/>
            <w:vAlign w:val="bottom"/>
          </w:tcPr>
          <w:p>
            <w:pPr>
              <w:spacing w:after="0"/>
              <w:rPr>
                <w:sz w:val="13"/>
                <w:szCs w:val="13"/>
                <w:color w:val="auto"/>
              </w:rPr>
            </w:pPr>
          </w:p>
        </w:tc>
        <w:tc>
          <w:tcPr>
            <w:tcW w:w="176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320" w:type="dxa"/>
            <w:vAlign w:val="bottom"/>
            <w:gridSpan w:val="2"/>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3140" w:type="dxa"/>
            <w:vAlign w:val="bottom"/>
          </w:tcPr>
          <w:p>
            <w:pPr>
              <w:spacing w:after="0"/>
              <w:rPr>
                <w:sz w:val="20"/>
                <w:szCs w:val="20"/>
                <w:color w:val="auto"/>
              </w:rPr>
            </w:pPr>
            <w:r>
              <w:rPr>
                <w:rFonts w:ascii="Courier New" w:cs="Courier New" w:eastAsia="Courier New" w:hAnsi="Courier New"/>
                <w:sz w:val="13"/>
                <w:szCs w:val="13"/>
                <w:color w:val="auto"/>
              </w:rPr>
              <w:t>Total</w:t>
            </w:r>
          </w:p>
        </w:tc>
        <w:tc>
          <w:tcPr>
            <w:tcW w:w="112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7"/>
              </w:rPr>
              <w:t>1,277</w:t>
            </w:r>
          </w:p>
        </w:tc>
        <w:tc>
          <w:tcPr>
            <w:tcW w:w="15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$1,199</w:t>
            </w:r>
          </w:p>
        </w:tc>
        <w:tc>
          <w:tcPr>
            <w:tcW w:w="1320" w:type="dxa"/>
            <w:vAlign w:val="bottom"/>
            <w:gridSpan w:val="2"/>
          </w:tcPr>
          <w:p>
            <w:pPr>
              <w:jc w:val="right"/>
              <w:ind w:right="213"/>
              <w:spacing w:after="0"/>
              <w:rPr>
                <w:sz w:val="20"/>
                <w:szCs w:val="20"/>
                <w:color w:val="auto"/>
              </w:rPr>
            </w:pPr>
            <w:r>
              <w:rPr>
                <w:rFonts w:ascii="Courier New" w:cs="Courier New" w:eastAsia="Courier New" w:hAnsi="Courier New"/>
                <w:sz w:val="13"/>
                <w:szCs w:val="13"/>
                <w:color w:val="auto"/>
              </w:rPr>
              <w:t>$ 591</w:t>
            </w:r>
          </w:p>
        </w:tc>
        <w:tc>
          <w:tcPr>
            <w:tcW w:w="13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 --</w:t>
            </w:r>
          </w:p>
        </w:tc>
      </w:tr>
      <w:tr>
        <w:trPr>
          <w:trHeight w:val="154"/>
        </w:trPr>
        <w:tc>
          <w:tcPr>
            <w:tcW w:w="3140" w:type="dxa"/>
            <w:vAlign w:val="bottom"/>
          </w:tcPr>
          <w:p>
            <w:pPr>
              <w:spacing w:after="0"/>
              <w:rPr>
                <w:sz w:val="13"/>
                <w:szCs w:val="13"/>
                <w:color w:val="auto"/>
              </w:rPr>
            </w:pPr>
          </w:p>
        </w:tc>
        <w:tc>
          <w:tcPr>
            <w:tcW w:w="176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320" w:type="dxa"/>
            <w:vAlign w:val="bottom"/>
            <w:gridSpan w:val="2"/>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463"/>
        </w:trPr>
        <w:tc>
          <w:tcPr>
            <w:tcW w:w="4260" w:type="dxa"/>
            <w:vAlign w:val="bottom"/>
            <w:gridSpan w:val="2"/>
          </w:tcPr>
          <w:p>
            <w:pPr>
              <w:ind w:left="80"/>
              <w:spacing w:after="0"/>
              <w:rPr>
                <w:sz w:val="20"/>
                <w:szCs w:val="20"/>
                <w:color w:val="auto"/>
              </w:rPr>
            </w:pPr>
            <w:r>
              <w:rPr>
                <w:rFonts w:ascii="Courier New" w:cs="Courier New" w:eastAsia="Courier New" w:hAnsi="Courier New"/>
                <w:sz w:val="13"/>
                <w:szCs w:val="13"/>
                <w:color w:val="auto"/>
              </w:rPr>
              <w:t>The following summarizes the 2001 restructurings:</w:t>
            </w:r>
          </w:p>
        </w:tc>
        <w:tc>
          <w:tcPr>
            <w:tcW w:w="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08"/>
        </w:trPr>
        <w:tc>
          <w:tcPr>
            <w:tcW w:w="3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jc w:val="center"/>
              <w:ind w:left="53"/>
              <w:spacing w:after="0"/>
              <w:rPr>
                <w:sz w:val="20"/>
                <w:szCs w:val="20"/>
                <w:color w:val="auto"/>
              </w:rPr>
            </w:pPr>
            <w:r>
              <w:rPr>
                <w:rFonts w:ascii="Courier New" w:cs="Courier New" w:eastAsia="Courier New" w:hAnsi="Courier New"/>
                <w:sz w:val="13"/>
                <w:szCs w:val="13"/>
                <w:color w:val="auto"/>
              </w:rPr>
              <w:t>Reserve</w:t>
            </w:r>
          </w:p>
        </w:tc>
      </w:tr>
      <w:tr>
        <w:trPr>
          <w:trHeight w:val="154"/>
        </w:trPr>
        <w:tc>
          <w:tcPr>
            <w:tcW w:w="3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20" w:type="dxa"/>
            <w:vAlign w:val="bottom"/>
          </w:tcPr>
          <w:p>
            <w:pPr>
              <w:jc w:val="center"/>
              <w:ind w:right="13"/>
              <w:spacing w:after="0"/>
              <w:rPr>
                <w:sz w:val="20"/>
                <w:szCs w:val="20"/>
                <w:color w:val="auto"/>
              </w:rPr>
            </w:pPr>
            <w:r>
              <w:rPr>
                <w:rFonts w:ascii="Courier New" w:cs="Courier New" w:eastAsia="Courier New" w:hAnsi="Courier New"/>
                <w:sz w:val="13"/>
                <w:szCs w:val="13"/>
                <w:color w:val="auto"/>
              </w:rPr>
              <w:t>Non-Cash</w:t>
            </w:r>
          </w:p>
        </w:tc>
        <w:tc>
          <w:tcPr>
            <w:tcW w:w="1320" w:type="dxa"/>
            <w:vAlign w:val="bottom"/>
            <w:gridSpan w:val="2"/>
          </w:tcPr>
          <w:p>
            <w:pPr>
              <w:jc w:val="right"/>
              <w:ind w:right="373"/>
              <w:spacing w:after="0"/>
              <w:rPr>
                <w:sz w:val="20"/>
                <w:szCs w:val="20"/>
                <w:color w:val="auto"/>
              </w:rPr>
            </w:pPr>
            <w:r>
              <w:rPr>
                <w:rFonts w:ascii="Courier New" w:cs="Courier New" w:eastAsia="Courier New" w:hAnsi="Courier New"/>
                <w:sz w:val="13"/>
                <w:szCs w:val="13"/>
                <w:color w:val="auto"/>
              </w:rPr>
              <w:t>Paid in</w:t>
            </w:r>
          </w:p>
        </w:tc>
        <w:tc>
          <w:tcPr>
            <w:tcW w:w="1320" w:type="dxa"/>
            <w:vAlign w:val="bottom"/>
          </w:tcPr>
          <w:p>
            <w:pPr>
              <w:jc w:val="center"/>
              <w:ind w:left="53"/>
              <w:spacing w:after="0"/>
              <w:rPr>
                <w:sz w:val="20"/>
                <w:szCs w:val="20"/>
                <w:color w:val="auto"/>
              </w:rPr>
            </w:pPr>
            <w:r>
              <w:rPr>
                <w:rFonts w:ascii="Courier New" w:cs="Courier New" w:eastAsia="Courier New" w:hAnsi="Courier New"/>
                <w:sz w:val="13"/>
                <w:szCs w:val="13"/>
                <w:color w:val="auto"/>
              </w:rPr>
              <w:t>Balance</w:t>
            </w:r>
          </w:p>
        </w:tc>
      </w:tr>
      <w:tr>
        <w:trPr>
          <w:trHeight w:val="154"/>
        </w:trPr>
        <w:tc>
          <w:tcPr>
            <w:tcW w:w="3140" w:type="dxa"/>
            <w:vAlign w:val="bottom"/>
          </w:tcPr>
          <w:p>
            <w:pPr>
              <w:spacing w:after="0"/>
              <w:rPr>
                <w:sz w:val="13"/>
                <w:szCs w:val="13"/>
                <w:color w:val="auto"/>
              </w:rPr>
            </w:pPr>
          </w:p>
        </w:tc>
        <w:tc>
          <w:tcPr>
            <w:tcW w:w="1760" w:type="dxa"/>
            <w:vAlign w:val="bottom"/>
            <w:gridSpan w:val="2"/>
          </w:tcPr>
          <w:p>
            <w:pPr>
              <w:jc w:val="right"/>
              <w:ind w:right="493"/>
              <w:spacing w:after="0"/>
              <w:rPr>
                <w:sz w:val="20"/>
                <w:szCs w:val="20"/>
                <w:color w:val="auto"/>
              </w:rPr>
            </w:pPr>
            <w:r>
              <w:rPr>
                <w:rFonts w:ascii="Courier New" w:cs="Courier New" w:eastAsia="Courier New" w:hAnsi="Courier New"/>
                <w:sz w:val="13"/>
                <w:szCs w:val="13"/>
                <w:color w:val="auto"/>
              </w:rPr>
              <w:t>Charges</w:t>
            </w:r>
          </w:p>
        </w:tc>
        <w:tc>
          <w:tcPr>
            <w:tcW w:w="1520" w:type="dxa"/>
            <w:vAlign w:val="bottom"/>
          </w:tcPr>
          <w:p>
            <w:pPr>
              <w:jc w:val="center"/>
              <w:ind w:right="13"/>
              <w:spacing w:after="0"/>
              <w:rPr>
                <w:sz w:val="20"/>
                <w:szCs w:val="20"/>
                <w:color w:val="auto"/>
              </w:rPr>
            </w:pPr>
            <w:r>
              <w:rPr>
                <w:rFonts w:ascii="Courier New" w:cs="Courier New" w:eastAsia="Courier New" w:hAnsi="Courier New"/>
                <w:sz w:val="13"/>
                <w:szCs w:val="13"/>
                <w:color w:val="auto"/>
              </w:rPr>
              <w:t>Writedowns</w:t>
            </w:r>
          </w:p>
        </w:tc>
        <w:tc>
          <w:tcPr>
            <w:tcW w:w="760" w:type="dxa"/>
            <w:vAlign w:val="bottom"/>
          </w:tcPr>
          <w:p>
            <w:pPr>
              <w:jc w:val="right"/>
              <w:spacing w:after="0"/>
              <w:rPr>
                <w:sz w:val="20"/>
                <w:szCs w:val="20"/>
                <w:color w:val="auto"/>
              </w:rPr>
            </w:pPr>
            <w:r>
              <w:rPr>
                <w:rFonts w:ascii="Courier New" w:cs="Courier New" w:eastAsia="Courier New" w:hAnsi="Courier New"/>
                <w:sz w:val="13"/>
                <w:szCs w:val="13"/>
                <w:color w:val="auto"/>
              </w:rPr>
              <w:t>2001</w:t>
            </w:r>
          </w:p>
        </w:tc>
        <w:tc>
          <w:tcPr>
            <w:tcW w:w="560" w:type="dxa"/>
            <w:vAlign w:val="bottom"/>
          </w:tcPr>
          <w:p>
            <w:pPr>
              <w:spacing w:after="0"/>
              <w:rPr>
                <w:sz w:val="13"/>
                <w:szCs w:val="13"/>
                <w:color w:val="auto"/>
              </w:rPr>
            </w:pPr>
          </w:p>
        </w:tc>
        <w:tc>
          <w:tcPr>
            <w:tcW w:w="1320" w:type="dxa"/>
            <w:vAlign w:val="bottom"/>
          </w:tcPr>
          <w:p>
            <w:pPr>
              <w:jc w:val="center"/>
              <w:ind w:left="53"/>
              <w:spacing w:after="0"/>
              <w:rPr>
                <w:sz w:val="20"/>
                <w:szCs w:val="20"/>
                <w:color w:val="auto"/>
              </w:rPr>
            </w:pPr>
            <w:r>
              <w:rPr>
                <w:rFonts w:ascii="Courier New" w:cs="Courier New" w:eastAsia="Courier New" w:hAnsi="Courier New"/>
                <w:sz w:val="13"/>
                <w:szCs w:val="13"/>
                <w:color w:val="auto"/>
              </w:rPr>
              <w:t>at 12/31/01</w:t>
            </w:r>
          </w:p>
        </w:tc>
      </w:tr>
      <w:tr>
        <w:trPr>
          <w:trHeight w:val="154"/>
        </w:trPr>
        <w:tc>
          <w:tcPr>
            <w:tcW w:w="3140" w:type="dxa"/>
            <w:vAlign w:val="bottom"/>
          </w:tcPr>
          <w:p>
            <w:pPr>
              <w:spacing w:after="0"/>
              <w:rPr>
                <w:sz w:val="13"/>
                <w:szCs w:val="13"/>
                <w:color w:val="auto"/>
              </w:rPr>
            </w:pPr>
          </w:p>
        </w:tc>
        <w:tc>
          <w:tcPr>
            <w:tcW w:w="176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320" w:type="dxa"/>
            <w:vAlign w:val="bottom"/>
            <w:gridSpan w:val="2"/>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308"/>
        </w:trPr>
        <w:tc>
          <w:tcPr>
            <w:tcW w:w="3140" w:type="dxa"/>
            <w:vAlign w:val="bottom"/>
          </w:tcPr>
          <w:p>
            <w:pPr>
              <w:spacing w:after="0"/>
              <w:rPr>
                <w:sz w:val="20"/>
                <w:szCs w:val="20"/>
                <w:color w:val="auto"/>
              </w:rPr>
            </w:pPr>
            <w:r>
              <w:rPr>
                <w:rFonts w:ascii="Courier New" w:cs="Courier New" w:eastAsia="Courier New" w:hAnsi="Courier New"/>
                <w:sz w:val="13"/>
                <w:szCs w:val="13"/>
                <w:color w:val="auto"/>
              </w:rPr>
              <w:t>Asset impairments</w:t>
            </w:r>
          </w:p>
        </w:tc>
        <w:tc>
          <w:tcPr>
            <w:tcW w:w="112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7"/>
              </w:rPr>
              <w:t>1,083</w:t>
            </w:r>
          </w:p>
        </w:tc>
        <w:tc>
          <w:tcPr>
            <w:tcW w:w="15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$1,083</w:t>
            </w:r>
          </w:p>
        </w:tc>
        <w:tc>
          <w:tcPr>
            <w:tcW w:w="7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56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3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  --</w:t>
            </w:r>
          </w:p>
        </w:tc>
      </w:tr>
      <w:tr>
        <w:trPr>
          <w:trHeight w:val="154"/>
        </w:trPr>
        <w:tc>
          <w:tcPr>
            <w:tcW w:w="3140" w:type="dxa"/>
            <w:vAlign w:val="bottom"/>
          </w:tcPr>
          <w:p>
            <w:pPr>
              <w:spacing w:after="0"/>
              <w:rPr>
                <w:sz w:val="20"/>
                <w:szCs w:val="20"/>
                <w:color w:val="auto"/>
              </w:rPr>
            </w:pPr>
            <w:r>
              <w:rPr>
                <w:rFonts w:ascii="Courier New" w:cs="Courier New" w:eastAsia="Courier New" w:hAnsi="Courier New"/>
                <w:sz w:val="13"/>
                <w:szCs w:val="13"/>
                <w:color w:val="auto"/>
              </w:rPr>
              <w:t>Severance and other employee costs</w:t>
            </w:r>
          </w:p>
        </w:tc>
        <w:tc>
          <w:tcPr>
            <w:tcW w:w="1120" w:type="dxa"/>
            <w:vAlign w:val="bottom"/>
          </w:tcPr>
          <w:p>
            <w:pPr>
              <w:spacing w:after="0"/>
              <w:rPr>
                <w:sz w:val="13"/>
                <w:szCs w:val="13"/>
                <w:color w:val="auto"/>
              </w:rPr>
            </w:pPr>
          </w:p>
        </w:tc>
        <w:tc>
          <w:tcPr>
            <w:tcW w:w="64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7"/>
              </w:rPr>
              <w:t>1,229</w:t>
            </w:r>
          </w:p>
        </w:tc>
        <w:tc>
          <w:tcPr>
            <w:tcW w:w="15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760" w:type="dxa"/>
            <w:vAlign w:val="bottom"/>
          </w:tcPr>
          <w:p>
            <w:pPr>
              <w:spacing w:after="0"/>
              <w:rPr>
                <w:sz w:val="13"/>
                <w:szCs w:val="13"/>
                <w:color w:val="auto"/>
              </w:rPr>
            </w:pPr>
          </w:p>
        </w:tc>
        <w:tc>
          <w:tcPr>
            <w:tcW w:w="56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716</w:t>
            </w:r>
          </w:p>
        </w:tc>
        <w:tc>
          <w:tcPr>
            <w:tcW w:w="13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513</w:t>
            </w:r>
          </w:p>
        </w:tc>
      </w:tr>
      <w:tr>
        <w:trPr>
          <w:trHeight w:val="154"/>
        </w:trPr>
        <w:tc>
          <w:tcPr>
            <w:tcW w:w="3140" w:type="dxa"/>
            <w:vAlign w:val="bottom"/>
          </w:tcPr>
          <w:p>
            <w:pPr>
              <w:spacing w:after="0"/>
              <w:rPr>
                <w:sz w:val="13"/>
                <w:szCs w:val="13"/>
                <w:color w:val="auto"/>
              </w:rPr>
            </w:pPr>
          </w:p>
        </w:tc>
        <w:tc>
          <w:tcPr>
            <w:tcW w:w="176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320" w:type="dxa"/>
            <w:vAlign w:val="bottom"/>
            <w:gridSpan w:val="2"/>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3140" w:type="dxa"/>
            <w:vAlign w:val="bottom"/>
          </w:tcPr>
          <w:p>
            <w:pPr>
              <w:spacing w:after="0"/>
              <w:rPr>
                <w:sz w:val="20"/>
                <w:szCs w:val="20"/>
                <w:color w:val="auto"/>
              </w:rPr>
            </w:pPr>
            <w:r>
              <w:rPr>
                <w:rFonts w:ascii="Courier New" w:cs="Courier New" w:eastAsia="Courier New" w:hAnsi="Courier New"/>
                <w:sz w:val="13"/>
                <w:szCs w:val="13"/>
                <w:color w:val="auto"/>
              </w:rPr>
              <w:t>Total</w:t>
            </w:r>
          </w:p>
        </w:tc>
        <w:tc>
          <w:tcPr>
            <w:tcW w:w="112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7"/>
              </w:rPr>
              <w:t>2,312</w:t>
            </w:r>
          </w:p>
        </w:tc>
        <w:tc>
          <w:tcPr>
            <w:tcW w:w="15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$1,083</w:t>
            </w:r>
          </w:p>
        </w:tc>
        <w:tc>
          <w:tcPr>
            <w:tcW w:w="1320" w:type="dxa"/>
            <w:vAlign w:val="bottom"/>
            <w:gridSpan w:val="2"/>
          </w:tcPr>
          <w:p>
            <w:pPr>
              <w:jc w:val="right"/>
              <w:ind w:right="213"/>
              <w:spacing w:after="0"/>
              <w:rPr>
                <w:sz w:val="20"/>
                <w:szCs w:val="20"/>
                <w:color w:val="auto"/>
              </w:rPr>
            </w:pPr>
            <w:r>
              <w:rPr>
                <w:rFonts w:ascii="Courier New" w:cs="Courier New" w:eastAsia="Courier New" w:hAnsi="Courier New"/>
                <w:sz w:val="13"/>
                <w:szCs w:val="13"/>
                <w:color w:val="auto"/>
              </w:rPr>
              <w:t>$ 716</w:t>
            </w:r>
          </w:p>
        </w:tc>
        <w:tc>
          <w:tcPr>
            <w:tcW w:w="13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$ 513</w:t>
            </w:r>
          </w:p>
        </w:tc>
      </w:tr>
      <w:tr>
        <w:trPr>
          <w:trHeight w:val="154"/>
        </w:trPr>
        <w:tc>
          <w:tcPr>
            <w:tcW w:w="3140" w:type="dxa"/>
            <w:vAlign w:val="bottom"/>
          </w:tcPr>
          <w:p>
            <w:pPr>
              <w:spacing w:after="0"/>
              <w:rPr>
                <w:sz w:val="13"/>
                <w:szCs w:val="13"/>
                <w:color w:val="auto"/>
              </w:rPr>
            </w:pPr>
          </w:p>
        </w:tc>
        <w:tc>
          <w:tcPr>
            <w:tcW w:w="176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320" w:type="dxa"/>
            <w:vAlign w:val="bottom"/>
            <w:gridSpan w:val="2"/>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bl>
    <w:p>
      <w:pPr>
        <w:spacing w:after="0" w:line="159" w:lineRule="exact"/>
        <w:rPr>
          <w:sz w:val="20"/>
          <w:szCs w:val="20"/>
          <w:color w:val="auto"/>
        </w:rPr>
      </w:pPr>
    </w:p>
    <w:p>
      <w:pPr>
        <w:ind w:left="720" w:hanging="718"/>
        <w:spacing w:after="0"/>
        <w:tabs>
          <w:tab w:leader="none" w:pos="720" w:val="left"/>
        </w:tabs>
        <w:numPr>
          <w:ilvl w:val="0"/>
          <w:numId w:val="13"/>
        </w:numPr>
        <w:rPr>
          <w:rFonts w:ascii="Courier New" w:cs="Courier New" w:eastAsia="Courier New" w:hAnsi="Courier New"/>
          <w:sz w:val="13"/>
          <w:szCs w:val="13"/>
          <w:b w:val="1"/>
          <w:bCs w:val="1"/>
          <w:color w:val="auto"/>
        </w:rPr>
      </w:pPr>
      <w:r>
        <w:rPr>
          <w:rFonts w:ascii="Courier New" w:cs="Courier New" w:eastAsia="Courier New" w:hAnsi="Courier New"/>
          <w:sz w:val="13"/>
          <w:szCs w:val="13"/>
          <w:b w:val="1"/>
          <w:bCs w:val="1"/>
          <w:color w:val="auto"/>
        </w:rPr>
        <w:t>Investments in Affiliated Companies</w:t>
      </w:r>
    </w:p>
    <w:p>
      <w:pPr>
        <w:spacing w:after="0" w:line="161" w:lineRule="exact"/>
        <w:rPr>
          <w:sz w:val="20"/>
          <w:szCs w:val="20"/>
          <w:color w:val="auto"/>
        </w:rPr>
      </w:pPr>
    </w:p>
    <w:p>
      <w:pPr>
        <w:ind w:left="560" w:right="3819"/>
        <w:spacing w:after="0" w:line="251" w:lineRule="auto"/>
        <w:rPr>
          <w:sz w:val="20"/>
          <w:szCs w:val="20"/>
          <w:color w:val="auto"/>
        </w:rPr>
      </w:pPr>
      <w:r>
        <w:rPr>
          <w:rFonts w:ascii="Courier New" w:cs="Courier New" w:eastAsia="Courier New" w:hAnsi="Courier New"/>
          <w:sz w:val="13"/>
          <w:szCs w:val="13"/>
          <w:color w:val="auto"/>
        </w:rPr>
        <w:t>Effective December 21, 2001, the Company sold its 50% ownership in NN General, LLC to its partner, General Bearing Corporation for cash of $622 and notes of $3,300. The notes are due in annual installments of $200 with the balance due on December 21, 2006. The notes bear interest at an average LIBOR (1.38% at December 31, 2002) plus 1.5%. In 2001, the Company recorded a non-cash loss on the sale of its investment in this joint venture of $144. Interest income on this note of $109 was recorded during 2002 and has been included as a component of other income in the accompanying consolidated statement of income. Payments totaling $309 were received during 2002 which include $200 of principal and $109 of interest payments. At December 31, 2002, the note receivable balance is $3,100 and is included as a component of other non-current assets.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0" w:type="dxa"/>
            <w:vAlign w:val="bottom"/>
          </w:tcPr>
          <w:p>
            <w:pPr>
              <w:jc w:val="right"/>
              <w:ind w:right="53"/>
              <w:spacing w:after="0"/>
              <w:rPr>
                <w:sz w:val="20"/>
                <w:szCs w:val="20"/>
                <w:color w:val="auto"/>
              </w:rPr>
            </w:pPr>
            <w:r>
              <w:rPr>
                <w:rFonts w:ascii="Courier New" w:cs="Courier New" w:eastAsia="Courier New" w:hAnsi="Courier New"/>
                <w:sz w:val="13"/>
                <w:szCs w:val="13"/>
                <w:b w:val="1"/>
                <w:bCs w:val="1"/>
                <w:color w:val="auto"/>
                <w:w w:val="93"/>
              </w:rPr>
              <w:t>(5)</w:t>
            </w:r>
          </w:p>
        </w:tc>
        <w:tc>
          <w:tcPr>
            <w:tcW w:w="3740" w:type="dxa"/>
            <w:vAlign w:val="bottom"/>
          </w:tcPr>
          <w:p>
            <w:pPr>
              <w:ind w:left="360"/>
              <w:spacing w:after="0"/>
              <w:rPr>
                <w:sz w:val="20"/>
                <w:szCs w:val="20"/>
                <w:color w:val="auto"/>
              </w:rPr>
            </w:pPr>
            <w:r>
              <w:rPr>
                <w:rFonts w:ascii="Courier New" w:cs="Courier New" w:eastAsia="Courier New" w:hAnsi="Courier New"/>
                <w:sz w:val="13"/>
                <w:szCs w:val="13"/>
                <w:b w:val="1"/>
                <w:bCs w:val="1"/>
                <w:color w:val="auto"/>
              </w:rPr>
              <w:t>Accounts Receivable</w:t>
            </w:r>
          </w:p>
        </w:tc>
        <w:tc>
          <w:tcPr>
            <w:tcW w:w="316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308"/>
        </w:trPr>
        <w:tc>
          <w:tcPr>
            <w:tcW w:w="3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480" w:type="dxa"/>
            <w:vAlign w:val="bottom"/>
            <w:gridSpan w:val="2"/>
          </w:tcPr>
          <w:p>
            <w:pPr>
              <w:jc w:val="right"/>
              <w:ind w:right="813"/>
              <w:spacing w:after="0"/>
              <w:rPr>
                <w:sz w:val="20"/>
                <w:szCs w:val="20"/>
                <w:color w:val="auto"/>
              </w:rPr>
            </w:pPr>
            <w:r>
              <w:rPr>
                <w:rFonts w:ascii="Courier New" w:cs="Courier New" w:eastAsia="Courier New" w:hAnsi="Courier New"/>
                <w:sz w:val="13"/>
                <w:szCs w:val="13"/>
                <w:b w:val="1"/>
                <w:bCs w:val="1"/>
                <w:color w:val="auto"/>
              </w:rPr>
              <w:t>December 31,</w:t>
            </w:r>
          </w:p>
        </w:tc>
      </w:tr>
      <w:tr>
        <w:trPr>
          <w:trHeight w:val="154"/>
        </w:trPr>
        <w:tc>
          <w:tcPr>
            <w:tcW w:w="36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3160" w:type="dxa"/>
            <w:vAlign w:val="bottom"/>
          </w:tcPr>
          <w:p>
            <w:pPr>
              <w:jc w:val="right"/>
              <w:ind w:right="533"/>
              <w:spacing w:after="0"/>
              <w:rPr>
                <w:sz w:val="20"/>
                <w:szCs w:val="20"/>
                <w:color w:val="auto"/>
              </w:rPr>
            </w:pPr>
            <w:r>
              <w:rPr>
                <w:rFonts w:ascii="Courier New" w:cs="Courier New" w:eastAsia="Courier New" w:hAnsi="Courier New"/>
                <w:sz w:val="13"/>
                <w:szCs w:val="13"/>
                <w:b w:val="1"/>
                <w:bCs w:val="1"/>
                <w:color w:val="auto"/>
              </w:rPr>
              <w:t>2002</w:t>
            </w:r>
          </w:p>
        </w:tc>
        <w:tc>
          <w:tcPr>
            <w:tcW w:w="1320" w:type="dxa"/>
            <w:vAlign w:val="bottom"/>
          </w:tcPr>
          <w:p>
            <w:pPr>
              <w:jc w:val="right"/>
              <w:ind w:right="493"/>
              <w:spacing w:after="0"/>
              <w:rPr>
                <w:sz w:val="20"/>
                <w:szCs w:val="20"/>
                <w:color w:val="auto"/>
              </w:rPr>
            </w:pPr>
            <w:r>
              <w:rPr>
                <w:rFonts w:ascii="Courier New" w:cs="Courier New" w:eastAsia="Courier New" w:hAnsi="Courier New"/>
                <w:sz w:val="13"/>
                <w:szCs w:val="13"/>
                <w:b w:val="1"/>
                <w:bCs w:val="1"/>
                <w:color w:val="auto"/>
              </w:rPr>
              <w:t>2001</w:t>
            </w:r>
          </w:p>
        </w:tc>
      </w:tr>
      <w:tr>
        <w:trPr>
          <w:trHeight w:val="154"/>
        </w:trPr>
        <w:tc>
          <w:tcPr>
            <w:tcW w:w="36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3160" w:type="dxa"/>
            <w:vAlign w:val="bottom"/>
          </w:tcPr>
          <w:p>
            <w:pPr>
              <w:jc w:val="right"/>
              <w:ind w:right="53"/>
              <w:spacing w:after="0"/>
              <w:rPr>
                <w:sz w:val="20"/>
                <w:szCs w:val="20"/>
                <w:color w:val="auto"/>
              </w:rPr>
            </w:pPr>
            <w:r>
              <w:rPr>
                <w:rFonts w:ascii="Courier New" w:cs="Courier New" w:eastAsia="Courier New" w:hAnsi="Courier New"/>
                <w:sz w:val="13"/>
                <w:szCs w:val="13"/>
                <w:b w:val="1"/>
                <w:bCs w:val="1"/>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w:t>
            </w:r>
          </w:p>
        </w:tc>
      </w:tr>
      <w:tr>
        <w:trPr>
          <w:trHeight w:val="308"/>
        </w:trPr>
        <w:tc>
          <w:tcPr>
            <w:tcW w:w="360" w:type="dxa"/>
            <w:vAlign w:val="bottom"/>
          </w:tcPr>
          <w:p>
            <w:pPr>
              <w:spacing w:after="0"/>
              <w:rPr>
                <w:sz w:val="24"/>
                <w:szCs w:val="24"/>
                <w:color w:val="auto"/>
              </w:rPr>
            </w:pPr>
          </w:p>
        </w:tc>
        <w:tc>
          <w:tcPr>
            <w:tcW w:w="3740" w:type="dxa"/>
            <w:vAlign w:val="bottom"/>
          </w:tcPr>
          <w:p>
            <w:pPr>
              <w:ind w:left="120"/>
              <w:spacing w:after="0"/>
              <w:rPr>
                <w:sz w:val="20"/>
                <w:szCs w:val="20"/>
                <w:color w:val="auto"/>
              </w:rPr>
            </w:pPr>
            <w:r>
              <w:rPr>
                <w:rFonts w:ascii="Courier New" w:cs="Courier New" w:eastAsia="Courier New" w:hAnsi="Courier New"/>
                <w:sz w:val="13"/>
                <w:szCs w:val="13"/>
                <w:color w:val="auto"/>
              </w:rPr>
              <w:t>Trade</w:t>
            </w:r>
          </w:p>
        </w:tc>
        <w:tc>
          <w:tcPr>
            <w:tcW w:w="3160" w:type="dxa"/>
            <w:vAlign w:val="bottom"/>
          </w:tcPr>
          <w:p>
            <w:pPr>
              <w:jc w:val="right"/>
              <w:spacing w:after="0"/>
              <w:rPr>
                <w:sz w:val="20"/>
                <w:szCs w:val="20"/>
                <w:color w:val="auto"/>
              </w:rPr>
            </w:pPr>
            <w:r>
              <w:rPr>
                <w:rFonts w:ascii="Courier New" w:cs="Courier New" w:eastAsia="Courier New" w:hAnsi="Courier New"/>
                <w:sz w:val="13"/>
                <w:szCs w:val="13"/>
                <w:color w:val="auto"/>
              </w:rPr>
              <w:t>$   30,631</w:t>
            </w:r>
          </w:p>
        </w:tc>
        <w:tc>
          <w:tcPr>
            <w:tcW w:w="1320" w:type="dxa"/>
            <w:vAlign w:val="bottom"/>
          </w:tcPr>
          <w:p>
            <w:pPr>
              <w:jc w:val="right"/>
              <w:spacing w:after="0"/>
              <w:rPr>
                <w:sz w:val="20"/>
                <w:szCs w:val="20"/>
                <w:color w:val="auto"/>
              </w:rPr>
            </w:pPr>
            <w:r>
              <w:rPr>
                <w:rFonts w:ascii="Courier New" w:cs="Courier New" w:eastAsia="Courier New" w:hAnsi="Courier New"/>
                <w:sz w:val="13"/>
                <w:szCs w:val="13"/>
                <w:color w:val="auto"/>
              </w:rPr>
              <w:t>$   26,613</w:t>
            </w:r>
          </w:p>
        </w:tc>
      </w:tr>
      <w:tr>
        <w:trPr>
          <w:trHeight w:val="154"/>
        </w:trPr>
        <w:tc>
          <w:tcPr>
            <w:tcW w:w="360" w:type="dxa"/>
            <w:vAlign w:val="bottom"/>
          </w:tcPr>
          <w:p>
            <w:pPr>
              <w:spacing w:after="0"/>
              <w:rPr>
                <w:sz w:val="13"/>
                <w:szCs w:val="13"/>
                <w:color w:val="auto"/>
              </w:rPr>
            </w:pPr>
          </w:p>
        </w:tc>
        <w:tc>
          <w:tcPr>
            <w:tcW w:w="3740" w:type="dxa"/>
            <w:vAlign w:val="bottom"/>
          </w:tcPr>
          <w:p>
            <w:pPr>
              <w:ind w:left="120"/>
              <w:spacing w:after="0"/>
              <w:rPr>
                <w:sz w:val="20"/>
                <w:szCs w:val="20"/>
                <w:color w:val="auto"/>
              </w:rPr>
            </w:pPr>
            <w:r>
              <w:rPr>
                <w:rFonts w:ascii="Courier New" w:cs="Courier New" w:eastAsia="Courier New" w:hAnsi="Courier New"/>
                <w:sz w:val="13"/>
                <w:szCs w:val="13"/>
                <w:color w:val="auto"/>
              </w:rPr>
              <w:t>Other</w:t>
            </w:r>
          </w:p>
        </w:tc>
        <w:tc>
          <w:tcPr>
            <w:tcW w:w="31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3"/>
                <w:szCs w:val="13"/>
                <w:color w:val="auto"/>
              </w:rPr>
              <w:t>10</w:t>
            </w:r>
          </w:p>
        </w:tc>
      </w:tr>
      <w:tr>
        <w:trPr>
          <w:trHeight w:val="154"/>
        </w:trPr>
        <w:tc>
          <w:tcPr>
            <w:tcW w:w="36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448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 ----------------</w:t>
            </w:r>
          </w:p>
        </w:tc>
      </w:tr>
      <w:tr>
        <w:trPr>
          <w:trHeight w:val="308"/>
        </w:trPr>
        <w:tc>
          <w:tcPr>
            <w:tcW w:w="3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160" w:type="dxa"/>
            <w:vAlign w:val="bottom"/>
          </w:tcPr>
          <w:p>
            <w:pPr>
              <w:jc w:val="right"/>
              <w:spacing w:after="0"/>
              <w:rPr>
                <w:sz w:val="20"/>
                <w:szCs w:val="20"/>
                <w:color w:val="auto"/>
              </w:rPr>
            </w:pPr>
            <w:r>
              <w:rPr>
                <w:rFonts w:ascii="Courier New" w:cs="Courier New" w:eastAsia="Courier New" w:hAnsi="Courier New"/>
                <w:sz w:val="13"/>
                <w:szCs w:val="13"/>
                <w:color w:val="auto"/>
              </w:rPr>
              <w:t>30,631</w:t>
            </w:r>
          </w:p>
        </w:tc>
        <w:tc>
          <w:tcPr>
            <w:tcW w:w="1320" w:type="dxa"/>
            <w:vAlign w:val="bottom"/>
          </w:tcPr>
          <w:p>
            <w:pPr>
              <w:jc w:val="right"/>
              <w:spacing w:after="0"/>
              <w:rPr>
                <w:sz w:val="20"/>
                <w:szCs w:val="20"/>
                <w:color w:val="auto"/>
              </w:rPr>
            </w:pPr>
            <w:r>
              <w:rPr>
                <w:rFonts w:ascii="Courier New" w:cs="Courier New" w:eastAsia="Courier New" w:hAnsi="Courier New"/>
                <w:sz w:val="13"/>
                <w:szCs w:val="13"/>
                <w:color w:val="auto"/>
              </w:rPr>
              <w:t>26,623</w:t>
            </w:r>
          </w:p>
        </w:tc>
      </w:tr>
    </w:tbl>
    <w:p>
      <w:pPr>
        <w:sectPr>
          <w:pgSz w:w="11900" w:h="16838" w:orient="portrait"/>
          <w:cols w:equalWidth="0" w:num="1">
            <w:col w:w="10239"/>
          </w:cols>
          <w:pgMar w:left="220" w:top="141" w:right="1440" w:bottom="0" w:gutter="0" w:footer="0" w:header="0"/>
        </w:sectPr>
      </w:pPr>
    </w:p>
    <w:bookmarkStart w:id="29" w:name="page30"/>
    <w:bookmarkEnd w:id="29"/>
    <w:p>
      <w:pPr>
        <w:ind w:left="480"/>
        <w:spacing w:after="0"/>
        <w:rPr>
          <w:sz w:val="20"/>
          <w:szCs w:val="20"/>
          <w:color w:val="auto"/>
        </w:rPr>
      </w:pPr>
      <w:r>
        <w:rPr>
          <w:rFonts w:ascii="Courier New" w:cs="Courier New" w:eastAsia="Courier New" w:hAnsi="Courier New"/>
          <w:sz w:val="13"/>
          <w:szCs w:val="13"/>
          <w:color w:val="auto"/>
        </w:rPr>
        <w:t>Less - Allowance for doubtful accounts</w:t>
      </w:r>
    </w:p>
    <w:p>
      <w:pPr>
        <w:spacing w:after="0" w:line="20" w:lineRule="exact"/>
        <w:rPr>
          <w:sz w:val="20"/>
          <w:szCs w:val="20"/>
          <w:color w:val="auto"/>
        </w:rPr>
      </w:pPr>
      <w:r>
        <w:rPr>
          <w:sz w:val="20"/>
          <w:szCs w:val="20"/>
          <w:color w:val="auto"/>
        </w:rPr>
        <w:br w:type="column"/>
      </w:r>
    </w:p>
    <w:p>
      <w:pPr>
        <w:jc w:val="both"/>
        <w:ind w:left="880"/>
        <w:spacing w:after="0"/>
        <w:tabs>
          <w:tab w:leader="none" w:pos="2220" w:val="left"/>
        </w:tabs>
        <w:rPr>
          <w:sz w:val="20"/>
          <w:szCs w:val="20"/>
          <w:color w:val="auto"/>
        </w:rPr>
      </w:pPr>
      <w:r>
        <w:rPr>
          <w:rFonts w:ascii="Courier New" w:cs="Courier New" w:eastAsia="Courier New" w:hAnsi="Courier New"/>
          <w:sz w:val="13"/>
          <w:szCs w:val="13"/>
          <w:color w:val="auto"/>
        </w:rPr>
        <w:t>1,666</w:t>
      </w:r>
      <w:r>
        <w:rPr>
          <w:sz w:val="20"/>
          <w:szCs w:val="20"/>
          <w:color w:val="auto"/>
        </w:rPr>
        <w:tab/>
      </w:r>
      <w:r>
        <w:rPr>
          <w:rFonts w:ascii="Courier New" w:cs="Courier New" w:eastAsia="Courier New" w:hAnsi="Courier New"/>
          <w:sz w:val="13"/>
          <w:szCs w:val="13"/>
          <w:color w:val="auto"/>
        </w:rPr>
        <w:t>1,791</w:t>
      </w:r>
    </w:p>
    <w:p>
      <w:pPr>
        <w:spacing w:after="0" w:line="7" w:lineRule="exact"/>
        <w:rPr>
          <w:sz w:val="20"/>
          <w:szCs w:val="20"/>
          <w:color w:val="auto"/>
        </w:rPr>
      </w:pPr>
    </w:p>
    <w:p>
      <w:pPr>
        <w:jc w:val="right"/>
        <w:ind w:right="2880"/>
        <w:spacing w:after="0"/>
        <w:rPr>
          <w:sz w:val="20"/>
          <w:szCs w:val="20"/>
          <w:color w:val="auto"/>
        </w:rPr>
      </w:pPr>
      <w:r>
        <w:rPr>
          <w:rFonts w:ascii="Courier New" w:cs="Courier New" w:eastAsia="Courier New" w:hAnsi="Courier New"/>
          <w:sz w:val="13"/>
          <w:szCs w:val="13"/>
          <w:color w:val="auto"/>
        </w:rPr>
        <w:t>---------------- ----------------</w:t>
      </w:r>
    </w:p>
    <w:p>
      <w:pPr>
        <w:spacing w:after="0" w:line="7" w:lineRule="exact"/>
        <w:rPr>
          <w:sz w:val="20"/>
          <w:szCs w:val="20"/>
          <w:color w:val="auto"/>
        </w:rPr>
      </w:pPr>
    </w:p>
    <w:p>
      <w:pPr>
        <w:jc w:val="both"/>
        <w:ind w:left="480"/>
        <w:spacing w:after="0"/>
        <w:tabs>
          <w:tab w:leader="none" w:pos="780" w:val="left"/>
          <w:tab w:leader="none" w:pos="1820" w:val="left"/>
          <w:tab w:leader="none" w:pos="2140" w:val="left"/>
        </w:tabs>
        <w:rPr>
          <w:sz w:val="20"/>
          <w:szCs w:val="20"/>
          <w:color w:val="auto"/>
        </w:rPr>
      </w:pPr>
      <w:r>
        <w:rPr>
          <w:rFonts w:ascii="Courier New" w:cs="Courier New" w:eastAsia="Courier New" w:hAnsi="Courier New"/>
          <w:sz w:val="13"/>
          <w:szCs w:val="13"/>
          <w:color w:val="auto"/>
        </w:rPr>
        <w:t>$</w:t>
        <w:tab/>
        <w:t>28,965</w:t>
      </w:r>
      <w:r>
        <w:rPr>
          <w:sz w:val="20"/>
          <w:szCs w:val="20"/>
          <w:color w:val="auto"/>
        </w:rPr>
        <w:tab/>
      </w:r>
      <w:r>
        <w:rPr>
          <w:rFonts w:ascii="Courier New" w:cs="Courier New" w:eastAsia="Courier New" w:hAnsi="Courier New"/>
          <w:sz w:val="13"/>
          <w:szCs w:val="13"/>
          <w:color w:val="auto"/>
        </w:rPr>
        <w:t>$</w:t>
        <w:tab/>
        <w:t>24,832</w:t>
      </w:r>
    </w:p>
    <w:p>
      <w:pPr>
        <w:spacing w:after="0" w:line="7" w:lineRule="exact"/>
        <w:rPr>
          <w:sz w:val="20"/>
          <w:szCs w:val="20"/>
          <w:color w:val="auto"/>
        </w:rPr>
      </w:pPr>
    </w:p>
    <w:p>
      <w:pPr>
        <w:jc w:val="right"/>
        <w:ind w:right="2880"/>
        <w:spacing w:after="0"/>
        <w:rPr>
          <w:sz w:val="20"/>
          <w:szCs w:val="20"/>
          <w:color w:val="auto"/>
        </w:rPr>
      </w:pPr>
      <w:r>
        <w:rPr>
          <w:rFonts w:ascii="Courier New" w:cs="Courier New" w:eastAsia="Courier New" w:hAnsi="Courier New"/>
          <w:sz w:val="13"/>
          <w:szCs w:val="13"/>
          <w:color w:val="auto"/>
        </w:rPr>
        <w:t>================ ================</w:t>
      </w:r>
    </w:p>
    <w:p>
      <w:pPr>
        <w:spacing w:after="0" w:line="200" w:lineRule="exact"/>
        <w:rPr>
          <w:sz w:val="20"/>
          <w:szCs w:val="20"/>
          <w:color w:val="auto"/>
        </w:rPr>
      </w:pPr>
    </w:p>
    <w:p>
      <w:pPr>
        <w:sectPr>
          <w:pgSz w:w="11900" w:h="16838" w:orient="portrait"/>
          <w:cols w:equalWidth="0" w:num="2">
            <w:col w:w="5220" w:space="720"/>
            <w:col w:w="5520"/>
          </w:cols>
          <w:pgMar w:left="220" w:top="141" w:right="219" w:bottom="0" w:gutter="0" w:footer="0" w:header="0"/>
        </w:sectPr>
      </w:pP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20" w:type="dxa"/>
            <w:vAlign w:val="bottom"/>
            <w:gridSpan w:val="2"/>
          </w:tcPr>
          <w:p>
            <w:pPr>
              <w:jc w:val="right"/>
              <w:ind w:right="493"/>
              <w:spacing w:after="0"/>
              <w:rPr>
                <w:sz w:val="20"/>
                <w:szCs w:val="20"/>
                <w:color w:val="auto"/>
              </w:rPr>
            </w:pPr>
            <w:r>
              <w:rPr>
                <w:rFonts w:ascii="Courier New" w:cs="Courier New" w:eastAsia="Courier New" w:hAnsi="Courier New"/>
                <w:sz w:val="13"/>
                <w:szCs w:val="13"/>
                <w:color w:val="auto"/>
              </w:rPr>
              <w:t>Continued</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80" w:type="dxa"/>
            <w:vAlign w:val="bottom"/>
          </w:tcPr>
          <w:p>
            <w:pPr>
              <w:spacing w:after="0"/>
              <w:rPr>
                <w:sz w:val="12"/>
                <w:szCs w:val="12"/>
                <w:color w:val="auto"/>
              </w:rPr>
            </w:pPr>
          </w:p>
        </w:tc>
      </w:tr>
      <w:tr>
        <w:trPr>
          <w:trHeight w:val="308"/>
        </w:trPr>
        <w:tc>
          <w:tcPr>
            <w:tcW w:w="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20" w:type="dxa"/>
            <w:vAlign w:val="bottom"/>
          </w:tcPr>
          <w:p>
            <w:pPr>
              <w:jc w:val="center"/>
              <w:ind w:left="293"/>
              <w:spacing w:after="0"/>
              <w:rPr>
                <w:sz w:val="20"/>
                <w:szCs w:val="20"/>
                <w:color w:val="auto"/>
              </w:rPr>
            </w:pPr>
            <w:r>
              <w:rPr>
                <w:rFonts w:ascii="Courier New" w:cs="Courier New" w:eastAsia="Courier New" w:hAnsi="Courier New"/>
                <w:sz w:val="13"/>
                <w:szCs w:val="13"/>
                <w:color w:val="auto"/>
              </w:rPr>
              <w:t>38</w:t>
            </w: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92"/>
        </w:trPr>
        <w:tc>
          <w:tcPr>
            <w:tcW w:w="3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r>
      <w:tr>
        <w:trPr>
          <w:trHeight w:val="593"/>
        </w:trPr>
        <w:tc>
          <w:tcPr>
            <w:tcW w:w="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20" w:type="dxa"/>
            <w:vAlign w:val="bottom"/>
          </w:tcPr>
          <w:p>
            <w:pPr>
              <w:jc w:val="center"/>
              <w:ind w:left="293"/>
              <w:spacing w:after="0"/>
              <w:rPr>
                <w:sz w:val="20"/>
                <w:szCs w:val="20"/>
                <w:color w:val="auto"/>
              </w:rPr>
            </w:pPr>
            <w:r>
              <w:rPr>
                <w:rFonts w:ascii="Courier New" w:cs="Courier New" w:eastAsia="Courier New" w:hAnsi="Courier New"/>
                <w:sz w:val="13"/>
                <w:szCs w:val="13"/>
                <w:b w:val="1"/>
                <w:bCs w:val="1"/>
                <w:color w:val="auto"/>
              </w:rPr>
              <w:t>NN, Inc.</w:t>
            </w: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154"/>
        </w:trPr>
        <w:tc>
          <w:tcPr>
            <w:tcW w:w="360" w:type="dxa"/>
            <w:vAlign w:val="bottom"/>
          </w:tcPr>
          <w:p>
            <w:pPr>
              <w:spacing w:after="0"/>
              <w:rPr>
                <w:sz w:val="13"/>
                <w:szCs w:val="13"/>
                <w:color w:val="auto"/>
              </w:rPr>
            </w:pPr>
          </w:p>
        </w:tc>
        <w:tc>
          <w:tcPr>
            <w:tcW w:w="5100" w:type="dxa"/>
            <w:vAlign w:val="bottom"/>
            <w:gridSpan w:val="4"/>
          </w:tcPr>
          <w:p>
            <w:pPr>
              <w:jc w:val="center"/>
              <w:ind w:left="533"/>
              <w:spacing w:after="0"/>
              <w:rPr>
                <w:sz w:val="20"/>
                <w:szCs w:val="20"/>
                <w:color w:val="auto"/>
              </w:rPr>
            </w:pPr>
            <w:r>
              <w:rPr>
                <w:rFonts w:ascii="Courier New" w:cs="Courier New" w:eastAsia="Courier New" w:hAnsi="Courier New"/>
                <w:sz w:val="13"/>
                <w:szCs w:val="13"/>
                <w:b w:val="1"/>
                <w:bCs w:val="1"/>
                <w:color w:val="auto"/>
              </w:rPr>
              <w:t>Notes to Consolidated Financial Statements</w:t>
            </w:r>
          </w:p>
        </w:tc>
        <w:tc>
          <w:tcPr>
            <w:tcW w:w="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154"/>
        </w:trPr>
        <w:tc>
          <w:tcPr>
            <w:tcW w:w="360" w:type="dxa"/>
            <w:vAlign w:val="bottom"/>
          </w:tcPr>
          <w:p>
            <w:pPr>
              <w:spacing w:after="0"/>
              <w:rPr>
                <w:sz w:val="13"/>
                <w:szCs w:val="13"/>
                <w:color w:val="auto"/>
              </w:rPr>
            </w:pPr>
          </w:p>
        </w:tc>
        <w:tc>
          <w:tcPr>
            <w:tcW w:w="5100" w:type="dxa"/>
            <w:vAlign w:val="bottom"/>
            <w:gridSpan w:val="4"/>
          </w:tcPr>
          <w:p>
            <w:pPr>
              <w:jc w:val="center"/>
              <w:ind w:left="533"/>
              <w:spacing w:after="0"/>
              <w:rPr>
                <w:sz w:val="20"/>
                <w:szCs w:val="20"/>
                <w:color w:val="auto"/>
              </w:rPr>
            </w:pPr>
            <w:r>
              <w:rPr>
                <w:rFonts w:ascii="Courier New" w:cs="Courier New" w:eastAsia="Courier New" w:hAnsi="Courier New"/>
                <w:sz w:val="13"/>
                <w:szCs w:val="13"/>
                <w:b w:val="1"/>
                <w:bCs w:val="1"/>
                <w:color w:val="auto"/>
              </w:rPr>
              <w:t>December 31, 2002, 2001 and 2000</w:t>
            </w:r>
          </w:p>
        </w:tc>
        <w:tc>
          <w:tcPr>
            <w:tcW w:w="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154"/>
        </w:trPr>
        <w:tc>
          <w:tcPr>
            <w:tcW w:w="360" w:type="dxa"/>
            <w:vAlign w:val="bottom"/>
          </w:tcPr>
          <w:p>
            <w:pPr>
              <w:spacing w:after="0"/>
              <w:rPr>
                <w:sz w:val="13"/>
                <w:szCs w:val="13"/>
                <w:color w:val="auto"/>
              </w:rPr>
            </w:pPr>
          </w:p>
        </w:tc>
        <w:tc>
          <w:tcPr>
            <w:tcW w:w="5100" w:type="dxa"/>
            <w:vAlign w:val="bottom"/>
            <w:gridSpan w:val="4"/>
          </w:tcPr>
          <w:p>
            <w:pPr>
              <w:jc w:val="right"/>
              <w:ind w:right="653"/>
              <w:spacing w:after="0"/>
              <w:rPr>
                <w:sz w:val="20"/>
                <w:szCs w:val="20"/>
                <w:color w:val="auto"/>
              </w:rPr>
            </w:pPr>
            <w:r>
              <w:rPr>
                <w:rFonts w:ascii="Courier New" w:cs="Courier New" w:eastAsia="Courier New" w:hAnsi="Courier New"/>
                <w:sz w:val="13"/>
                <w:szCs w:val="13"/>
                <w:b w:val="1"/>
                <w:bCs w:val="1"/>
                <w:color w:val="auto"/>
              </w:rPr>
              <w:t>(In thousands, except per share data)</w:t>
            </w:r>
          </w:p>
        </w:tc>
        <w:tc>
          <w:tcPr>
            <w:tcW w:w="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308"/>
        </w:trPr>
        <w:tc>
          <w:tcPr>
            <w:tcW w:w="360" w:type="dxa"/>
            <w:vAlign w:val="bottom"/>
          </w:tcPr>
          <w:p>
            <w:pPr>
              <w:spacing w:after="0"/>
              <w:rPr>
                <w:sz w:val="24"/>
                <w:szCs w:val="24"/>
                <w:color w:val="auto"/>
              </w:rPr>
            </w:pPr>
          </w:p>
        </w:tc>
        <w:tc>
          <w:tcPr>
            <w:tcW w:w="4060" w:type="dxa"/>
            <w:vAlign w:val="bottom"/>
            <w:gridSpan w:val="3"/>
          </w:tcPr>
          <w:p>
            <w:pPr>
              <w:ind w:left="200"/>
              <w:spacing w:after="0"/>
              <w:rPr>
                <w:sz w:val="20"/>
                <w:szCs w:val="20"/>
                <w:color w:val="auto"/>
              </w:rPr>
            </w:pPr>
            <w:r>
              <w:rPr>
                <w:rFonts w:ascii="Courier New" w:cs="Courier New" w:eastAsia="Courier New" w:hAnsi="Courier New"/>
                <w:sz w:val="13"/>
                <w:szCs w:val="13"/>
                <w:color w:val="auto"/>
              </w:rPr>
              <w:t>Allowance for doubtful accounts is as follows:</w:t>
            </w: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308"/>
        </w:trPr>
        <w:tc>
          <w:tcPr>
            <w:tcW w:w="360" w:type="dxa"/>
            <w:vAlign w:val="bottom"/>
          </w:tcPr>
          <w:p>
            <w:pPr>
              <w:spacing w:after="0"/>
              <w:rPr>
                <w:sz w:val="24"/>
                <w:szCs w:val="24"/>
                <w:color w:val="auto"/>
              </w:rPr>
            </w:pPr>
          </w:p>
        </w:tc>
        <w:tc>
          <w:tcPr>
            <w:tcW w:w="2160" w:type="dxa"/>
            <w:vAlign w:val="bottom"/>
          </w:tcPr>
          <w:p>
            <w:pPr>
              <w:ind w:left="680"/>
              <w:spacing w:after="0"/>
              <w:rPr>
                <w:sz w:val="20"/>
                <w:szCs w:val="20"/>
                <w:color w:val="auto"/>
              </w:rPr>
            </w:pPr>
            <w:r>
              <w:rPr>
                <w:rFonts w:ascii="Courier New" w:cs="Courier New" w:eastAsia="Courier New" w:hAnsi="Courier New"/>
                <w:sz w:val="13"/>
                <w:szCs w:val="13"/>
                <w:color w:val="auto"/>
              </w:rPr>
              <w:t>Description</w:t>
            </w:r>
          </w:p>
        </w:tc>
        <w:tc>
          <w:tcPr>
            <w:tcW w:w="1900" w:type="dxa"/>
            <w:vAlign w:val="bottom"/>
            <w:gridSpan w:val="2"/>
          </w:tcPr>
          <w:p>
            <w:pPr>
              <w:ind w:left="520"/>
              <w:spacing w:after="0"/>
              <w:rPr>
                <w:sz w:val="20"/>
                <w:szCs w:val="20"/>
                <w:color w:val="auto"/>
              </w:rPr>
            </w:pPr>
            <w:r>
              <w:rPr>
                <w:rFonts w:ascii="Courier New" w:cs="Courier New" w:eastAsia="Courier New" w:hAnsi="Courier New"/>
                <w:sz w:val="13"/>
                <w:szCs w:val="13"/>
                <w:color w:val="auto"/>
              </w:rPr>
              <w:t>Balance at</w:t>
            </w: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0" w:type="dxa"/>
            <w:vAlign w:val="bottom"/>
            <w:gridSpan w:val="2"/>
          </w:tcPr>
          <w:p>
            <w:pPr>
              <w:jc w:val="right"/>
              <w:ind w:right="2973"/>
              <w:spacing w:after="0"/>
              <w:rPr>
                <w:sz w:val="20"/>
                <w:szCs w:val="20"/>
                <w:color w:val="auto"/>
              </w:rPr>
            </w:pPr>
            <w:r>
              <w:rPr>
                <w:rFonts w:ascii="Courier New" w:cs="Courier New" w:eastAsia="Courier New" w:hAnsi="Courier New"/>
                <w:sz w:val="13"/>
                <w:szCs w:val="13"/>
                <w:color w:val="auto"/>
              </w:rPr>
              <w:t>Balance at end</w:t>
            </w:r>
          </w:p>
        </w:tc>
      </w:tr>
      <w:tr>
        <w:trPr>
          <w:trHeight w:val="154"/>
        </w:trPr>
        <w:tc>
          <w:tcPr>
            <w:tcW w:w="3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900" w:type="dxa"/>
            <w:vAlign w:val="bottom"/>
            <w:gridSpan w:val="2"/>
          </w:tcPr>
          <w:p>
            <w:pPr>
              <w:ind w:left="280"/>
              <w:spacing w:after="0"/>
              <w:rPr>
                <w:sz w:val="20"/>
                <w:szCs w:val="20"/>
                <w:color w:val="auto"/>
              </w:rPr>
            </w:pPr>
            <w:r>
              <w:rPr>
                <w:rFonts w:ascii="Courier New" w:cs="Courier New" w:eastAsia="Courier New" w:hAnsi="Courier New"/>
                <w:sz w:val="13"/>
                <w:szCs w:val="13"/>
                <w:color w:val="auto"/>
              </w:rPr>
              <w:t>beginning of year</w:t>
            </w:r>
          </w:p>
        </w:tc>
        <w:tc>
          <w:tcPr>
            <w:tcW w:w="10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Additions</w:t>
            </w:r>
          </w:p>
        </w:tc>
        <w:tc>
          <w:tcPr>
            <w:tcW w:w="480" w:type="dxa"/>
            <w:vAlign w:val="bottom"/>
          </w:tcPr>
          <w:p>
            <w:pPr>
              <w:spacing w:after="0"/>
              <w:rPr>
                <w:sz w:val="13"/>
                <w:szCs w:val="13"/>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Write-offs</w:t>
            </w:r>
          </w:p>
        </w:tc>
        <w:tc>
          <w:tcPr>
            <w:tcW w:w="280" w:type="dxa"/>
            <w:vAlign w:val="bottom"/>
          </w:tcPr>
          <w:p>
            <w:pPr>
              <w:spacing w:after="0"/>
              <w:rPr>
                <w:sz w:val="13"/>
                <w:szCs w:val="13"/>
                <w:color w:val="auto"/>
              </w:rPr>
            </w:pPr>
          </w:p>
        </w:tc>
        <w:tc>
          <w:tcPr>
            <w:tcW w:w="920" w:type="dxa"/>
            <w:vAlign w:val="bottom"/>
          </w:tcPr>
          <w:p>
            <w:pPr>
              <w:jc w:val="center"/>
              <w:ind w:left="293"/>
              <w:spacing w:after="0"/>
              <w:rPr>
                <w:sz w:val="20"/>
                <w:szCs w:val="20"/>
                <w:color w:val="auto"/>
              </w:rPr>
            </w:pPr>
            <w:r>
              <w:rPr>
                <w:rFonts w:ascii="Courier New" w:cs="Courier New" w:eastAsia="Courier New" w:hAnsi="Courier New"/>
                <w:sz w:val="13"/>
                <w:szCs w:val="13"/>
                <w:color w:val="auto"/>
              </w:rPr>
              <w:t>of year</w:t>
            </w:r>
          </w:p>
        </w:tc>
        <w:tc>
          <w:tcPr>
            <w:tcW w:w="3280" w:type="dxa"/>
            <w:vAlign w:val="bottom"/>
          </w:tcPr>
          <w:p>
            <w:pPr>
              <w:spacing w:after="0"/>
              <w:rPr>
                <w:sz w:val="13"/>
                <w:szCs w:val="13"/>
                <w:color w:val="auto"/>
              </w:rPr>
            </w:pPr>
          </w:p>
        </w:tc>
      </w:tr>
      <w:tr>
        <w:trPr>
          <w:trHeight w:val="154"/>
        </w:trPr>
        <w:tc>
          <w:tcPr>
            <w:tcW w:w="3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900" w:type="dxa"/>
            <w:vAlign w:val="bottom"/>
            <w:gridSpan w:val="2"/>
          </w:tcPr>
          <w:p>
            <w:pPr>
              <w:ind w:left="280"/>
              <w:spacing w:after="0"/>
              <w:rPr>
                <w:sz w:val="20"/>
                <w:szCs w:val="20"/>
                <w:color w:val="auto"/>
              </w:rPr>
            </w:pPr>
            <w:r>
              <w:rPr>
                <w:rFonts w:ascii="Courier New" w:cs="Courier New" w:eastAsia="Courier New" w:hAnsi="Courier New"/>
                <w:sz w:val="13"/>
                <w:szCs w:val="13"/>
                <w:color w:val="auto"/>
              </w:rPr>
              <w:t>------------------</w:t>
            </w:r>
          </w:p>
        </w:tc>
        <w:tc>
          <w:tcPr>
            <w:tcW w:w="152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320" w:type="dxa"/>
            <w:vAlign w:val="bottom"/>
            <w:gridSpan w:val="2"/>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4200" w:type="dxa"/>
            <w:vAlign w:val="bottom"/>
            <w:gridSpan w:val="2"/>
          </w:tcPr>
          <w:p>
            <w:pPr>
              <w:jc w:val="right"/>
              <w:ind w:right="2813"/>
              <w:spacing w:after="0"/>
              <w:rPr>
                <w:sz w:val="20"/>
                <w:szCs w:val="20"/>
                <w:color w:val="auto"/>
              </w:rPr>
            </w:pPr>
            <w:r>
              <w:rPr>
                <w:rFonts w:ascii="Courier New" w:cs="Courier New" w:eastAsia="Courier New" w:hAnsi="Courier New"/>
                <w:sz w:val="13"/>
                <w:szCs w:val="13"/>
                <w:color w:val="auto"/>
              </w:rPr>
              <w:t>----------------</w:t>
            </w:r>
          </w:p>
        </w:tc>
      </w:tr>
      <w:tr>
        <w:trPr>
          <w:trHeight w:val="308"/>
        </w:trPr>
        <w:tc>
          <w:tcPr>
            <w:tcW w:w="360" w:type="dxa"/>
            <w:vAlign w:val="bottom"/>
          </w:tcPr>
          <w:p>
            <w:pPr>
              <w:spacing w:after="0"/>
              <w:rPr>
                <w:sz w:val="24"/>
                <w:szCs w:val="24"/>
                <w:color w:val="auto"/>
              </w:rPr>
            </w:pPr>
          </w:p>
        </w:tc>
        <w:tc>
          <w:tcPr>
            <w:tcW w:w="2160" w:type="dxa"/>
            <w:vAlign w:val="bottom"/>
          </w:tcPr>
          <w:p>
            <w:pPr>
              <w:ind w:left="120"/>
              <w:spacing w:after="0"/>
              <w:rPr>
                <w:sz w:val="20"/>
                <w:szCs w:val="20"/>
                <w:color w:val="auto"/>
              </w:rPr>
            </w:pPr>
            <w:r>
              <w:rPr>
                <w:rFonts w:ascii="Courier New" w:cs="Courier New" w:eastAsia="Courier New" w:hAnsi="Courier New"/>
                <w:sz w:val="13"/>
                <w:szCs w:val="13"/>
                <w:color w:val="auto"/>
              </w:rPr>
              <w:t>December 31, 2000</w:t>
            </w: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154"/>
        </w:trPr>
        <w:tc>
          <w:tcPr>
            <w:tcW w:w="360" w:type="dxa"/>
            <w:vAlign w:val="bottom"/>
          </w:tcPr>
          <w:p>
            <w:pPr>
              <w:spacing w:after="0"/>
              <w:rPr>
                <w:sz w:val="13"/>
                <w:szCs w:val="13"/>
                <w:color w:val="auto"/>
              </w:rPr>
            </w:pPr>
          </w:p>
        </w:tc>
        <w:tc>
          <w:tcPr>
            <w:tcW w:w="2160" w:type="dxa"/>
            <w:vAlign w:val="bottom"/>
          </w:tcPr>
          <w:p>
            <w:pPr>
              <w:ind w:left="120"/>
              <w:spacing w:after="0"/>
              <w:rPr>
                <w:sz w:val="20"/>
                <w:szCs w:val="20"/>
                <w:color w:val="auto"/>
              </w:rPr>
            </w:pPr>
            <w:r>
              <w:rPr>
                <w:rFonts w:ascii="Courier New" w:cs="Courier New" w:eastAsia="Courier New" w:hAnsi="Courier New"/>
                <w:sz w:val="13"/>
                <w:szCs w:val="13"/>
                <w:color w:val="auto"/>
              </w:rPr>
              <w:t>Allowance for doubtful</w:t>
            </w: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154"/>
        </w:trPr>
        <w:tc>
          <w:tcPr>
            <w:tcW w:w="360" w:type="dxa"/>
            <w:vAlign w:val="bottom"/>
          </w:tcPr>
          <w:p>
            <w:pPr>
              <w:spacing w:after="0"/>
              <w:rPr>
                <w:sz w:val="13"/>
                <w:szCs w:val="13"/>
                <w:color w:val="auto"/>
              </w:rPr>
            </w:pPr>
          </w:p>
        </w:tc>
        <w:tc>
          <w:tcPr>
            <w:tcW w:w="2160" w:type="dxa"/>
            <w:vAlign w:val="bottom"/>
          </w:tcPr>
          <w:p>
            <w:pPr>
              <w:ind w:left="440"/>
              <w:spacing w:after="0"/>
              <w:rPr>
                <w:sz w:val="20"/>
                <w:szCs w:val="20"/>
                <w:color w:val="auto"/>
              </w:rPr>
            </w:pPr>
            <w:r>
              <w:rPr>
                <w:rFonts w:ascii="Courier New" w:cs="Courier New" w:eastAsia="Courier New" w:hAnsi="Courier New"/>
                <w:sz w:val="13"/>
                <w:szCs w:val="13"/>
                <w:color w:val="auto"/>
              </w:rPr>
              <w:t>accounts</w:t>
            </w:r>
          </w:p>
        </w:tc>
        <w:tc>
          <w:tcPr>
            <w:tcW w:w="1020" w:type="dxa"/>
            <w:vAlign w:val="bottom"/>
          </w:tcPr>
          <w:p>
            <w:pPr>
              <w:ind w:left="940"/>
              <w:spacing w:after="0"/>
              <w:rPr>
                <w:sz w:val="20"/>
                <w:szCs w:val="20"/>
                <w:color w:val="auto"/>
              </w:rPr>
            </w:pPr>
            <w:r>
              <w:rPr>
                <w:rFonts w:ascii="Courier New" w:cs="Courier New" w:eastAsia="Courier New" w:hAnsi="Courier New"/>
                <w:sz w:val="13"/>
                <w:szCs w:val="13"/>
                <w:color w:val="auto"/>
                <w:w w:val="76"/>
              </w:rPr>
              <w:t>$</w:t>
            </w:r>
          </w:p>
        </w:tc>
        <w:tc>
          <w:tcPr>
            <w:tcW w:w="88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906</w:t>
            </w:r>
          </w:p>
        </w:tc>
        <w:tc>
          <w:tcPr>
            <w:tcW w:w="1040" w:type="dxa"/>
            <w:vAlign w:val="bottom"/>
          </w:tcPr>
          <w:p>
            <w:pPr>
              <w:jc w:val="right"/>
              <w:ind w:right="653"/>
              <w:spacing w:after="0"/>
              <w:rPr>
                <w:sz w:val="20"/>
                <w:szCs w:val="20"/>
                <w:color w:val="auto"/>
              </w:rPr>
            </w:pPr>
            <w:r>
              <w:rPr>
                <w:rFonts w:ascii="Courier New" w:cs="Courier New" w:eastAsia="Courier New" w:hAnsi="Courier New"/>
                <w:sz w:val="13"/>
                <w:szCs w:val="13"/>
                <w:color w:val="auto"/>
              </w:rPr>
              <w:t>$</w:t>
            </w:r>
          </w:p>
        </w:tc>
        <w:tc>
          <w:tcPr>
            <w:tcW w:w="4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104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3"/>
                <w:szCs w:val="13"/>
                <w:color w:val="auto"/>
                <w:w w:val="93"/>
              </w:rPr>
              <w:t>130</w:t>
            </w:r>
          </w:p>
        </w:tc>
        <w:tc>
          <w:tcPr>
            <w:tcW w:w="920" w:type="dxa"/>
            <w:vAlign w:val="bottom"/>
          </w:tcPr>
          <w:p>
            <w:pPr>
              <w:jc w:val="center"/>
              <w:ind w:left="293"/>
              <w:spacing w:after="0"/>
              <w:rPr>
                <w:sz w:val="20"/>
                <w:szCs w:val="20"/>
                <w:color w:val="auto"/>
              </w:rPr>
            </w:pPr>
            <w:r>
              <w:rPr>
                <w:rFonts w:ascii="Courier New" w:cs="Courier New" w:eastAsia="Courier New" w:hAnsi="Courier New"/>
                <w:sz w:val="13"/>
                <w:szCs w:val="13"/>
                <w:color w:val="auto"/>
              </w:rPr>
              <w:t>$</w:t>
            </w:r>
          </w:p>
        </w:tc>
        <w:tc>
          <w:tcPr>
            <w:tcW w:w="3280" w:type="dxa"/>
            <w:vAlign w:val="bottom"/>
          </w:tcPr>
          <w:p>
            <w:pPr>
              <w:jc w:val="right"/>
              <w:ind w:right="2813"/>
              <w:spacing w:after="0"/>
              <w:rPr>
                <w:sz w:val="20"/>
                <w:szCs w:val="20"/>
                <w:color w:val="auto"/>
              </w:rPr>
            </w:pPr>
            <w:r>
              <w:rPr>
                <w:rFonts w:ascii="Courier New" w:cs="Courier New" w:eastAsia="Courier New" w:hAnsi="Courier New"/>
                <w:sz w:val="13"/>
                <w:szCs w:val="13"/>
                <w:color w:val="auto"/>
              </w:rPr>
              <w:t>776</w:t>
            </w:r>
          </w:p>
        </w:tc>
      </w:tr>
      <w:tr>
        <w:trPr>
          <w:trHeight w:val="154"/>
        </w:trPr>
        <w:tc>
          <w:tcPr>
            <w:tcW w:w="3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900" w:type="dxa"/>
            <w:vAlign w:val="bottom"/>
            <w:gridSpan w:val="2"/>
          </w:tcPr>
          <w:p>
            <w:pPr>
              <w:ind w:left="280"/>
              <w:spacing w:after="0"/>
              <w:rPr>
                <w:sz w:val="20"/>
                <w:szCs w:val="20"/>
                <w:color w:val="auto"/>
              </w:rPr>
            </w:pPr>
            <w:r>
              <w:rPr>
                <w:rFonts w:ascii="Courier New" w:cs="Courier New" w:eastAsia="Courier New" w:hAnsi="Courier New"/>
                <w:sz w:val="13"/>
                <w:szCs w:val="13"/>
                <w:color w:val="auto"/>
              </w:rPr>
              <w:t>==================</w:t>
            </w:r>
          </w:p>
        </w:tc>
        <w:tc>
          <w:tcPr>
            <w:tcW w:w="152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320" w:type="dxa"/>
            <w:vAlign w:val="bottom"/>
            <w:gridSpan w:val="2"/>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4200" w:type="dxa"/>
            <w:vAlign w:val="bottom"/>
            <w:gridSpan w:val="2"/>
          </w:tcPr>
          <w:p>
            <w:pPr>
              <w:jc w:val="right"/>
              <w:ind w:right="2813"/>
              <w:spacing w:after="0"/>
              <w:rPr>
                <w:sz w:val="20"/>
                <w:szCs w:val="20"/>
                <w:color w:val="auto"/>
              </w:rPr>
            </w:pPr>
            <w:r>
              <w:rPr>
                <w:rFonts w:ascii="Courier New" w:cs="Courier New" w:eastAsia="Courier New" w:hAnsi="Courier New"/>
                <w:sz w:val="13"/>
                <w:szCs w:val="13"/>
                <w:color w:val="auto"/>
              </w:rPr>
              <w:t>================</w:t>
            </w:r>
          </w:p>
        </w:tc>
      </w:tr>
      <w:tr>
        <w:trPr>
          <w:trHeight w:val="308"/>
        </w:trPr>
        <w:tc>
          <w:tcPr>
            <w:tcW w:w="360" w:type="dxa"/>
            <w:vAlign w:val="bottom"/>
          </w:tcPr>
          <w:p>
            <w:pPr>
              <w:spacing w:after="0"/>
              <w:rPr>
                <w:sz w:val="24"/>
                <w:szCs w:val="24"/>
                <w:color w:val="auto"/>
              </w:rPr>
            </w:pPr>
          </w:p>
        </w:tc>
        <w:tc>
          <w:tcPr>
            <w:tcW w:w="2160" w:type="dxa"/>
            <w:vAlign w:val="bottom"/>
          </w:tcPr>
          <w:p>
            <w:pPr>
              <w:ind w:left="120"/>
              <w:spacing w:after="0"/>
              <w:rPr>
                <w:sz w:val="20"/>
                <w:szCs w:val="20"/>
                <w:color w:val="auto"/>
              </w:rPr>
            </w:pPr>
            <w:r>
              <w:rPr>
                <w:rFonts w:ascii="Courier New" w:cs="Courier New" w:eastAsia="Courier New" w:hAnsi="Courier New"/>
                <w:sz w:val="13"/>
                <w:szCs w:val="13"/>
                <w:color w:val="auto"/>
              </w:rPr>
              <w:t>December 31, 2001</w:t>
            </w: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154"/>
        </w:trPr>
        <w:tc>
          <w:tcPr>
            <w:tcW w:w="360" w:type="dxa"/>
            <w:vAlign w:val="bottom"/>
          </w:tcPr>
          <w:p>
            <w:pPr>
              <w:spacing w:after="0"/>
              <w:rPr>
                <w:sz w:val="13"/>
                <w:szCs w:val="13"/>
                <w:color w:val="auto"/>
              </w:rPr>
            </w:pPr>
          </w:p>
        </w:tc>
        <w:tc>
          <w:tcPr>
            <w:tcW w:w="2160" w:type="dxa"/>
            <w:vAlign w:val="bottom"/>
          </w:tcPr>
          <w:p>
            <w:pPr>
              <w:ind w:left="120"/>
              <w:spacing w:after="0"/>
              <w:rPr>
                <w:sz w:val="20"/>
                <w:szCs w:val="20"/>
                <w:color w:val="auto"/>
              </w:rPr>
            </w:pPr>
            <w:r>
              <w:rPr>
                <w:rFonts w:ascii="Courier New" w:cs="Courier New" w:eastAsia="Courier New" w:hAnsi="Courier New"/>
                <w:sz w:val="13"/>
                <w:szCs w:val="13"/>
                <w:color w:val="auto"/>
              </w:rPr>
              <w:t>Allowance for doubtful</w:t>
            </w: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154"/>
        </w:trPr>
        <w:tc>
          <w:tcPr>
            <w:tcW w:w="360" w:type="dxa"/>
            <w:vAlign w:val="bottom"/>
          </w:tcPr>
          <w:p>
            <w:pPr>
              <w:spacing w:after="0"/>
              <w:rPr>
                <w:sz w:val="13"/>
                <w:szCs w:val="13"/>
                <w:color w:val="auto"/>
              </w:rPr>
            </w:pPr>
          </w:p>
        </w:tc>
        <w:tc>
          <w:tcPr>
            <w:tcW w:w="2160" w:type="dxa"/>
            <w:vAlign w:val="bottom"/>
          </w:tcPr>
          <w:p>
            <w:pPr>
              <w:ind w:left="440"/>
              <w:spacing w:after="0"/>
              <w:rPr>
                <w:sz w:val="20"/>
                <w:szCs w:val="20"/>
                <w:color w:val="auto"/>
              </w:rPr>
            </w:pPr>
            <w:r>
              <w:rPr>
                <w:rFonts w:ascii="Courier New" w:cs="Courier New" w:eastAsia="Courier New" w:hAnsi="Courier New"/>
                <w:sz w:val="13"/>
                <w:szCs w:val="13"/>
                <w:color w:val="auto"/>
              </w:rPr>
              <w:t>accounts</w:t>
            </w:r>
          </w:p>
        </w:tc>
        <w:tc>
          <w:tcPr>
            <w:tcW w:w="1020" w:type="dxa"/>
            <w:vAlign w:val="bottom"/>
          </w:tcPr>
          <w:p>
            <w:pPr>
              <w:ind w:left="940"/>
              <w:spacing w:after="0"/>
              <w:rPr>
                <w:sz w:val="20"/>
                <w:szCs w:val="20"/>
                <w:color w:val="auto"/>
              </w:rPr>
            </w:pPr>
            <w:r>
              <w:rPr>
                <w:rFonts w:ascii="Courier New" w:cs="Courier New" w:eastAsia="Courier New" w:hAnsi="Courier New"/>
                <w:sz w:val="13"/>
                <w:szCs w:val="13"/>
                <w:color w:val="auto"/>
                <w:w w:val="76"/>
              </w:rPr>
              <w:t>$</w:t>
            </w:r>
          </w:p>
        </w:tc>
        <w:tc>
          <w:tcPr>
            <w:tcW w:w="88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776</w:t>
            </w:r>
          </w:p>
        </w:tc>
        <w:tc>
          <w:tcPr>
            <w:tcW w:w="1520" w:type="dxa"/>
            <w:vAlign w:val="bottom"/>
            <w:gridSpan w:val="2"/>
          </w:tcPr>
          <w:p>
            <w:pPr>
              <w:jc w:val="right"/>
              <w:ind w:right="173"/>
              <w:spacing w:after="0"/>
              <w:rPr>
                <w:sz w:val="20"/>
                <w:szCs w:val="20"/>
                <w:color w:val="auto"/>
              </w:rPr>
            </w:pPr>
            <w:r>
              <w:rPr>
                <w:rFonts w:ascii="Courier New" w:cs="Courier New" w:eastAsia="Courier New" w:hAnsi="Courier New"/>
                <w:sz w:val="13"/>
                <w:szCs w:val="13"/>
                <w:color w:val="auto"/>
              </w:rPr>
              <w:t>$   1,668</w:t>
            </w:r>
          </w:p>
        </w:tc>
        <w:tc>
          <w:tcPr>
            <w:tcW w:w="104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3"/>
                <w:szCs w:val="13"/>
                <w:color w:val="auto"/>
                <w:w w:val="93"/>
              </w:rPr>
              <w:t>653</w:t>
            </w:r>
          </w:p>
        </w:tc>
        <w:tc>
          <w:tcPr>
            <w:tcW w:w="920" w:type="dxa"/>
            <w:vAlign w:val="bottom"/>
          </w:tcPr>
          <w:p>
            <w:pPr>
              <w:jc w:val="center"/>
              <w:ind w:left="293"/>
              <w:spacing w:after="0"/>
              <w:rPr>
                <w:sz w:val="20"/>
                <w:szCs w:val="20"/>
                <w:color w:val="auto"/>
              </w:rPr>
            </w:pPr>
            <w:r>
              <w:rPr>
                <w:rFonts w:ascii="Courier New" w:cs="Courier New" w:eastAsia="Courier New" w:hAnsi="Courier New"/>
                <w:sz w:val="13"/>
                <w:szCs w:val="13"/>
                <w:color w:val="auto"/>
              </w:rPr>
              <w:t>$</w:t>
            </w:r>
          </w:p>
        </w:tc>
        <w:tc>
          <w:tcPr>
            <w:tcW w:w="3280" w:type="dxa"/>
            <w:vAlign w:val="bottom"/>
          </w:tcPr>
          <w:p>
            <w:pPr>
              <w:jc w:val="right"/>
              <w:ind w:right="2813"/>
              <w:spacing w:after="0"/>
              <w:rPr>
                <w:sz w:val="20"/>
                <w:szCs w:val="20"/>
                <w:color w:val="auto"/>
              </w:rPr>
            </w:pPr>
            <w:r>
              <w:rPr>
                <w:rFonts w:ascii="Courier New" w:cs="Courier New" w:eastAsia="Courier New" w:hAnsi="Courier New"/>
                <w:sz w:val="13"/>
                <w:szCs w:val="13"/>
                <w:color w:val="auto"/>
                <w:w w:val="97"/>
              </w:rPr>
              <w:t>1,791</w:t>
            </w:r>
          </w:p>
        </w:tc>
      </w:tr>
      <w:tr>
        <w:trPr>
          <w:trHeight w:val="154"/>
        </w:trPr>
        <w:tc>
          <w:tcPr>
            <w:tcW w:w="3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900" w:type="dxa"/>
            <w:vAlign w:val="bottom"/>
            <w:gridSpan w:val="2"/>
          </w:tcPr>
          <w:p>
            <w:pPr>
              <w:ind w:left="280"/>
              <w:spacing w:after="0"/>
              <w:rPr>
                <w:sz w:val="20"/>
                <w:szCs w:val="20"/>
                <w:color w:val="auto"/>
              </w:rPr>
            </w:pPr>
            <w:r>
              <w:rPr>
                <w:rFonts w:ascii="Courier New" w:cs="Courier New" w:eastAsia="Courier New" w:hAnsi="Courier New"/>
                <w:sz w:val="13"/>
                <w:szCs w:val="13"/>
                <w:color w:val="auto"/>
              </w:rPr>
              <w:t>==================</w:t>
            </w:r>
          </w:p>
        </w:tc>
        <w:tc>
          <w:tcPr>
            <w:tcW w:w="152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320" w:type="dxa"/>
            <w:vAlign w:val="bottom"/>
            <w:gridSpan w:val="2"/>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4200" w:type="dxa"/>
            <w:vAlign w:val="bottom"/>
            <w:gridSpan w:val="2"/>
          </w:tcPr>
          <w:p>
            <w:pPr>
              <w:jc w:val="right"/>
              <w:ind w:right="2813"/>
              <w:spacing w:after="0"/>
              <w:rPr>
                <w:sz w:val="20"/>
                <w:szCs w:val="20"/>
                <w:color w:val="auto"/>
              </w:rPr>
            </w:pPr>
            <w:r>
              <w:rPr>
                <w:rFonts w:ascii="Courier New" w:cs="Courier New" w:eastAsia="Courier New" w:hAnsi="Courier New"/>
                <w:sz w:val="13"/>
                <w:szCs w:val="13"/>
                <w:color w:val="auto"/>
              </w:rPr>
              <w:t>================</w:t>
            </w:r>
          </w:p>
        </w:tc>
      </w:tr>
      <w:tr>
        <w:trPr>
          <w:trHeight w:val="308"/>
        </w:trPr>
        <w:tc>
          <w:tcPr>
            <w:tcW w:w="360" w:type="dxa"/>
            <w:vAlign w:val="bottom"/>
          </w:tcPr>
          <w:p>
            <w:pPr>
              <w:spacing w:after="0"/>
              <w:rPr>
                <w:sz w:val="24"/>
                <w:szCs w:val="24"/>
                <w:color w:val="auto"/>
              </w:rPr>
            </w:pPr>
          </w:p>
        </w:tc>
        <w:tc>
          <w:tcPr>
            <w:tcW w:w="2160" w:type="dxa"/>
            <w:vAlign w:val="bottom"/>
          </w:tcPr>
          <w:p>
            <w:pPr>
              <w:ind w:left="120"/>
              <w:spacing w:after="0"/>
              <w:rPr>
                <w:sz w:val="20"/>
                <w:szCs w:val="20"/>
                <w:color w:val="auto"/>
              </w:rPr>
            </w:pPr>
            <w:r>
              <w:rPr>
                <w:rFonts w:ascii="Courier New" w:cs="Courier New" w:eastAsia="Courier New" w:hAnsi="Courier New"/>
                <w:sz w:val="13"/>
                <w:szCs w:val="13"/>
                <w:color w:val="auto"/>
              </w:rPr>
              <w:t>December 31, 2002</w:t>
            </w: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154"/>
        </w:trPr>
        <w:tc>
          <w:tcPr>
            <w:tcW w:w="360" w:type="dxa"/>
            <w:vAlign w:val="bottom"/>
          </w:tcPr>
          <w:p>
            <w:pPr>
              <w:spacing w:after="0"/>
              <w:rPr>
                <w:sz w:val="13"/>
                <w:szCs w:val="13"/>
                <w:color w:val="auto"/>
              </w:rPr>
            </w:pPr>
          </w:p>
        </w:tc>
        <w:tc>
          <w:tcPr>
            <w:tcW w:w="2160" w:type="dxa"/>
            <w:vAlign w:val="bottom"/>
          </w:tcPr>
          <w:p>
            <w:pPr>
              <w:ind w:left="120"/>
              <w:spacing w:after="0"/>
              <w:rPr>
                <w:sz w:val="20"/>
                <w:szCs w:val="20"/>
                <w:color w:val="auto"/>
              </w:rPr>
            </w:pPr>
            <w:r>
              <w:rPr>
                <w:rFonts w:ascii="Courier New" w:cs="Courier New" w:eastAsia="Courier New" w:hAnsi="Courier New"/>
                <w:sz w:val="13"/>
                <w:szCs w:val="13"/>
                <w:color w:val="auto"/>
              </w:rPr>
              <w:t>Allowance for doubtful</w:t>
            </w: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154"/>
        </w:trPr>
        <w:tc>
          <w:tcPr>
            <w:tcW w:w="360" w:type="dxa"/>
            <w:vAlign w:val="bottom"/>
          </w:tcPr>
          <w:p>
            <w:pPr>
              <w:spacing w:after="0"/>
              <w:rPr>
                <w:sz w:val="13"/>
                <w:szCs w:val="13"/>
                <w:color w:val="auto"/>
              </w:rPr>
            </w:pPr>
          </w:p>
        </w:tc>
        <w:tc>
          <w:tcPr>
            <w:tcW w:w="2160" w:type="dxa"/>
            <w:vAlign w:val="bottom"/>
          </w:tcPr>
          <w:p>
            <w:pPr>
              <w:ind w:left="440"/>
              <w:spacing w:after="0"/>
              <w:rPr>
                <w:sz w:val="20"/>
                <w:szCs w:val="20"/>
                <w:color w:val="auto"/>
              </w:rPr>
            </w:pPr>
            <w:r>
              <w:rPr>
                <w:rFonts w:ascii="Courier New" w:cs="Courier New" w:eastAsia="Courier New" w:hAnsi="Courier New"/>
                <w:sz w:val="13"/>
                <w:szCs w:val="13"/>
                <w:color w:val="auto"/>
              </w:rPr>
              <w:t>accounts</w:t>
            </w:r>
          </w:p>
        </w:tc>
        <w:tc>
          <w:tcPr>
            <w:tcW w:w="1020" w:type="dxa"/>
            <w:vAlign w:val="bottom"/>
          </w:tcPr>
          <w:p>
            <w:pPr>
              <w:spacing w:after="0"/>
              <w:rPr>
                <w:sz w:val="13"/>
                <w:szCs w:val="13"/>
                <w:color w:val="auto"/>
              </w:rPr>
            </w:pPr>
          </w:p>
        </w:tc>
        <w:tc>
          <w:tcPr>
            <w:tcW w:w="880" w:type="dxa"/>
            <w:vAlign w:val="bottom"/>
          </w:tcPr>
          <w:p>
            <w:pPr>
              <w:jc w:val="right"/>
              <w:ind w:right="253"/>
              <w:spacing w:after="0"/>
              <w:rPr>
                <w:sz w:val="20"/>
                <w:szCs w:val="20"/>
                <w:color w:val="auto"/>
              </w:rPr>
            </w:pPr>
            <w:r>
              <w:rPr>
                <w:rFonts w:ascii="Courier New" w:cs="Courier New" w:eastAsia="Courier New" w:hAnsi="Courier New"/>
                <w:sz w:val="13"/>
                <w:szCs w:val="13"/>
                <w:color w:val="auto"/>
                <w:w w:val="98"/>
              </w:rPr>
              <w:t>$ 1,791</w:t>
            </w:r>
          </w:p>
        </w:tc>
        <w:tc>
          <w:tcPr>
            <w:tcW w:w="104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48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3"/>
              </w:rPr>
              <w:t>138</w:t>
            </w:r>
          </w:p>
        </w:tc>
        <w:tc>
          <w:tcPr>
            <w:tcW w:w="104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3"/>
                <w:szCs w:val="13"/>
                <w:color w:val="auto"/>
                <w:w w:val="93"/>
              </w:rPr>
              <w:t>263</w:t>
            </w:r>
          </w:p>
        </w:tc>
        <w:tc>
          <w:tcPr>
            <w:tcW w:w="920" w:type="dxa"/>
            <w:vAlign w:val="bottom"/>
          </w:tcPr>
          <w:p>
            <w:pPr>
              <w:jc w:val="center"/>
              <w:ind w:left="293"/>
              <w:spacing w:after="0"/>
              <w:rPr>
                <w:sz w:val="20"/>
                <w:szCs w:val="20"/>
                <w:color w:val="auto"/>
              </w:rPr>
            </w:pPr>
            <w:r>
              <w:rPr>
                <w:rFonts w:ascii="Courier New" w:cs="Courier New" w:eastAsia="Courier New" w:hAnsi="Courier New"/>
                <w:sz w:val="13"/>
                <w:szCs w:val="13"/>
                <w:color w:val="auto"/>
              </w:rPr>
              <w:t>$</w:t>
            </w:r>
          </w:p>
        </w:tc>
        <w:tc>
          <w:tcPr>
            <w:tcW w:w="3280" w:type="dxa"/>
            <w:vAlign w:val="bottom"/>
          </w:tcPr>
          <w:p>
            <w:pPr>
              <w:jc w:val="right"/>
              <w:ind w:right="2813"/>
              <w:spacing w:after="0"/>
              <w:rPr>
                <w:sz w:val="20"/>
                <w:szCs w:val="20"/>
                <w:color w:val="auto"/>
              </w:rPr>
            </w:pPr>
            <w:r>
              <w:rPr>
                <w:rFonts w:ascii="Courier New" w:cs="Courier New" w:eastAsia="Courier New" w:hAnsi="Courier New"/>
                <w:sz w:val="13"/>
                <w:szCs w:val="13"/>
                <w:color w:val="auto"/>
                <w:w w:val="97"/>
              </w:rPr>
              <w:t>1,666</w:t>
            </w:r>
          </w:p>
        </w:tc>
      </w:tr>
      <w:tr>
        <w:trPr>
          <w:trHeight w:val="154"/>
        </w:trPr>
        <w:tc>
          <w:tcPr>
            <w:tcW w:w="3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900" w:type="dxa"/>
            <w:vAlign w:val="bottom"/>
            <w:gridSpan w:val="2"/>
          </w:tcPr>
          <w:p>
            <w:pPr>
              <w:ind w:left="280"/>
              <w:spacing w:after="0"/>
              <w:rPr>
                <w:sz w:val="20"/>
                <w:szCs w:val="20"/>
                <w:color w:val="auto"/>
              </w:rPr>
            </w:pPr>
            <w:r>
              <w:rPr>
                <w:rFonts w:ascii="Courier New" w:cs="Courier New" w:eastAsia="Courier New" w:hAnsi="Courier New"/>
                <w:sz w:val="13"/>
                <w:szCs w:val="13"/>
                <w:color w:val="auto"/>
              </w:rPr>
              <w:t>==================</w:t>
            </w:r>
          </w:p>
        </w:tc>
        <w:tc>
          <w:tcPr>
            <w:tcW w:w="152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320" w:type="dxa"/>
            <w:vAlign w:val="bottom"/>
            <w:gridSpan w:val="2"/>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4200" w:type="dxa"/>
            <w:vAlign w:val="bottom"/>
            <w:gridSpan w:val="2"/>
          </w:tcPr>
          <w:p>
            <w:pPr>
              <w:jc w:val="right"/>
              <w:ind w:right="2813"/>
              <w:spacing w:after="0"/>
              <w:rPr>
                <w:sz w:val="20"/>
                <w:szCs w:val="20"/>
                <w:color w:val="auto"/>
              </w:rPr>
            </w:pPr>
            <w:r>
              <w:rPr>
                <w:rFonts w:ascii="Courier New" w:cs="Courier New" w:eastAsia="Courier New" w:hAnsi="Courier New"/>
                <w:sz w:val="13"/>
                <w:szCs w:val="13"/>
                <w:color w:val="auto"/>
              </w:rPr>
              <w:t>================</w:t>
            </w:r>
          </w:p>
        </w:tc>
      </w:tr>
      <w:tr>
        <w:trPr>
          <w:trHeight w:val="308"/>
        </w:trPr>
        <w:tc>
          <w:tcPr>
            <w:tcW w:w="360" w:type="dxa"/>
            <w:vAlign w:val="bottom"/>
          </w:tcPr>
          <w:p>
            <w:pPr>
              <w:spacing w:after="0"/>
              <w:rPr>
                <w:sz w:val="24"/>
                <w:szCs w:val="24"/>
                <w:color w:val="auto"/>
              </w:rPr>
            </w:pPr>
          </w:p>
        </w:tc>
        <w:tc>
          <w:tcPr>
            <w:tcW w:w="6620" w:type="dxa"/>
            <w:vAlign w:val="bottom"/>
            <w:gridSpan w:val="6"/>
          </w:tcPr>
          <w:p>
            <w:pPr>
              <w:ind w:left="200"/>
              <w:spacing w:after="0"/>
              <w:rPr>
                <w:sz w:val="20"/>
                <w:szCs w:val="20"/>
                <w:color w:val="auto"/>
              </w:rPr>
            </w:pPr>
            <w:r>
              <w:rPr>
                <w:rFonts w:ascii="Courier New" w:cs="Courier New" w:eastAsia="Courier New" w:hAnsi="Courier New"/>
                <w:sz w:val="13"/>
                <w:szCs w:val="13"/>
                <w:color w:val="auto"/>
              </w:rPr>
              <w:t>On November 6, 2001, a customer of IMC filed for voluntary Chapter 7</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154"/>
        </w:trPr>
        <w:tc>
          <w:tcPr>
            <w:tcW w:w="360" w:type="dxa"/>
            <w:vAlign w:val="bottom"/>
          </w:tcPr>
          <w:p>
            <w:pPr>
              <w:spacing w:after="0"/>
              <w:rPr>
                <w:sz w:val="13"/>
                <w:szCs w:val="13"/>
                <w:color w:val="auto"/>
              </w:rPr>
            </w:pPr>
          </w:p>
        </w:tc>
        <w:tc>
          <w:tcPr>
            <w:tcW w:w="6620" w:type="dxa"/>
            <w:vAlign w:val="bottom"/>
            <w:gridSpan w:val="6"/>
          </w:tcPr>
          <w:p>
            <w:pPr>
              <w:ind w:left="200"/>
              <w:spacing w:after="0"/>
              <w:rPr>
                <w:sz w:val="20"/>
                <w:szCs w:val="20"/>
                <w:color w:val="auto"/>
              </w:rPr>
            </w:pPr>
            <w:r>
              <w:rPr>
                <w:rFonts w:ascii="Courier New" w:cs="Courier New" w:eastAsia="Courier New" w:hAnsi="Courier New"/>
                <w:sz w:val="13"/>
                <w:szCs w:val="13"/>
                <w:color w:val="auto"/>
              </w:rPr>
              <w:t>bankruptcy. As of December 31, 2002 and 2001, the Company had a trade</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154"/>
        </w:trPr>
        <w:tc>
          <w:tcPr>
            <w:tcW w:w="360" w:type="dxa"/>
            <w:vAlign w:val="bottom"/>
          </w:tcPr>
          <w:p>
            <w:pPr>
              <w:spacing w:after="0"/>
              <w:rPr>
                <w:sz w:val="13"/>
                <w:szCs w:val="13"/>
                <w:color w:val="auto"/>
              </w:rPr>
            </w:pPr>
          </w:p>
        </w:tc>
        <w:tc>
          <w:tcPr>
            <w:tcW w:w="6620" w:type="dxa"/>
            <w:vAlign w:val="bottom"/>
            <w:gridSpan w:val="6"/>
          </w:tcPr>
          <w:p>
            <w:pPr>
              <w:ind w:left="200"/>
              <w:spacing w:after="0"/>
              <w:rPr>
                <w:sz w:val="20"/>
                <w:szCs w:val="20"/>
                <w:color w:val="auto"/>
              </w:rPr>
            </w:pPr>
            <w:r>
              <w:rPr>
                <w:rFonts w:ascii="Courier New" w:cs="Courier New" w:eastAsia="Courier New" w:hAnsi="Courier New"/>
                <w:sz w:val="13"/>
                <w:szCs w:val="13"/>
                <w:color w:val="auto"/>
              </w:rPr>
              <w:t>accounts receivable balance of approximately $829 with this customer. For</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154"/>
        </w:trPr>
        <w:tc>
          <w:tcPr>
            <w:tcW w:w="360" w:type="dxa"/>
            <w:vAlign w:val="bottom"/>
          </w:tcPr>
          <w:p>
            <w:pPr>
              <w:spacing w:after="0"/>
              <w:rPr>
                <w:sz w:val="13"/>
                <w:szCs w:val="13"/>
                <w:color w:val="auto"/>
              </w:rPr>
            </w:pPr>
          </w:p>
        </w:tc>
        <w:tc>
          <w:tcPr>
            <w:tcW w:w="6620" w:type="dxa"/>
            <w:vAlign w:val="bottom"/>
            <w:gridSpan w:val="6"/>
          </w:tcPr>
          <w:p>
            <w:pPr>
              <w:ind w:left="200"/>
              <w:spacing w:after="0"/>
              <w:rPr>
                <w:sz w:val="20"/>
                <w:szCs w:val="20"/>
                <w:color w:val="auto"/>
              </w:rPr>
            </w:pPr>
            <w:r>
              <w:rPr>
                <w:rFonts w:ascii="Courier New" w:cs="Courier New" w:eastAsia="Courier New" w:hAnsi="Courier New"/>
                <w:sz w:val="13"/>
                <w:szCs w:val="13"/>
                <w:color w:val="auto"/>
              </w:rPr>
              <w:t>the years ended December 31, 2002 and 2001, the Company recorded sales of</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154"/>
        </w:trPr>
        <w:tc>
          <w:tcPr>
            <w:tcW w:w="360" w:type="dxa"/>
            <w:vAlign w:val="bottom"/>
          </w:tcPr>
          <w:p>
            <w:pPr>
              <w:spacing w:after="0"/>
              <w:rPr>
                <w:sz w:val="13"/>
                <w:szCs w:val="13"/>
                <w:color w:val="auto"/>
              </w:rPr>
            </w:pPr>
          </w:p>
        </w:tc>
        <w:tc>
          <w:tcPr>
            <w:tcW w:w="6620" w:type="dxa"/>
            <w:vAlign w:val="bottom"/>
            <w:gridSpan w:val="6"/>
          </w:tcPr>
          <w:p>
            <w:pPr>
              <w:ind w:left="200"/>
              <w:spacing w:after="0"/>
              <w:rPr>
                <w:sz w:val="20"/>
                <w:szCs w:val="20"/>
                <w:color w:val="auto"/>
              </w:rPr>
            </w:pPr>
            <w:r>
              <w:rPr>
                <w:rFonts w:ascii="Courier New" w:cs="Courier New" w:eastAsia="Courier New" w:hAnsi="Courier New"/>
                <w:sz w:val="13"/>
                <w:szCs w:val="13"/>
                <w:color w:val="auto"/>
              </w:rPr>
              <w:t>approximately $0 and $1,900 to this customer. As of December 31, 2001,</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154"/>
        </w:trPr>
        <w:tc>
          <w:tcPr>
            <w:tcW w:w="360" w:type="dxa"/>
            <w:vAlign w:val="bottom"/>
          </w:tcPr>
          <w:p>
            <w:pPr>
              <w:spacing w:after="0"/>
              <w:rPr>
                <w:sz w:val="13"/>
                <w:szCs w:val="13"/>
                <w:color w:val="auto"/>
              </w:rPr>
            </w:pPr>
          </w:p>
        </w:tc>
        <w:tc>
          <w:tcPr>
            <w:tcW w:w="5100" w:type="dxa"/>
            <w:vAlign w:val="bottom"/>
            <w:gridSpan w:val="4"/>
          </w:tcPr>
          <w:p>
            <w:pPr>
              <w:ind w:left="200"/>
              <w:spacing w:after="0"/>
              <w:rPr>
                <w:sz w:val="20"/>
                <w:szCs w:val="20"/>
                <w:color w:val="auto"/>
              </w:rPr>
            </w:pPr>
            <w:r>
              <w:rPr>
                <w:rFonts w:ascii="Courier New" w:cs="Courier New" w:eastAsia="Courier New" w:hAnsi="Courier New"/>
                <w:sz w:val="13"/>
                <w:szCs w:val="13"/>
                <w:color w:val="auto"/>
              </w:rPr>
              <w:t>the Company increased its allowance for doubtful accounts by</w:t>
            </w:r>
          </w:p>
        </w:tc>
        <w:tc>
          <w:tcPr>
            <w:tcW w:w="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154"/>
        </w:trPr>
        <w:tc>
          <w:tcPr>
            <w:tcW w:w="360" w:type="dxa"/>
            <w:vAlign w:val="bottom"/>
          </w:tcPr>
          <w:p>
            <w:pPr>
              <w:spacing w:after="0"/>
              <w:rPr>
                <w:sz w:val="13"/>
                <w:szCs w:val="13"/>
                <w:color w:val="auto"/>
              </w:rPr>
            </w:pPr>
          </w:p>
        </w:tc>
        <w:tc>
          <w:tcPr>
            <w:tcW w:w="6620" w:type="dxa"/>
            <w:vAlign w:val="bottom"/>
            <w:gridSpan w:val="6"/>
          </w:tcPr>
          <w:p>
            <w:pPr>
              <w:ind w:left="200"/>
              <w:spacing w:after="0"/>
              <w:rPr>
                <w:sz w:val="20"/>
                <w:szCs w:val="20"/>
                <w:color w:val="auto"/>
              </w:rPr>
            </w:pPr>
            <w:r>
              <w:rPr>
                <w:rFonts w:ascii="Courier New" w:cs="Courier New" w:eastAsia="Courier New" w:hAnsi="Courier New"/>
                <w:sz w:val="13"/>
                <w:szCs w:val="13"/>
                <w:color w:val="auto"/>
              </w:rPr>
              <w:t>approximately $829 as a result of this bankruptcy filing. This receivable</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154"/>
        </w:trPr>
        <w:tc>
          <w:tcPr>
            <w:tcW w:w="360" w:type="dxa"/>
            <w:vAlign w:val="bottom"/>
          </w:tcPr>
          <w:p>
            <w:pPr>
              <w:spacing w:after="0"/>
              <w:rPr>
                <w:sz w:val="13"/>
                <w:szCs w:val="13"/>
                <w:color w:val="auto"/>
              </w:rPr>
            </w:pPr>
          </w:p>
        </w:tc>
        <w:tc>
          <w:tcPr>
            <w:tcW w:w="4060" w:type="dxa"/>
            <w:vAlign w:val="bottom"/>
            <w:gridSpan w:val="3"/>
          </w:tcPr>
          <w:p>
            <w:pPr>
              <w:ind w:left="200"/>
              <w:spacing w:after="0"/>
              <w:rPr>
                <w:sz w:val="20"/>
                <w:szCs w:val="20"/>
                <w:color w:val="auto"/>
              </w:rPr>
            </w:pPr>
            <w:r>
              <w:rPr>
                <w:rFonts w:ascii="Courier New" w:cs="Courier New" w:eastAsia="Courier New" w:hAnsi="Courier New"/>
                <w:sz w:val="13"/>
                <w:szCs w:val="13"/>
                <w:color w:val="auto"/>
              </w:rPr>
              <w:t>is fully reserved as of December 31, 2001.</w:t>
            </w: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308"/>
        </w:trPr>
        <w:tc>
          <w:tcPr>
            <w:tcW w:w="360" w:type="dxa"/>
            <w:vAlign w:val="bottom"/>
          </w:tcPr>
          <w:p>
            <w:pPr>
              <w:jc w:val="right"/>
              <w:ind w:right="53"/>
              <w:spacing w:after="0"/>
              <w:rPr>
                <w:sz w:val="20"/>
                <w:szCs w:val="20"/>
                <w:color w:val="auto"/>
              </w:rPr>
            </w:pPr>
            <w:r>
              <w:rPr>
                <w:rFonts w:ascii="Courier New" w:cs="Courier New" w:eastAsia="Courier New" w:hAnsi="Courier New"/>
                <w:sz w:val="13"/>
                <w:szCs w:val="13"/>
                <w:b w:val="1"/>
                <w:bCs w:val="1"/>
                <w:color w:val="auto"/>
                <w:w w:val="93"/>
              </w:rPr>
              <w:t>(6)</w:t>
            </w:r>
          </w:p>
        </w:tc>
        <w:tc>
          <w:tcPr>
            <w:tcW w:w="2160" w:type="dxa"/>
            <w:vAlign w:val="bottom"/>
          </w:tcPr>
          <w:p>
            <w:pPr>
              <w:ind w:left="200"/>
              <w:spacing w:after="0"/>
              <w:rPr>
                <w:sz w:val="20"/>
                <w:szCs w:val="20"/>
                <w:color w:val="auto"/>
              </w:rPr>
            </w:pPr>
            <w:r>
              <w:rPr>
                <w:rFonts w:ascii="Courier New" w:cs="Courier New" w:eastAsia="Courier New" w:hAnsi="Courier New"/>
                <w:sz w:val="13"/>
                <w:szCs w:val="13"/>
                <w:b w:val="1"/>
                <w:bCs w:val="1"/>
                <w:color w:val="auto"/>
              </w:rPr>
              <w:t>Inventories</w:t>
            </w: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308"/>
        </w:trPr>
        <w:tc>
          <w:tcPr>
            <w:tcW w:w="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3"/>
                <w:szCs w:val="13"/>
                <w:b w:val="1"/>
                <w:bCs w:val="1"/>
                <w:color w:val="auto"/>
              </w:rPr>
              <w:t>December 31,</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154"/>
        </w:trPr>
        <w:tc>
          <w:tcPr>
            <w:tcW w:w="3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40" w:type="dxa"/>
            <w:vAlign w:val="bottom"/>
          </w:tcPr>
          <w:p>
            <w:pPr>
              <w:jc w:val="right"/>
              <w:ind w:right="573"/>
              <w:spacing w:after="0"/>
              <w:rPr>
                <w:sz w:val="20"/>
                <w:szCs w:val="20"/>
                <w:color w:val="auto"/>
              </w:rPr>
            </w:pPr>
            <w:r>
              <w:rPr>
                <w:rFonts w:ascii="Courier New" w:cs="Courier New" w:eastAsia="Courier New" w:hAnsi="Courier New"/>
                <w:sz w:val="13"/>
                <w:szCs w:val="13"/>
                <w:b w:val="1"/>
                <w:bCs w:val="1"/>
                <w:color w:val="auto"/>
              </w:rPr>
              <w:t>2002</w:t>
            </w:r>
          </w:p>
        </w:tc>
        <w:tc>
          <w:tcPr>
            <w:tcW w:w="480" w:type="dxa"/>
            <w:vAlign w:val="bottom"/>
          </w:tcPr>
          <w:p>
            <w:pPr>
              <w:spacing w:after="0"/>
              <w:rPr>
                <w:sz w:val="13"/>
                <w:szCs w:val="13"/>
                <w:color w:val="auto"/>
              </w:rPr>
            </w:pPr>
          </w:p>
        </w:tc>
        <w:tc>
          <w:tcPr>
            <w:tcW w:w="1040" w:type="dxa"/>
            <w:vAlign w:val="bottom"/>
          </w:tcPr>
          <w:p>
            <w:pPr>
              <w:jc w:val="right"/>
              <w:ind w:right="493"/>
              <w:spacing w:after="0"/>
              <w:rPr>
                <w:sz w:val="20"/>
                <w:szCs w:val="20"/>
                <w:color w:val="auto"/>
              </w:rPr>
            </w:pPr>
            <w:r>
              <w:rPr>
                <w:rFonts w:ascii="Courier New" w:cs="Courier New" w:eastAsia="Courier New" w:hAnsi="Courier New"/>
                <w:sz w:val="13"/>
                <w:szCs w:val="13"/>
                <w:b w:val="1"/>
                <w:bCs w:val="1"/>
                <w:color w:val="auto"/>
              </w:rPr>
              <w:t>2001</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154"/>
        </w:trPr>
        <w:tc>
          <w:tcPr>
            <w:tcW w:w="3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13"/>
                <w:szCs w:val="13"/>
                <w:b w:val="1"/>
                <w:bCs w:val="1"/>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3"/>
                <w:szCs w:val="13"/>
                <w:b w:val="1"/>
                <w:bCs w:val="1"/>
                <w:color w:val="auto"/>
              </w:rPr>
              <w:t>----------------</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308"/>
        </w:trPr>
        <w:tc>
          <w:tcPr>
            <w:tcW w:w="360" w:type="dxa"/>
            <w:vAlign w:val="bottom"/>
          </w:tcPr>
          <w:p>
            <w:pPr>
              <w:spacing w:after="0"/>
              <w:rPr>
                <w:sz w:val="24"/>
                <w:szCs w:val="24"/>
                <w:color w:val="auto"/>
              </w:rPr>
            </w:pPr>
          </w:p>
        </w:tc>
        <w:tc>
          <w:tcPr>
            <w:tcW w:w="2160" w:type="dxa"/>
            <w:vAlign w:val="bottom"/>
          </w:tcPr>
          <w:p>
            <w:pPr>
              <w:ind w:left="120"/>
              <w:spacing w:after="0"/>
              <w:rPr>
                <w:sz w:val="20"/>
                <w:szCs w:val="20"/>
                <w:color w:val="auto"/>
              </w:rPr>
            </w:pPr>
            <w:r>
              <w:rPr>
                <w:rFonts w:ascii="Courier New" w:cs="Courier New" w:eastAsia="Courier New" w:hAnsi="Courier New"/>
                <w:sz w:val="13"/>
                <w:szCs w:val="13"/>
                <w:color w:val="auto"/>
              </w:rPr>
              <w:t>Raw materials</w:t>
            </w: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   5,400</w:t>
            </w:r>
          </w:p>
        </w:tc>
        <w:tc>
          <w:tcPr>
            <w:tcW w:w="4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3"/>
                <w:szCs w:val="13"/>
                <w:color w:val="auto"/>
              </w:rPr>
              <w:t>$   5,494</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154"/>
        </w:trPr>
        <w:tc>
          <w:tcPr>
            <w:tcW w:w="360" w:type="dxa"/>
            <w:vAlign w:val="bottom"/>
          </w:tcPr>
          <w:p>
            <w:pPr>
              <w:spacing w:after="0"/>
              <w:rPr>
                <w:sz w:val="13"/>
                <w:szCs w:val="13"/>
                <w:color w:val="auto"/>
              </w:rPr>
            </w:pPr>
          </w:p>
        </w:tc>
        <w:tc>
          <w:tcPr>
            <w:tcW w:w="2160" w:type="dxa"/>
            <w:vAlign w:val="bottom"/>
          </w:tcPr>
          <w:p>
            <w:pPr>
              <w:ind w:left="120"/>
              <w:spacing w:after="0"/>
              <w:rPr>
                <w:sz w:val="20"/>
                <w:szCs w:val="20"/>
                <w:color w:val="auto"/>
              </w:rPr>
            </w:pPr>
            <w:r>
              <w:rPr>
                <w:rFonts w:ascii="Courier New" w:cs="Courier New" w:eastAsia="Courier New" w:hAnsi="Courier New"/>
                <w:sz w:val="13"/>
                <w:szCs w:val="13"/>
                <w:color w:val="auto"/>
              </w:rPr>
              <w:t>Work in process</w:t>
            </w: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5,139</w:t>
            </w:r>
          </w:p>
        </w:tc>
        <w:tc>
          <w:tcPr>
            <w:tcW w:w="4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3"/>
                <w:szCs w:val="13"/>
                <w:color w:val="auto"/>
              </w:rPr>
              <w:t>5,016</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154"/>
        </w:trPr>
        <w:tc>
          <w:tcPr>
            <w:tcW w:w="360" w:type="dxa"/>
            <w:vAlign w:val="bottom"/>
          </w:tcPr>
          <w:p>
            <w:pPr>
              <w:spacing w:after="0"/>
              <w:rPr>
                <w:sz w:val="13"/>
                <w:szCs w:val="13"/>
                <w:color w:val="auto"/>
              </w:rPr>
            </w:pPr>
          </w:p>
        </w:tc>
        <w:tc>
          <w:tcPr>
            <w:tcW w:w="2160" w:type="dxa"/>
            <w:vAlign w:val="bottom"/>
          </w:tcPr>
          <w:p>
            <w:pPr>
              <w:ind w:left="120"/>
              <w:spacing w:after="0"/>
              <w:rPr>
                <w:sz w:val="20"/>
                <w:szCs w:val="20"/>
                <w:color w:val="auto"/>
              </w:rPr>
            </w:pPr>
            <w:r>
              <w:rPr>
                <w:rFonts w:ascii="Courier New" w:cs="Courier New" w:eastAsia="Courier New" w:hAnsi="Courier New"/>
                <w:sz w:val="13"/>
                <w:szCs w:val="13"/>
                <w:color w:val="auto"/>
              </w:rPr>
              <w:t>Finished goods</w:t>
            </w: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13,065</w:t>
            </w:r>
          </w:p>
        </w:tc>
        <w:tc>
          <w:tcPr>
            <w:tcW w:w="4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3"/>
                <w:szCs w:val="13"/>
                <w:color w:val="auto"/>
              </w:rPr>
              <w:t>13,065</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154"/>
        </w:trPr>
        <w:tc>
          <w:tcPr>
            <w:tcW w:w="360" w:type="dxa"/>
            <w:vAlign w:val="bottom"/>
          </w:tcPr>
          <w:p>
            <w:pPr>
              <w:spacing w:after="0"/>
              <w:rPr>
                <w:sz w:val="13"/>
                <w:szCs w:val="13"/>
                <w:color w:val="auto"/>
              </w:rPr>
            </w:pPr>
          </w:p>
        </w:tc>
        <w:tc>
          <w:tcPr>
            <w:tcW w:w="2160" w:type="dxa"/>
            <w:vAlign w:val="bottom"/>
          </w:tcPr>
          <w:p>
            <w:pPr>
              <w:ind w:left="120"/>
              <w:spacing w:after="0"/>
              <w:rPr>
                <w:sz w:val="20"/>
                <w:szCs w:val="20"/>
                <w:color w:val="auto"/>
              </w:rPr>
            </w:pPr>
            <w:r>
              <w:rPr>
                <w:rFonts w:ascii="Courier New" w:cs="Courier New" w:eastAsia="Courier New" w:hAnsi="Courier New"/>
                <w:sz w:val="13"/>
                <w:szCs w:val="13"/>
                <w:color w:val="auto"/>
              </w:rPr>
              <w:t>Less-inventory reserve</w:t>
            </w: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(202)</w:t>
            </w:r>
          </w:p>
        </w:tc>
        <w:tc>
          <w:tcPr>
            <w:tcW w:w="480" w:type="dxa"/>
            <w:vAlign w:val="bottom"/>
          </w:tcPr>
          <w:p>
            <w:pPr>
              <w:spacing w:after="0"/>
              <w:rPr>
                <w:sz w:val="13"/>
                <w:szCs w:val="13"/>
                <w:color w:val="auto"/>
              </w:rPr>
            </w:pPr>
          </w:p>
        </w:tc>
        <w:tc>
          <w:tcPr>
            <w:tcW w:w="1320" w:type="dxa"/>
            <w:vAlign w:val="bottom"/>
            <w:gridSpan w:val="2"/>
          </w:tcPr>
          <w:p>
            <w:pPr>
              <w:jc w:val="right"/>
              <w:ind w:right="133"/>
              <w:spacing w:after="0"/>
              <w:rPr>
                <w:sz w:val="20"/>
                <w:szCs w:val="20"/>
                <w:color w:val="auto"/>
              </w:rPr>
            </w:pPr>
            <w:r>
              <w:rPr>
                <w:rFonts w:ascii="Courier New" w:cs="Courier New" w:eastAsia="Courier New" w:hAnsi="Courier New"/>
                <w:sz w:val="13"/>
                <w:szCs w:val="13"/>
                <w:color w:val="auto"/>
              </w:rPr>
              <w:t>(157)</w:t>
            </w:r>
          </w:p>
        </w:tc>
        <w:tc>
          <w:tcPr>
            <w:tcW w:w="92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154"/>
        </w:trPr>
        <w:tc>
          <w:tcPr>
            <w:tcW w:w="3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308"/>
        </w:trPr>
        <w:tc>
          <w:tcPr>
            <w:tcW w:w="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$ 23,402</w:t>
            </w:r>
          </w:p>
        </w:tc>
        <w:tc>
          <w:tcPr>
            <w:tcW w:w="4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3"/>
                <w:szCs w:val="13"/>
                <w:color w:val="auto"/>
              </w:rPr>
              <w:t>$ 23,418</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154"/>
        </w:trPr>
        <w:tc>
          <w:tcPr>
            <w:tcW w:w="3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8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-5102225</wp:posOffset>
            </wp:positionV>
            <wp:extent cx="3175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-5102225</wp:posOffset>
            </wp:positionV>
            <wp:extent cx="3175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pacing w:after="0" w:line="139"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Inventory on consignment at December 31, 2002 and 2001 was approximately</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$ 3,093 and $2,908, respectively.</w:t>
      </w:r>
    </w:p>
    <w:p>
      <w:pPr>
        <w:spacing w:after="0" w:line="161" w:lineRule="exact"/>
        <w:rPr>
          <w:sz w:val="20"/>
          <w:szCs w:val="20"/>
          <w:color w:val="auto"/>
        </w:rPr>
      </w:pPr>
    </w:p>
    <w:p>
      <w:pPr>
        <w:ind w:left="560" w:hanging="478"/>
        <w:spacing w:after="0"/>
        <w:tabs>
          <w:tab w:leader="none" w:pos="560" w:val="left"/>
        </w:tabs>
        <w:numPr>
          <w:ilvl w:val="0"/>
          <w:numId w:val="14"/>
        </w:numPr>
        <w:rPr>
          <w:rFonts w:ascii="Courier New" w:cs="Courier New" w:eastAsia="Courier New" w:hAnsi="Courier New"/>
          <w:sz w:val="13"/>
          <w:szCs w:val="13"/>
          <w:b w:val="1"/>
          <w:bCs w:val="1"/>
          <w:color w:val="auto"/>
        </w:rPr>
      </w:pPr>
      <w:r>
        <w:rPr>
          <w:rFonts w:ascii="Courier New" w:cs="Courier New" w:eastAsia="Courier New" w:hAnsi="Courier New"/>
          <w:sz w:val="13"/>
          <w:szCs w:val="13"/>
          <w:b w:val="1"/>
          <w:bCs w:val="1"/>
          <w:color w:val="auto"/>
        </w:rPr>
        <w:t>Property, Plant and Equipment</w:t>
      </w:r>
    </w:p>
    <w:p>
      <w:pPr>
        <w:spacing w:after="0" w:line="161" w:lineRule="exact"/>
        <w:rPr>
          <w:sz w:val="20"/>
          <w:szCs w:val="20"/>
          <w:color w:val="auto"/>
        </w:rPr>
      </w:pPr>
    </w:p>
    <w:tbl>
      <w:tblPr>
        <w:tblLayout w:type="fixed"/>
        <w:tblInd w:w="480" w:type="dxa"/>
        <w:tblCellMar>
          <w:top w:w="0" w:type="dxa"/>
          <w:left w:w="0" w:type="dxa"/>
          <w:bottom w:w="0" w:type="dxa"/>
          <w:right w:w="0" w:type="dxa"/>
        </w:tblCellMar>
      </w:tblPr>
      <w:tr>
        <w:trPr>
          <w:trHeight w:val="149"/>
        </w:trPr>
        <w:tc>
          <w:tcPr>
            <w:tcW w:w="3020" w:type="dxa"/>
            <w:vAlign w:val="bottom"/>
          </w:tcPr>
          <w:p>
            <w:pPr>
              <w:spacing w:after="0"/>
              <w:rPr>
                <w:sz w:val="12"/>
                <w:szCs w:val="12"/>
                <w:color w:val="auto"/>
              </w:rPr>
            </w:pPr>
          </w:p>
        </w:tc>
        <w:tc>
          <w:tcPr>
            <w:tcW w:w="2080" w:type="dxa"/>
            <w:vAlign w:val="bottom"/>
          </w:tcPr>
          <w:p>
            <w:pPr>
              <w:ind w:left="840"/>
              <w:spacing w:after="0"/>
              <w:rPr>
                <w:sz w:val="20"/>
                <w:szCs w:val="20"/>
                <w:color w:val="auto"/>
              </w:rPr>
            </w:pPr>
            <w:r>
              <w:rPr>
                <w:rFonts w:ascii="Courier New" w:cs="Courier New" w:eastAsia="Courier New" w:hAnsi="Courier New"/>
                <w:sz w:val="13"/>
                <w:szCs w:val="13"/>
                <w:b w:val="1"/>
                <w:bCs w:val="1"/>
                <w:color w:val="auto"/>
              </w:rPr>
              <w:t>Estimated</w:t>
            </w:r>
          </w:p>
        </w:tc>
        <w:tc>
          <w:tcPr>
            <w:tcW w:w="2600" w:type="dxa"/>
            <w:vAlign w:val="bottom"/>
            <w:gridSpan w:val="2"/>
          </w:tcPr>
          <w:p>
            <w:pPr>
              <w:jc w:val="right"/>
              <w:ind w:right="813"/>
              <w:spacing w:after="0"/>
              <w:rPr>
                <w:sz w:val="20"/>
                <w:szCs w:val="20"/>
                <w:color w:val="auto"/>
              </w:rPr>
            </w:pPr>
            <w:r>
              <w:rPr>
                <w:rFonts w:ascii="Courier New" w:cs="Courier New" w:eastAsia="Courier New" w:hAnsi="Courier New"/>
                <w:sz w:val="13"/>
                <w:szCs w:val="13"/>
                <w:b w:val="1"/>
                <w:bCs w:val="1"/>
                <w:color w:val="auto"/>
              </w:rPr>
              <w:t>December 31,</w:t>
            </w:r>
          </w:p>
        </w:tc>
      </w:tr>
      <w:tr>
        <w:trPr>
          <w:trHeight w:val="154"/>
        </w:trPr>
        <w:tc>
          <w:tcPr>
            <w:tcW w:w="3020" w:type="dxa"/>
            <w:vAlign w:val="bottom"/>
          </w:tcPr>
          <w:p>
            <w:pPr>
              <w:spacing w:after="0"/>
              <w:rPr>
                <w:sz w:val="13"/>
                <w:szCs w:val="13"/>
                <w:color w:val="auto"/>
              </w:rPr>
            </w:pPr>
          </w:p>
        </w:tc>
        <w:tc>
          <w:tcPr>
            <w:tcW w:w="2080" w:type="dxa"/>
            <w:vAlign w:val="bottom"/>
          </w:tcPr>
          <w:p>
            <w:pPr>
              <w:ind w:left="760"/>
              <w:spacing w:after="0"/>
              <w:rPr>
                <w:sz w:val="20"/>
                <w:szCs w:val="20"/>
                <w:color w:val="auto"/>
              </w:rPr>
            </w:pPr>
            <w:r>
              <w:rPr>
                <w:rFonts w:ascii="Courier New" w:cs="Courier New" w:eastAsia="Courier New" w:hAnsi="Courier New"/>
                <w:sz w:val="13"/>
                <w:szCs w:val="13"/>
                <w:b w:val="1"/>
                <w:bCs w:val="1"/>
                <w:color w:val="auto"/>
              </w:rPr>
              <w:t>Useful Life</w:t>
            </w:r>
          </w:p>
        </w:tc>
        <w:tc>
          <w:tcPr>
            <w:tcW w:w="1400" w:type="dxa"/>
            <w:vAlign w:val="bottom"/>
          </w:tcPr>
          <w:p>
            <w:pPr>
              <w:jc w:val="right"/>
              <w:ind w:right="493"/>
              <w:spacing w:after="0"/>
              <w:rPr>
                <w:sz w:val="20"/>
                <w:szCs w:val="20"/>
                <w:color w:val="auto"/>
              </w:rPr>
            </w:pPr>
            <w:r>
              <w:rPr>
                <w:rFonts w:ascii="Courier New" w:cs="Courier New" w:eastAsia="Courier New" w:hAnsi="Courier New"/>
                <w:sz w:val="13"/>
                <w:szCs w:val="13"/>
                <w:b w:val="1"/>
                <w:bCs w:val="1"/>
                <w:color w:val="auto"/>
              </w:rPr>
              <w:t>2002</w:t>
            </w:r>
          </w:p>
        </w:tc>
        <w:tc>
          <w:tcPr>
            <w:tcW w:w="1200" w:type="dxa"/>
            <w:vAlign w:val="bottom"/>
          </w:tcPr>
          <w:p>
            <w:pPr>
              <w:jc w:val="right"/>
              <w:ind w:right="413"/>
              <w:spacing w:after="0"/>
              <w:rPr>
                <w:sz w:val="20"/>
                <w:szCs w:val="20"/>
                <w:color w:val="auto"/>
              </w:rPr>
            </w:pPr>
            <w:r>
              <w:rPr>
                <w:rFonts w:ascii="Courier New" w:cs="Courier New" w:eastAsia="Courier New" w:hAnsi="Courier New"/>
                <w:sz w:val="13"/>
                <w:szCs w:val="13"/>
                <w:b w:val="1"/>
                <w:bCs w:val="1"/>
                <w:color w:val="auto"/>
              </w:rPr>
              <w:t>2001</w:t>
            </w:r>
          </w:p>
        </w:tc>
      </w:tr>
      <w:tr>
        <w:trPr>
          <w:trHeight w:val="154"/>
        </w:trPr>
        <w:tc>
          <w:tcPr>
            <w:tcW w:w="3020" w:type="dxa"/>
            <w:vAlign w:val="bottom"/>
          </w:tcPr>
          <w:p>
            <w:pPr>
              <w:spacing w:after="0"/>
              <w:rPr>
                <w:sz w:val="13"/>
                <w:szCs w:val="13"/>
                <w:color w:val="auto"/>
              </w:rPr>
            </w:pPr>
          </w:p>
        </w:tc>
        <w:tc>
          <w:tcPr>
            <w:tcW w:w="2080" w:type="dxa"/>
            <w:vAlign w:val="bottom"/>
          </w:tcPr>
          <w:p>
            <w:pPr>
              <w:ind w:left="520"/>
              <w:spacing w:after="0"/>
              <w:rPr>
                <w:sz w:val="20"/>
                <w:szCs w:val="20"/>
                <w:color w:val="auto"/>
              </w:rPr>
            </w:pPr>
            <w:r>
              <w:rPr>
                <w:rFonts w:ascii="Courier New" w:cs="Courier New" w:eastAsia="Courier New" w:hAnsi="Courier New"/>
                <w:sz w:val="13"/>
                <w:szCs w:val="13"/>
                <w:b w:val="1"/>
                <w:bCs w:val="1"/>
                <w:color w:val="auto"/>
              </w:rPr>
              <w:t>------------------</w:t>
            </w:r>
          </w:p>
        </w:tc>
        <w:tc>
          <w:tcPr>
            <w:tcW w:w="1400" w:type="dxa"/>
            <w:vAlign w:val="bottom"/>
          </w:tcPr>
          <w:p>
            <w:pPr>
              <w:jc w:val="right"/>
              <w:ind w:right="13"/>
              <w:spacing w:after="0"/>
              <w:rPr>
                <w:sz w:val="20"/>
                <w:szCs w:val="20"/>
                <w:color w:val="auto"/>
              </w:rPr>
            </w:pPr>
            <w:r>
              <w:rPr>
                <w:rFonts w:ascii="Courier New" w:cs="Courier New" w:eastAsia="Courier New" w:hAnsi="Courier New"/>
                <w:sz w:val="13"/>
                <w:szCs w:val="13"/>
                <w:b w:val="1"/>
                <w:bCs w:val="1"/>
                <w:color w:val="auto"/>
              </w:rPr>
              <w:t>---------------</w:t>
            </w:r>
          </w:p>
        </w:tc>
        <w:tc>
          <w:tcPr>
            <w:tcW w:w="1200" w:type="dxa"/>
            <w:vAlign w:val="bottom"/>
          </w:tcPr>
          <w:p>
            <w:pPr>
              <w:jc w:val="right"/>
              <w:ind w:right="13"/>
              <w:spacing w:after="0"/>
              <w:rPr>
                <w:sz w:val="20"/>
                <w:szCs w:val="20"/>
                <w:color w:val="auto"/>
              </w:rPr>
            </w:pPr>
            <w:r>
              <w:rPr>
                <w:rFonts w:ascii="Courier New" w:cs="Courier New" w:eastAsia="Courier New" w:hAnsi="Courier New"/>
                <w:sz w:val="13"/>
                <w:szCs w:val="13"/>
                <w:b w:val="1"/>
                <w:bCs w:val="1"/>
                <w:color w:val="auto"/>
              </w:rPr>
              <w:t>-------------</w:t>
            </w:r>
          </w:p>
        </w:tc>
      </w:tr>
      <w:tr>
        <w:trPr>
          <w:trHeight w:val="308"/>
        </w:trPr>
        <w:tc>
          <w:tcPr>
            <w:tcW w:w="3020" w:type="dxa"/>
            <w:vAlign w:val="bottom"/>
          </w:tcPr>
          <w:p>
            <w:pPr>
              <w:spacing w:after="0"/>
              <w:rPr>
                <w:sz w:val="20"/>
                <w:szCs w:val="20"/>
                <w:color w:val="auto"/>
              </w:rPr>
            </w:pPr>
            <w:r>
              <w:rPr>
                <w:rFonts w:ascii="Courier New" w:cs="Courier New" w:eastAsia="Courier New" w:hAnsi="Courier New"/>
                <w:sz w:val="13"/>
                <w:szCs w:val="13"/>
                <w:color w:val="auto"/>
              </w:rPr>
              <w:t>Land</w:t>
            </w:r>
          </w:p>
        </w:tc>
        <w:tc>
          <w:tcPr>
            <w:tcW w:w="2080" w:type="dxa"/>
            <w:vAlign w:val="bottom"/>
          </w:tcPr>
          <w:p>
            <w:pPr>
              <w:spacing w:after="0"/>
              <w:rPr>
                <w:sz w:val="24"/>
                <w:szCs w:val="24"/>
                <w:color w:val="auto"/>
              </w:rPr>
            </w:pPr>
          </w:p>
        </w:tc>
        <w:tc>
          <w:tcPr>
            <w:tcW w:w="14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   2,058</w:t>
            </w:r>
          </w:p>
        </w:tc>
        <w:tc>
          <w:tcPr>
            <w:tcW w:w="1200" w:type="dxa"/>
            <w:vAlign w:val="bottom"/>
          </w:tcPr>
          <w:p>
            <w:pPr>
              <w:jc w:val="right"/>
              <w:spacing w:after="0"/>
              <w:rPr>
                <w:sz w:val="20"/>
                <w:szCs w:val="20"/>
                <w:color w:val="auto"/>
              </w:rPr>
            </w:pPr>
            <w:r>
              <w:rPr>
                <w:rFonts w:ascii="Courier New" w:cs="Courier New" w:eastAsia="Courier New" w:hAnsi="Courier New"/>
                <w:sz w:val="13"/>
                <w:szCs w:val="13"/>
                <w:color w:val="auto"/>
              </w:rPr>
              <w:t>$   1,830</w:t>
            </w:r>
          </w:p>
        </w:tc>
      </w:tr>
      <w:tr>
        <w:trPr>
          <w:trHeight w:val="154"/>
        </w:trPr>
        <w:tc>
          <w:tcPr>
            <w:tcW w:w="3020" w:type="dxa"/>
            <w:vAlign w:val="bottom"/>
          </w:tcPr>
          <w:p>
            <w:pPr>
              <w:spacing w:after="0"/>
              <w:rPr>
                <w:sz w:val="20"/>
                <w:szCs w:val="20"/>
                <w:color w:val="auto"/>
              </w:rPr>
            </w:pPr>
            <w:r>
              <w:rPr>
                <w:rFonts w:ascii="Courier New" w:cs="Courier New" w:eastAsia="Courier New" w:hAnsi="Courier New"/>
                <w:sz w:val="13"/>
                <w:szCs w:val="13"/>
                <w:color w:val="auto"/>
              </w:rPr>
              <w:t>Buildings and improvements</w:t>
            </w:r>
          </w:p>
        </w:tc>
        <w:tc>
          <w:tcPr>
            <w:tcW w:w="2080" w:type="dxa"/>
            <w:vAlign w:val="bottom"/>
          </w:tcPr>
          <w:p>
            <w:pPr>
              <w:ind w:left="760"/>
              <w:spacing w:after="0"/>
              <w:rPr>
                <w:sz w:val="20"/>
                <w:szCs w:val="20"/>
                <w:color w:val="auto"/>
              </w:rPr>
            </w:pPr>
            <w:r>
              <w:rPr>
                <w:rFonts w:ascii="Courier New" w:cs="Courier New" w:eastAsia="Courier New" w:hAnsi="Courier New"/>
                <w:sz w:val="13"/>
                <w:szCs w:val="13"/>
                <w:color w:val="auto"/>
              </w:rPr>
              <w:t>10-25 years</w:t>
            </w:r>
          </w:p>
        </w:tc>
        <w:tc>
          <w:tcPr>
            <w:tcW w:w="14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23,877</w:t>
            </w:r>
          </w:p>
        </w:tc>
        <w:tc>
          <w:tcPr>
            <w:tcW w:w="1200" w:type="dxa"/>
            <w:vAlign w:val="bottom"/>
          </w:tcPr>
          <w:p>
            <w:pPr>
              <w:jc w:val="right"/>
              <w:spacing w:after="0"/>
              <w:rPr>
                <w:sz w:val="20"/>
                <w:szCs w:val="20"/>
                <w:color w:val="auto"/>
              </w:rPr>
            </w:pPr>
            <w:r>
              <w:rPr>
                <w:rFonts w:ascii="Courier New" w:cs="Courier New" w:eastAsia="Courier New" w:hAnsi="Courier New"/>
                <w:sz w:val="13"/>
                <w:szCs w:val="13"/>
                <w:color w:val="auto"/>
              </w:rPr>
              <w:t>20,286</w:t>
            </w:r>
          </w:p>
        </w:tc>
      </w:tr>
      <w:tr>
        <w:trPr>
          <w:trHeight w:val="154"/>
        </w:trPr>
        <w:tc>
          <w:tcPr>
            <w:tcW w:w="3020" w:type="dxa"/>
            <w:vAlign w:val="bottom"/>
          </w:tcPr>
          <w:p>
            <w:pPr>
              <w:spacing w:after="0"/>
              <w:rPr>
                <w:sz w:val="20"/>
                <w:szCs w:val="20"/>
                <w:color w:val="auto"/>
              </w:rPr>
            </w:pPr>
            <w:r>
              <w:rPr>
                <w:rFonts w:ascii="Courier New" w:cs="Courier New" w:eastAsia="Courier New" w:hAnsi="Courier New"/>
                <w:sz w:val="13"/>
                <w:szCs w:val="13"/>
                <w:color w:val="auto"/>
              </w:rPr>
              <w:t>Machinery and equipment</w:t>
            </w:r>
          </w:p>
        </w:tc>
        <w:tc>
          <w:tcPr>
            <w:tcW w:w="2080" w:type="dxa"/>
            <w:vAlign w:val="bottom"/>
          </w:tcPr>
          <w:p>
            <w:pPr>
              <w:ind w:left="760"/>
              <w:spacing w:after="0"/>
              <w:rPr>
                <w:sz w:val="20"/>
                <w:szCs w:val="20"/>
                <w:color w:val="auto"/>
              </w:rPr>
            </w:pPr>
            <w:r>
              <w:rPr>
                <w:rFonts w:ascii="Courier New" w:cs="Courier New" w:eastAsia="Courier New" w:hAnsi="Courier New"/>
                <w:sz w:val="13"/>
                <w:szCs w:val="13"/>
                <w:color w:val="auto"/>
              </w:rPr>
              <w:t>3-10 years</w:t>
            </w:r>
          </w:p>
        </w:tc>
        <w:tc>
          <w:tcPr>
            <w:tcW w:w="14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113,197</w:t>
            </w:r>
          </w:p>
        </w:tc>
        <w:tc>
          <w:tcPr>
            <w:tcW w:w="1200" w:type="dxa"/>
            <w:vAlign w:val="bottom"/>
          </w:tcPr>
          <w:p>
            <w:pPr>
              <w:jc w:val="right"/>
              <w:spacing w:after="0"/>
              <w:rPr>
                <w:sz w:val="20"/>
                <w:szCs w:val="20"/>
                <w:color w:val="auto"/>
              </w:rPr>
            </w:pPr>
            <w:r>
              <w:rPr>
                <w:rFonts w:ascii="Courier New" w:cs="Courier New" w:eastAsia="Courier New" w:hAnsi="Courier New"/>
                <w:sz w:val="13"/>
                <w:szCs w:val="13"/>
                <w:color w:val="auto"/>
              </w:rPr>
              <w:t>103,363</w:t>
            </w:r>
          </w:p>
        </w:tc>
      </w:tr>
      <w:tr>
        <w:trPr>
          <w:trHeight w:val="154"/>
        </w:trPr>
        <w:tc>
          <w:tcPr>
            <w:tcW w:w="3020" w:type="dxa"/>
            <w:vAlign w:val="bottom"/>
          </w:tcPr>
          <w:p>
            <w:pPr>
              <w:spacing w:after="0"/>
              <w:rPr>
                <w:sz w:val="20"/>
                <w:szCs w:val="20"/>
                <w:color w:val="auto"/>
              </w:rPr>
            </w:pPr>
            <w:r>
              <w:rPr>
                <w:rFonts w:ascii="Courier New" w:cs="Courier New" w:eastAsia="Courier New" w:hAnsi="Courier New"/>
                <w:sz w:val="13"/>
                <w:szCs w:val="13"/>
                <w:color w:val="auto"/>
              </w:rPr>
              <w:t>Construction in process</w:t>
            </w:r>
          </w:p>
        </w:tc>
        <w:tc>
          <w:tcPr>
            <w:tcW w:w="2080" w:type="dxa"/>
            <w:vAlign w:val="bottom"/>
          </w:tcPr>
          <w:p>
            <w:pPr>
              <w:spacing w:after="0"/>
              <w:rPr>
                <w:sz w:val="13"/>
                <w:szCs w:val="13"/>
                <w:color w:val="auto"/>
              </w:rPr>
            </w:pPr>
          </w:p>
        </w:tc>
        <w:tc>
          <w:tcPr>
            <w:tcW w:w="14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3,958</w:t>
            </w:r>
          </w:p>
        </w:tc>
        <w:tc>
          <w:tcPr>
            <w:tcW w:w="1200" w:type="dxa"/>
            <w:vAlign w:val="bottom"/>
          </w:tcPr>
          <w:p>
            <w:pPr>
              <w:jc w:val="right"/>
              <w:spacing w:after="0"/>
              <w:rPr>
                <w:sz w:val="20"/>
                <w:szCs w:val="20"/>
                <w:color w:val="auto"/>
              </w:rPr>
            </w:pPr>
            <w:r>
              <w:rPr>
                <w:rFonts w:ascii="Courier New" w:cs="Courier New" w:eastAsia="Courier New" w:hAnsi="Courier New"/>
                <w:sz w:val="13"/>
                <w:szCs w:val="13"/>
                <w:color w:val="auto"/>
              </w:rPr>
              <w:t>1,577</w:t>
            </w:r>
          </w:p>
        </w:tc>
      </w:tr>
      <w:tr>
        <w:trPr>
          <w:trHeight w:val="154"/>
        </w:trPr>
        <w:tc>
          <w:tcPr>
            <w:tcW w:w="30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4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308"/>
        </w:trPr>
        <w:tc>
          <w:tcPr>
            <w:tcW w:w="30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143,090</w:t>
            </w:r>
          </w:p>
        </w:tc>
        <w:tc>
          <w:tcPr>
            <w:tcW w:w="1200" w:type="dxa"/>
            <w:vAlign w:val="bottom"/>
          </w:tcPr>
          <w:p>
            <w:pPr>
              <w:jc w:val="right"/>
              <w:spacing w:after="0"/>
              <w:rPr>
                <w:sz w:val="20"/>
                <w:szCs w:val="20"/>
                <w:color w:val="auto"/>
              </w:rPr>
            </w:pPr>
            <w:r>
              <w:rPr>
                <w:rFonts w:ascii="Courier New" w:cs="Courier New" w:eastAsia="Courier New" w:hAnsi="Courier New"/>
                <w:sz w:val="13"/>
                <w:szCs w:val="13"/>
                <w:color w:val="auto"/>
              </w:rPr>
              <w:t>127,056</w:t>
            </w:r>
          </w:p>
        </w:tc>
      </w:tr>
      <w:tr>
        <w:trPr>
          <w:trHeight w:val="154"/>
        </w:trPr>
        <w:tc>
          <w:tcPr>
            <w:tcW w:w="3020" w:type="dxa"/>
            <w:vAlign w:val="bottom"/>
          </w:tcPr>
          <w:p>
            <w:pPr>
              <w:spacing w:after="0"/>
              <w:rPr>
                <w:sz w:val="20"/>
                <w:szCs w:val="20"/>
                <w:color w:val="auto"/>
              </w:rPr>
            </w:pPr>
            <w:r>
              <w:rPr>
                <w:rFonts w:ascii="Courier New" w:cs="Courier New" w:eastAsia="Courier New" w:hAnsi="Courier New"/>
                <w:sz w:val="13"/>
                <w:szCs w:val="13"/>
                <w:color w:val="auto"/>
              </w:rPr>
              <w:t>Less - accumulated depreciation</w:t>
            </w:r>
          </w:p>
        </w:tc>
        <w:tc>
          <w:tcPr>
            <w:tcW w:w="2080" w:type="dxa"/>
            <w:vAlign w:val="bottom"/>
          </w:tcPr>
          <w:p>
            <w:pPr>
              <w:spacing w:after="0"/>
              <w:rPr>
                <w:sz w:val="13"/>
                <w:szCs w:val="13"/>
                <w:color w:val="auto"/>
              </w:rPr>
            </w:pPr>
          </w:p>
        </w:tc>
        <w:tc>
          <w:tcPr>
            <w:tcW w:w="14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54,891</w:t>
            </w:r>
          </w:p>
        </w:tc>
        <w:tc>
          <w:tcPr>
            <w:tcW w:w="1200" w:type="dxa"/>
            <w:vAlign w:val="bottom"/>
          </w:tcPr>
          <w:p>
            <w:pPr>
              <w:jc w:val="right"/>
              <w:spacing w:after="0"/>
              <w:rPr>
                <w:sz w:val="20"/>
                <w:szCs w:val="20"/>
                <w:color w:val="auto"/>
              </w:rPr>
            </w:pPr>
            <w:r>
              <w:rPr>
                <w:rFonts w:ascii="Courier New" w:cs="Courier New" w:eastAsia="Courier New" w:hAnsi="Courier New"/>
                <w:sz w:val="13"/>
                <w:szCs w:val="13"/>
                <w:color w:val="auto"/>
              </w:rPr>
              <w:t>44,286</w:t>
            </w:r>
          </w:p>
        </w:tc>
      </w:tr>
      <w:tr>
        <w:trPr>
          <w:trHeight w:val="154"/>
        </w:trPr>
        <w:tc>
          <w:tcPr>
            <w:tcW w:w="30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4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30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4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$ 88,199</w:t>
            </w:r>
          </w:p>
        </w:tc>
        <w:tc>
          <w:tcPr>
            <w:tcW w:w="1200" w:type="dxa"/>
            <w:vAlign w:val="bottom"/>
          </w:tcPr>
          <w:p>
            <w:pPr>
              <w:jc w:val="right"/>
              <w:spacing w:after="0"/>
              <w:rPr>
                <w:sz w:val="20"/>
                <w:szCs w:val="20"/>
                <w:color w:val="auto"/>
              </w:rPr>
            </w:pPr>
            <w:r>
              <w:rPr>
                <w:rFonts w:ascii="Courier New" w:cs="Courier New" w:eastAsia="Courier New" w:hAnsi="Courier New"/>
                <w:sz w:val="13"/>
                <w:szCs w:val="13"/>
                <w:color w:val="auto"/>
              </w:rPr>
              <w:t>$ 82,770</w:t>
            </w:r>
          </w:p>
        </w:tc>
      </w:tr>
      <w:tr>
        <w:trPr>
          <w:trHeight w:val="154"/>
        </w:trPr>
        <w:tc>
          <w:tcPr>
            <w:tcW w:w="30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4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bl>
    <w:p>
      <w:pPr>
        <w:spacing w:after="0" w:line="159" w:lineRule="exact"/>
        <w:rPr>
          <w:sz w:val="20"/>
          <w:szCs w:val="20"/>
          <w:color w:val="auto"/>
        </w:rPr>
      </w:pPr>
    </w:p>
    <w:p>
      <w:pPr>
        <w:ind w:left="5700"/>
        <w:spacing w:after="0"/>
        <w:rPr>
          <w:sz w:val="20"/>
          <w:szCs w:val="20"/>
          <w:color w:val="auto"/>
        </w:rPr>
      </w:pPr>
      <w:r>
        <w:rPr>
          <w:rFonts w:ascii="Courier New" w:cs="Courier New" w:eastAsia="Courier New" w:hAnsi="Courier New"/>
          <w:sz w:val="13"/>
          <w:szCs w:val="13"/>
          <w:color w:val="auto"/>
        </w:rPr>
        <w:t>Continued</w:t>
      </w:r>
    </w:p>
    <w:p>
      <w:pPr>
        <w:spacing w:after="0" w:line="315"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040"/>
        <w:spacing w:after="0"/>
        <w:rPr>
          <w:sz w:val="20"/>
          <w:szCs w:val="20"/>
          <w:color w:val="auto"/>
        </w:rPr>
      </w:pPr>
      <w:r>
        <w:rPr>
          <w:rFonts w:ascii="Courier New" w:cs="Courier New" w:eastAsia="Courier New" w:hAnsi="Courier New"/>
          <w:sz w:val="13"/>
          <w:szCs w:val="13"/>
          <w:b w:val="1"/>
          <w:bCs w:val="1"/>
          <w:color w:val="auto"/>
        </w:rPr>
        <w:t>NN, Inc.</w:t>
      </w:r>
    </w:p>
    <w:p>
      <w:pPr>
        <w:spacing w:after="0" w:line="7" w:lineRule="exact"/>
        <w:rPr>
          <w:sz w:val="20"/>
          <w:szCs w:val="20"/>
          <w:color w:val="auto"/>
        </w:rPr>
      </w:pPr>
    </w:p>
    <w:p>
      <w:pPr>
        <w:jc w:val="center"/>
        <w:ind w:right="5040"/>
        <w:spacing w:after="0"/>
        <w:rPr>
          <w:sz w:val="20"/>
          <w:szCs w:val="20"/>
          <w:color w:val="auto"/>
        </w:rPr>
      </w:pPr>
      <w:r>
        <w:rPr>
          <w:rFonts w:ascii="Courier New" w:cs="Courier New" w:eastAsia="Courier New" w:hAnsi="Courier New"/>
          <w:sz w:val="13"/>
          <w:szCs w:val="13"/>
          <w:b w:val="1"/>
          <w:bCs w:val="1"/>
          <w:color w:val="auto"/>
        </w:rPr>
        <w:t>Notes to Consolidated Financial Statements</w:t>
      </w:r>
    </w:p>
    <w:p>
      <w:pPr>
        <w:spacing w:after="0" w:line="7" w:lineRule="exact"/>
        <w:rPr>
          <w:sz w:val="20"/>
          <w:szCs w:val="20"/>
          <w:color w:val="auto"/>
        </w:rPr>
      </w:pPr>
    </w:p>
    <w:p>
      <w:pPr>
        <w:ind w:left="1920"/>
        <w:spacing w:after="0"/>
        <w:rPr>
          <w:sz w:val="20"/>
          <w:szCs w:val="20"/>
          <w:color w:val="auto"/>
        </w:rPr>
      </w:pPr>
      <w:r>
        <w:rPr>
          <w:rFonts w:ascii="Courier New" w:cs="Courier New" w:eastAsia="Courier New" w:hAnsi="Courier New"/>
          <w:sz w:val="13"/>
          <w:szCs w:val="13"/>
          <w:b w:val="1"/>
          <w:bCs w:val="1"/>
          <w:color w:val="auto"/>
        </w:rPr>
        <w:t>December 31, 2002, 2001 and 2000</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3"/>
          <w:szCs w:val="13"/>
          <w:b w:val="1"/>
          <w:bCs w:val="1"/>
          <w:color w:val="auto"/>
        </w:rPr>
        <w:t>(In thousands, except per share data)</w:t>
      </w:r>
    </w:p>
    <w:p>
      <w:pPr>
        <w:spacing w:after="0" w:line="200" w:lineRule="exact"/>
        <w:rPr>
          <w:sz w:val="20"/>
          <w:szCs w:val="20"/>
          <w:color w:val="auto"/>
        </w:rPr>
      </w:pPr>
    </w:p>
    <w:p>
      <w:pPr>
        <w:spacing w:after="0" w:line="270" w:lineRule="exact"/>
        <w:rPr>
          <w:sz w:val="20"/>
          <w:szCs w:val="20"/>
          <w:color w:val="auto"/>
        </w:rPr>
      </w:pPr>
    </w:p>
    <w:p>
      <w:pPr>
        <w:ind w:left="560" w:right="5040"/>
        <w:spacing w:after="0" w:line="252" w:lineRule="auto"/>
        <w:rPr>
          <w:sz w:val="20"/>
          <w:szCs w:val="20"/>
          <w:color w:val="auto"/>
        </w:rPr>
      </w:pPr>
      <w:r>
        <w:rPr>
          <w:rFonts w:ascii="Courier New" w:cs="Courier New" w:eastAsia="Courier New" w:hAnsi="Courier New"/>
          <w:sz w:val="13"/>
          <w:szCs w:val="13"/>
          <w:color w:val="auto"/>
        </w:rPr>
        <w:t>On September 11, 2001, the Company announced the closing of its Walterboro, South Carolina ball manufacturing facility effective December 2001. As a result of that closing land and building with a carrying value of $1,128 and $1,692 and certain machinery and equipment with a carrying value of $1,086 and $2,656 are held for sale as of December 31, 2002 and</w:t>
      </w:r>
    </w:p>
    <w:p>
      <w:pPr>
        <w:sectPr>
          <w:pgSz w:w="11900" w:h="16838" w:orient="portrait"/>
          <w:cols w:equalWidth="0" w:num="1">
            <w:col w:w="11460"/>
          </w:cols>
          <w:pgMar w:left="220" w:top="141" w:right="219" w:bottom="0" w:gutter="0" w:footer="0" w:header="0"/>
          <w:type w:val="continuous"/>
        </w:sectPr>
      </w:pPr>
    </w:p>
    <w:bookmarkStart w:id="30" w:name="page31"/>
    <w:bookmarkEnd w:id="30"/>
    <w:p>
      <w:pPr>
        <w:ind w:left="560"/>
        <w:spacing w:after="0"/>
        <w:rPr>
          <w:sz w:val="20"/>
          <w:szCs w:val="20"/>
          <w:color w:val="auto"/>
        </w:rPr>
      </w:pPr>
      <w:r>
        <w:rPr>
          <w:rFonts w:ascii="Courier New" w:cs="Courier New" w:eastAsia="Courier New" w:hAnsi="Courier New"/>
          <w:sz w:val="13"/>
          <w:szCs w:val="13"/>
          <w:color w:val="auto"/>
        </w:rPr>
        <w:t>2001, respectively.</w:t>
      </w:r>
    </w:p>
    <w:p>
      <w:pPr>
        <w:spacing w:after="0" w:line="161" w:lineRule="exact"/>
        <w:rPr>
          <w:sz w:val="20"/>
          <w:szCs w:val="20"/>
          <w:color w:val="auto"/>
        </w:rPr>
      </w:pPr>
    </w:p>
    <w:p>
      <w:pPr>
        <w:ind w:left="560" w:hanging="558"/>
        <w:spacing w:after="0"/>
        <w:tabs>
          <w:tab w:leader="none" w:pos="560" w:val="left"/>
        </w:tabs>
        <w:numPr>
          <w:ilvl w:val="0"/>
          <w:numId w:val="15"/>
        </w:numPr>
        <w:rPr>
          <w:rFonts w:ascii="Courier New" w:cs="Courier New" w:eastAsia="Courier New" w:hAnsi="Courier New"/>
          <w:sz w:val="13"/>
          <w:szCs w:val="13"/>
          <w:b w:val="1"/>
          <w:bCs w:val="1"/>
          <w:color w:val="auto"/>
        </w:rPr>
      </w:pPr>
      <w:r>
        <w:rPr>
          <w:rFonts w:ascii="Courier New" w:cs="Courier New" w:eastAsia="Courier New" w:hAnsi="Courier New"/>
          <w:sz w:val="13"/>
          <w:szCs w:val="13"/>
          <w:b w:val="1"/>
          <w:bCs w:val="1"/>
          <w:color w:val="auto"/>
        </w:rPr>
        <w:t>Debt</w:t>
      </w:r>
    </w:p>
    <w:p>
      <w:pPr>
        <w:spacing w:after="0" w:line="161" w:lineRule="exact"/>
        <w:rPr>
          <w:rFonts w:ascii="Courier New" w:cs="Courier New" w:eastAsia="Courier New" w:hAnsi="Courier New"/>
          <w:sz w:val="13"/>
          <w:szCs w:val="13"/>
          <w:b w:val="1"/>
          <w:bCs w:val="1"/>
          <w:color w:val="auto"/>
        </w:rPr>
      </w:pPr>
    </w:p>
    <w:p>
      <w:pPr>
        <w:ind w:left="560"/>
        <w:spacing w:after="0"/>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Long-term debt at December 31, 2002 and 2001 consists of the following:</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60" w:type="dxa"/>
            <w:vAlign w:val="bottom"/>
          </w:tcPr>
          <w:p>
            <w:pPr>
              <w:spacing w:after="0"/>
              <w:rPr>
                <w:sz w:val="12"/>
                <w:szCs w:val="12"/>
                <w:color w:val="auto"/>
              </w:rPr>
            </w:pPr>
          </w:p>
        </w:tc>
        <w:tc>
          <w:tcPr>
            <w:tcW w:w="1640" w:type="dxa"/>
            <w:vAlign w:val="bottom"/>
            <w:gridSpan w:val="2"/>
          </w:tcPr>
          <w:p>
            <w:pPr>
              <w:jc w:val="right"/>
              <w:ind w:right="653"/>
              <w:spacing w:after="0"/>
              <w:rPr>
                <w:sz w:val="20"/>
                <w:szCs w:val="20"/>
                <w:color w:val="auto"/>
              </w:rPr>
            </w:pPr>
            <w:r>
              <w:rPr>
                <w:rFonts w:ascii="Courier New" w:cs="Courier New" w:eastAsia="Courier New" w:hAnsi="Courier New"/>
                <w:sz w:val="13"/>
                <w:szCs w:val="13"/>
                <w:b w:val="1"/>
                <w:bCs w:val="1"/>
                <w:color w:val="auto"/>
              </w:rPr>
              <w:t>2002</w:t>
            </w:r>
          </w:p>
        </w:tc>
        <w:tc>
          <w:tcPr>
            <w:tcW w:w="3360" w:type="dxa"/>
            <w:vAlign w:val="bottom"/>
          </w:tcPr>
          <w:p>
            <w:pPr>
              <w:jc w:val="right"/>
              <w:ind w:right="2413"/>
              <w:spacing w:after="0"/>
              <w:rPr>
                <w:sz w:val="20"/>
                <w:szCs w:val="20"/>
                <w:color w:val="auto"/>
              </w:rPr>
            </w:pPr>
            <w:r>
              <w:rPr>
                <w:rFonts w:ascii="Courier New" w:cs="Courier New" w:eastAsia="Courier New" w:hAnsi="Courier New"/>
                <w:sz w:val="13"/>
                <w:szCs w:val="13"/>
                <w:b w:val="1"/>
                <w:bCs w:val="1"/>
                <w:color w:val="auto"/>
              </w:rPr>
              <w:t>2001</w:t>
            </w:r>
          </w:p>
        </w:tc>
      </w:tr>
      <w:tr>
        <w:trPr>
          <w:trHeight w:val="154"/>
        </w:trPr>
        <w:tc>
          <w:tcPr>
            <w:tcW w:w="6460" w:type="dxa"/>
            <w:vAlign w:val="bottom"/>
          </w:tcPr>
          <w:p>
            <w:pPr>
              <w:spacing w:after="0"/>
              <w:rPr>
                <w:sz w:val="13"/>
                <w:szCs w:val="13"/>
                <w:color w:val="auto"/>
              </w:rPr>
            </w:pPr>
          </w:p>
        </w:tc>
        <w:tc>
          <w:tcPr>
            <w:tcW w:w="1640" w:type="dxa"/>
            <w:vAlign w:val="bottom"/>
            <w:gridSpan w:val="2"/>
          </w:tcPr>
          <w:p>
            <w:pPr>
              <w:jc w:val="right"/>
              <w:ind w:right="13"/>
              <w:spacing w:after="0"/>
              <w:rPr>
                <w:sz w:val="20"/>
                <w:szCs w:val="20"/>
                <w:color w:val="auto"/>
              </w:rPr>
            </w:pPr>
            <w:r>
              <w:rPr>
                <w:rFonts w:ascii="Courier New" w:cs="Courier New" w:eastAsia="Courier New" w:hAnsi="Courier New"/>
                <w:sz w:val="13"/>
                <w:szCs w:val="13"/>
                <w:b w:val="1"/>
                <w:bCs w:val="1"/>
                <w:color w:val="auto"/>
              </w:rPr>
              <w:t>-------------------</w:t>
            </w:r>
          </w:p>
        </w:tc>
        <w:tc>
          <w:tcPr>
            <w:tcW w:w="3360" w:type="dxa"/>
            <w:vAlign w:val="bottom"/>
          </w:tcPr>
          <w:p>
            <w:pPr>
              <w:jc w:val="right"/>
              <w:ind w:right="1773"/>
              <w:spacing w:after="0"/>
              <w:rPr>
                <w:sz w:val="20"/>
                <w:szCs w:val="20"/>
                <w:color w:val="auto"/>
              </w:rPr>
            </w:pPr>
            <w:r>
              <w:rPr>
                <w:rFonts w:ascii="Courier New" w:cs="Courier New" w:eastAsia="Courier New" w:hAnsi="Courier New"/>
                <w:sz w:val="13"/>
                <w:szCs w:val="13"/>
                <w:b w:val="1"/>
                <w:bCs w:val="1"/>
                <w:color w:val="auto"/>
              </w:rPr>
              <w:t>------------------</w:t>
            </w:r>
          </w:p>
        </w:tc>
      </w:tr>
      <w:tr>
        <w:trPr>
          <w:trHeight w:val="308"/>
        </w:trPr>
        <w:tc>
          <w:tcPr>
            <w:tcW w:w="6460" w:type="dxa"/>
            <w:vAlign w:val="bottom"/>
          </w:tcPr>
          <w:p>
            <w:pPr>
              <w:ind w:left="560"/>
              <w:spacing w:after="0"/>
              <w:rPr>
                <w:sz w:val="20"/>
                <w:szCs w:val="20"/>
                <w:color w:val="auto"/>
              </w:rPr>
            </w:pPr>
            <w:r>
              <w:rPr>
                <w:rFonts w:ascii="Courier New" w:cs="Courier New" w:eastAsia="Courier New" w:hAnsi="Courier New"/>
                <w:sz w:val="13"/>
                <w:szCs w:val="13"/>
                <w:color w:val="auto"/>
              </w:rPr>
              <w:t>Borrowings under a revolving credit facility bearing interest at variable</w:t>
            </w: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154"/>
        </w:trPr>
        <w:tc>
          <w:tcPr>
            <w:tcW w:w="6460" w:type="dxa"/>
            <w:vAlign w:val="bottom"/>
          </w:tcPr>
          <w:p>
            <w:pPr>
              <w:ind w:left="880"/>
              <w:spacing w:after="0"/>
              <w:rPr>
                <w:sz w:val="20"/>
                <w:szCs w:val="20"/>
                <w:color w:val="auto"/>
              </w:rPr>
            </w:pPr>
            <w:r>
              <w:rPr>
                <w:rFonts w:ascii="Courier New" w:cs="Courier New" w:eastAsia="Courier New" w:hAnsi="Courier New"/>
                <w:sz w:val="13"/>
                <w:szCs w:val="13"/>
                <w:color w:val="auto"/>
              </w:rPr>
              <w:t>rates (2.92% - 4.25% at December 31, 2002 and 3.24% -</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360" w:type="dxa"/>
            <w:vAlign w:val="bottom"/>
          </w:tcPr>
          <w:p>
            <w:pPr>
              <w:spacing w:after="0"/>
              <w:rPr>
                <w:sz w:val="13"/>
                <w:szCs w:val="13"/>
                <w:color w:val="auto"/>
              </w:rPr>
            </w:pPr>
          </w:p>
        </w:tc>
      </w:tr>
      <w:tr>
        <w:trPr>
          <w:trHeight w:val="154"/>
        </w:trPr>
        <w:tc>
          <w:tcPr>
            <w:tcW w:w="6460" w:type="dxa"/>
            <w:vAlign w:val="bottom"/>
          </w:tcPr>
          <w:p>
            <w:pPr>
              <w:ind w:left="880"/>
              <w:spacing w:after="0"/>
              <w:rPr>
                <w:sz w:val="20"/>
                <w:szCs w:val="20"/>
                <w:color w:val="auto"/>
              </w:rPr>
            </w:pPr>
            <w:r>
              <w:rPr>
                <w:rFonts w:ascii="Courier New" w:cs="Courier New" w:eastAsia="Courier New" w:hAnsi="Courier New"/>
                <w:sz w:val="13"/>
                <w:szCs w:val="13"/>
                <w:color w:val="auto"/>
              </w:rPr>
              <w:t>4.75% at December 31, 2001) due July 25, 2004</w:t>
            </w:r>
          </w:p>
        </w:tc>
        <w:tc>
          <w:tcPr>
            <w:tcW w:w="8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800" w:type="dxa"/>
            <w:vAlign w:val="bottom"/>
          </w:tcPr>
          <w:p>
            <w:pPr>
              <w:jc w:val="right"/>
              <w:ind w:right="253"/>
              <w:spacing w:after="0"/>
              <w:rPr>
                <w:sz w:val="20"/>
                <w:szCs w:val="20"/>
                <w:color w:val="auto"/>
              </w:rPr>
            </w:pPr>
            <w:r>
              <w:rPr>
                <w:rFonts w:ascii="Courier New" w:cs="Courier New" w:eastAsia="Courier New" w:hAnsi="Courier New"/>
                <w:sz w:val="13"/>
                <w:szCs w:val="13"/>
                <w:color w:val="auto"/>
                <w:w w:val="98"/>
              </w:rPr>
              <w:t>24,270</w:t>
            </w:r>
          </w:p>
        </w:tc>
        <w:tc>
          <w:tcPr>
            <w:tcW w:w="3360" w:type="dxa"/>
            <w:vAlign w:val="bottom"/>
          </w:tcPr>
          <w:p>
            <w:pPr>
              <w:jc w:val="right"/>
              <w:ind w:right="1933"/>
              <w:spacing w:after="0"/>
              <w:rPr>
                <w:sz w:val="20"/>
                <w:szCs w:val="20"/>
                <w:color w:val="auto"/>
              </w:rPr>
            </w:pPr>
            <w:r>
              <w:rPr>
                <w:rFonts w:ascii="Courier New" w:cs="Courier New" w:eastAsia="Courier New" w:hAnsi="Courier New"/>
                <w:sz w:val="13"/>
                <w:szCs w:val="13"/>
                <w:color w:val="auto"/>
              </w:rPr>
              <w:t>$  9,805</w:t>
            </w:r>
          </w:p>
        </w:tc>
      </w:tr>
      <w:tr>
        <w:trPr>
          <w:trHeight w:val="308"/>
        </w:trPr>
        <w:tc>
          <w:tcPr>
            <w:tcW w:w="6460" w:type="dxa"/>
            <w:vAlign w:val="bottom"/>
          </w:tcPr>
          <w:p>
            <w:pPr>
              <w:ind w:left="560"/>
              <w:spacing w:after="0"/>
              <w:rPr>
                <w:sz w:val="20"/>
                <w:szCs w:val="20"/>
                <w:color w:val="auto"/>
              </w:rPr>
            </w:pPr>
            <w:r>
              <w:rPr>
                <w:rFonts w:ascii="Courier New" w:cs="Courier New" w:eastAsia="Courier New" w:hAnsi="Courier New"/>
                <w:sz w:val="13"/>
                <w:szCs w:val="13"/>
                <w:color w:val="auto"/>
              </w:rPr>
              <w:t>Reducing, revolving credit facility bearing interest at variable rates</w:t>
            </w: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154"/>
        </w:trPr>
        <w:tc>
          <w:tcPr>
            <w:tcW w:w="6460" w:type="dxa"/>
            <w:vAlign w:val="bottom"/>
          </w:tcPr>
          <w:p>
            <w:pPr>
              <w:ind w:left="880"/>
              <w:spacing w:after="0"/>
              <w:rPr>
                <w:sz w:val="20"/>
                <w:szCs w:val="20"/>
                <w:color w:val="auto"/>
              </w:rPr>
            </w:pPr>
            <w:r>
              <w:rPr>
                <w:rFonts w:ascii="Courier New" w:cs="Courier New" w:eastAsia="Courier New" w:hAnsi="Courier New"/>
                <w:sz w:val="13"/>
                <w:szCs w:val="13"/>
                <w:color w:val="auto"/>
              </w:rPr>
              <w:t>(2.92% at December 31, 2002 and 3.24% at December 31, 2001) payable</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360" w:type="dxa"/>
            <w:vAlign w:val="bottom"/>
          </w:tcPr>
          <w:p>
            <w:pPr>
              <w:spacing w:after="0"/>
              <w:rPr>
                <w:sz w:val="13"/>
                <w:szCs w:val="13"/>
                <w:color w:val="auto"/>
              </w:rPr>
            </w:pPr>
          </w:p>
        </w:tc>
      </w:tr>
      <w:tr>
        <w:trPr>
          <w:trHeight w:val="154"/>
        </w:trPr>
        <w:tc>
          <w:tcPr>
            <w:tcW w:w="6460" w:type="dxa"/>
            <w:vAlign w:val="bottom"/>
          </w:tcPr>
          <w:p>
            <w:pPr>
              <w:ind w:left="880"/>
              <w:spacing w:after="0"/>
              <w:rPr>
                <w:sz w:val="20"/>
                <w:szCs w:val="20"/>
                <w:color w:val="auto"/>
              </w:rPr>
            </w:pPr>
            <w:r>
              <w:rPr>
                <w:rFonts w:ascii="Courier New" w:cs="Courier New" w:eastAsia="Courier New" w:hAnsi="Courier New"/>
                <w:sz w:val="13"/>
                <w:szCs w:val="13"/>
                <w:color w:val="auto"/>
              </w:rPr>
              <w:t>in quarterly installments of $1,750 beginning September</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360" w:type="dxa"/>
            <w:vAlign w:val="bottom"/>
          </w:tcPr>
          <w:p>
            <w:pPr>
              <w:spacing w:after="0"/>
              <w:rPr>
                <w:sz w:val="13"/>
                <w:szCs w:val="13"/>
                <w:color w:val="auto"/>
              </w:rPr>
            </w:pPr>
          </w:p>
        </w:tc>
      </w:tr>
      <w:tr>
        <w:trPr>
          <w:trHeight w:val="154"/>
        </w:trPr>
        <w:tc>
          <w:tcPr>
            <w:tcW w:w="6460" w:type="dxa"/>
            <w:vAlign w:val="bottom"/>
          </w:tcPr>
          <w:p>
            <w:pPr>
              <w:ind w:left="880"/>
              <w:spacing w:after="0"/>
              <w:rPr>
                <w:sz w:val="20"/>
                <w:szCs w:val="20"/>
                <w:color w:val="auto"/>
              </w:rPr>
            </w:pPr>
            <w:r>
              <w:rPr>
                <w:rFonts w:ascii="Courier New" w:cs="Courier New" w:eastAsia="Courier New" w:hAnsi="Courier New"/>
                <w:sz w:val="13"/>
                <w:szCs w:val="13"/>
                <w:color w:val="auto"/>
              </w:rPr>
              <w:t>19, 2001 through July 1, 2006</w:t>
            </w:r>
          </w:p>
        </w:tc>
        <w:tc>
          <w:tcPr>
            <w:tcW w:w="840" w:type="dxa"/>
            <w:vAlign w:val="bottom"/>
          </w:tcPr>
          <w:p>
            <w:pPr>
              <w:spacing w:after="0"/>
              <w:rPr>
                <w:sz w:val="13"/>
                <w:szCs w:val="13"/>
                <w:color w:val="auto"/>
              </w:rPr>
            </w:pPr>
          </w:p>
        </w:tc>
        <w:tc>
          <w:tcPr>
            <w:tcW w:w="800" w:type="dxa"/>
            <w:vAlign w:val="bottom"/>
          </w:tcPr>
          <w:p>
            <w:pPr>
              <w:jc w:val="right"/>
              <w:ind w:right="253"/>
              <w:spacing w:after="0"/>
              <w:rPr>
                <w:sz w:val="20"/>
                <w:szCs w:val="20"/>
                <w:color w:val="auto"/>
              </w:rPr>
            </w:pPr>
            <w:r>
              <w:rPr>
                <w:rFonts w:ascii="Courier New" w:cs="Courier New" w:eastAsia="Courier New" w:hAnsi="Courier New"/>
                <w:sz w:val="13"/>
                <w:szCs w:val="13"/>
                <w:color w:val="auto"/>
                <w:w w:val="98"/>
              </w:rPr>
              <w:t>23,878</w:t>
            </w:r>
          </w:p>
        </w:tc>
        <w:tc>
          <w:tcPr>
            <w:tcW w:w="3360" w:type="dxa"/>
            <w:vAlign w:val="bottom"/>
          </w:tcPr>
          <w:p>
            <w:pPr>
              <w:jc w:val="right"/>
              <w:ind w:right="1933"/>
              <w:spacing w:after="0"/>
              <w:rPr>
                <w:sz w:val="20"/>
                <w:szCs w:val="20"/>
                <w:color w:val="auto"/>
              </w:rPr>
            </w:pPr>
            <w:r>
              <w:rPr>
                <w:rFonts w:ascii="Courier New" w:cs="Courier New" w:eastAsia="Courier New" w:hAnsi="Courier New"/>
                <w:sz w:val="13"/>
                <w:szCs w:val="13"/>
                <w:color w:val="auto"/>
              </w:rPr>
              <w:t>31,500</w:t>
            </w:r>
          </w:p>
        </w:tc>
      </w:tr>
      <w:tr>
        <w:trPr>
          <w:trHeight w:val="308"/>
        </w:trPr>
        <w:tc>
          <w:tcPr>
            <w:tcW w:w="6460" w:type="dxa"/>
            <w:vAlign w:val="bottom"/>
          </w:tcPr>
          <w:p>
            <w:pPr>
              <w:ind w:left="560"/>
              <w:spacing w:after="0"/>
              <w:rPr>
                <w:sz w:val="20"/>
                <w:szCs w:val="20"/>
                <w:color w:val="auto"/>
              </w:rPr>
            </w:pPr>
            <w:r>
              <w:rPr>
                <w:rFonts w:ascii="Courier New" w:cs="Courier New" w:eastAsia="Courier New" w:hAnsi="Courier New"/>
                <w:sz w:val="13"/>
                <w:szCs w:val="13"/>
                <w:color w:val="auto"/>
              </w:rPr>
              <w:t>Euroterm loans bearing interest at variable rates (3.75% at December 31,</w:t>
            </w: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154"/>
        </w:trPr>
        <w:tc>
          <w:tcPr>
            <w:tcW w:w="6460" w:type="dxa"/>
            <w:vAlign w:val="bottom"/>
          </w:tcPr>
          <w:p>
            <w:pPr>
              <w:ind w:left="880"/>
              <w:spacing w:after="0"/>
              <w:rPr>
                <w:sz w:val="20"/>
                <w:szCs w:val="20"/>
                <w:color w:val="auto"/>
              </w:rPr>
            </w:pPr>
            <w:r>
              <w:rPr>
                <w:rFonts w:ascii="Courier New" w:cs="Courier New" w:eastAsia="Courier New" w:hAnsi="Courier New"/>
                <w:sz w:val="13"/>
                <w:szCs w:val="13"/>
                <w:color w:val="auto"/>
              </w:rPr>
              <w:t>2002 and 4.55% at December 31, 2001) payable in quarterly</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360" w:type="dxa"/>
            <w:vAlign w:val="bottom"/>
          </w:tcPr>
          <w:p>
            <w:pPr>
              <w:spacing w:after="0"/>
              <w:rPr>
                <w:sz w:val="13"/>
                <w:szCs w:val="13"/>
                <w:color w:val="auto"/>
              </w:rPr>
            </w:pPr>
          </w:p>
        </w:tc>
      </w:tr>
      <w:tr>
        <w:trPr>
          <w:trHeight w:val="154"/>
        </w:trPr>
        <w:tc>
          <w:tcPr>
            <w:tcW w:w="6460" w:type="dxa"/>
            <w:vAlign w:val="bottom"/>
          </w:tcPr>
          <w:p>
            <w:pPr>
              <w:ind w:left="880"/>
              <w:spacing w:after="0"/>
              <w:rPr>
                <w:sz w:val="20"/>
                <w:szCs w:val="20"/>
                <w:color w:val="auto"/>
              </w:rPr>
            </w:pPr>
            <w:r>
              <w:rPr>
                <w:rFonts w:ascii="Courier New" w:cs="Courier New" w:eastAsia="Courier New" w:hAnsi="Courier New"/>
                <w:sz w:val="13"/>
                <w:szCs w:val="13"/>
                <w:color w:val="auto"/>
              </w:rPr>
              <w:t>installments of $2,097 beginning March 15, 2002 through</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360" w:type="dxa"/>
            <w:vAlign w:val="bottom"/>
          </w:tcPr>
          <w:p>
            <w:pPr>
              <w:spacing w:after="0"/>
              <w:rPr>
                <w:sz w:val="13"/>
                <w:szCs w:val="13"/>
                <w:color w:val="auto"/>
              </w:rPr>
            </w:pPr>
          </w:p>
        </w:tc>
      </w:tr>
      <w:tr>
        <w:trPr>
          <w:trHeight w:val="154"/>
        </w:trPr>
        <w:tc>
          <w:tcPr>
            <w:tcW w:w="6460" w:type="dxa"/>
            <w:vAlign w:val="bottom"/>
          </w:tcPr>
          <w:p>
            <w:pPr>
              <w:ind w:left="880"/>
              <w:spacing w:after="0"/>
              <w:rPr>
                <w:sz w:val="20"/>
                <w:szCs w:val="20"/>
                <w:color w:val="auto"/>
              </w:rPr>
            </w:pPr>
            <w:r>
              <w:rPr>
                <w:rFonts w:ascii="Courier New" w:cs="Courier New" w:eastAsia="Courier New" w:hAnsi="Courier New"/>
                <w:sz w:val="13"/>
                <w:szCs w:val="13"/>
                <w:color w:val="auto"/>
              </w:rPr>
              <w:t>June 15, 2006</w:t>
            </w:r>
          </w:p>
        </w:tc>
        <w:tc>
          <w:tcPr>
            <w:tcW w:w="840" w:type="dxa"/>
            <w:vAlign w:val="bottom"/>
          </w:tcPr>
          <w:p>
            <w:pPr>
              <w:spacing w:after="0"/>
              <w:rPr>
                <w:sz w:val="13"/>
                <w:szCs w:val="13"/>
                <w:color w:val="auto"/>
              </w:rPr>
            </w:pPr>
          </w:p>
        </w:tc>
        <w:tc>
          <w:tcPr>
            <w:tcW w:w="80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4,987</w:t>
            </w:r>
          </w:p>
        </w:tc>
        <w:tc>
          <w:tcPr>
            <w:tcW w:w="3360" w:type="dxa"/>
            <w:vAlign w:val="bottom"/>
          </w:tcPr>
          <w:p>
            <w:pPr>
              <w:jc w:val="right"/>
              <w:ind w:right="1933"/>
              <w:spacing w:after="0"/>
              <w:rPr>
                <w:sz w:val="20"/>
                <w:szCs w:val="20"/>
                <w:color w:val="auto"/>
              </w:rPr>
            </w:pPr>
            <w:r>
              <w:rPr>
                <w:rFonts w:ascii="Courier New" w:cs="Courier New" w:eastAsia="Courier New" w:hAnsi="Courier New"/>
                <w:sz w:val="13"/>
                <w:szCs w:val="13"/>
                <w:color w:val="auto"/>
              </w:rPr>
              <w:t>13,356</w:t>
            </w:r>
          </w:p>
        </w:tc>
      </w:tr>
      <w:tr>
        <w:trPr>
          <w:trHeight w:val="154"/>
        </w:trPr>
        <w:tc>
          <w:tcPr>
            <w:tcW w:w="6460" w:type="dxa"/>
            <w:vAlign w:val="bottom"/>
          </w:tcPr>
          <w:p>
            <w:pPr>
              <w:spacing w:after="0"/>
              <w:rPr>
                <w:sz w:val="13"/>
                <w:szCs w:val="13"/>
                <w:color w:val="auto"/>
              </w:rPr>
            </w:pPr>
          </w:p>
        </w:tc>
        <w:tc>
          <w:tcPr>
            <w:tcW w:w="164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3360" w:type="dxa"/>
            <w:vAlign w:val="bottom"/>
          </w:tcPr>
          <w:p>
            <w:pPr>
              <w:jc w:val="right"/>
              <w:ind w:right="1773"/>
              <w:spacing w:after="0"/>
              <w:rPr>
                <w:sz w:val="20"/>
                <w:szCs w:val="20"/>
                <w:color w:val="auto"/>
              </w:rPr>
            </w:pPr>
            <w:r>
              <w:rPr>
                <w:rFonts w:ascii="Courier New" w:cs="Courier New" w:eastAsia="Courier New" w:hAnsi="Courier New"/>
                <w:sz w:val="13"/>
                <w:szCs w:val="13"/>
                <w:color w:val="auto"/>
              </w:rPr>
              <w:t>------------------</w:t>
            </w:r>
          </w:p>
        </w:tc>
      </w:tr>
      <w:tr>
        <w:trPr>
          <w:trHeight w:val="154"/>
        </w:trPr>
        <w:tc>
          <w:tcPr>
            <w:tcW w:w="6460" w:type="dxa"/>
            <w:vAlign w:val="bottom"/>
          </w:tcPr>
          <w:p>
            <w:pPr>
              <w:ind w:left="1040"/>
              <w:spacing w:after="0"/>
              <w:rPr>
                <w:sz w:val="20"/>
                <w:szCs w:val="20"/>
                <w:color w:val="auto"/>
              </w:rPr>
            </w:pPr>
            <w:r>
              <w:rPr>
                <w:rFonts w:ascii="Courier New" w:cs="Courier New" w:eastAsia="Courier New" w:hAnsi="Courier New"/>
                <w:sz w:val="13"/>
                <w:szCs w:val="13"/>
                <w:color w:val="auto"/>
              </w:rPr>
              <w:t>Total long-term debt</w:t>
            </w:r>
          </w:p>
        </w:tc>
        <w:tc>
          <w:tcPr>
            <w:tcW w:w="8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800" w:type="dxa"/>
            <w:vAlign w:val="bottom"/>
          </w:tcPr>
          <w:p>
            <w:pPr>
              <w:jc w:val="right"/>
              <w:ind w:right="253"/>
              <w:spacing w:after="0"/>
              <w:rPr>
                <w:sz w:val="20"/>
                <w:szCs w:val="20"/>
                <w:color w:val="auto"/>
              </w:rPr>
            </w:pPr>
            <w:r>
              <w:rPr>
                <w:rFonts w:ascii="Courier New" w:cs="Courier New" w:eastAsia="Courier New" w:hAnsi="Courier New"/>
                <w:sz w:val="13"/>
                <w:szCs w:val="13"/>
                <w:color w:val="auto"/>
                <w:w w:val="98"/>
              </w:rPr>
              <w:t>53,135</w:t>
            </w:r>
          </w:p>
        </w:tc>
        <w:tc>
          <w:tcPr>
            <w:tcW w:w="3360" w:type="dxa"/>
            <w:vAlign w:val="bottom"/>
          </w:tcPr>
          <w:p>
            <w:pPr>
              <w:jc w:val="right"/>
              <w:ind w:right="1933"/>
              <w:spacing w:after="0"/>
              <w:rPr>
                <w:sz w:val="20"/>
                <w:szCs w:val="20"/>
                <w:color w:val="auto"/>
              </w:rPr>
            </w:pPr>
            <w:r>
              <w:rPr>
                <w:rFonts w:ascii="Courier New" w:cs="Courier New" w:eastAsia="Courier New" w:hAnsi="Courier New"/>
                <w:sz w:val="13"/>
                <w:szCs w:val="13"/>
                <w:color w:val="auto"/>
              </w:rPr>
              <w:t>$ 54,661</w:t>
            </w:r>
          </w:p>
        </w:tc>
      </w:tr>
      <w:tr>
        <w:trPr>
          <w:trHeight w:val="308"/>
        </w:trPr>
        <w:tc>
          <w:tcPr>
            <w:tcW w:w="6460" w:type="dxa"/>
            <w:vAlign w:val="bottom"/>
          </w:tcPr>
          <w:p>
            <w:pPr>
              <w:ind w:left="1040"/>
              <w:spacing w:after="0"/>
              <w:rPr>
                <w:sz w:val="20"/>
                <w:szCs w:val="20"/>
                <w:color w:val="auto"/>
              </w:rPr>
            </w:pPr>
            <w:r>
              <w:rPr>
                <w:rFonts w:ascii="Courier New" w:cs="Courier New" w:eastAsia="Courier New" w:hAnsi="Courier New"/>
                <w:sz w:val="13"/>
                <w:szCs w:val="13"/>
                <w:color w:val="auto"/>
              </w:rPr>
              <w:t>Less current maturities of long-term debt</w:t>
            </w:r>
          </w:p>
        </w:tc>
        <w:tc>
          <w:tcPr>
            <w:tcW w:w="840" w:type="dxa"/>
            <w:vAlign w:val="bottom"/>
          </w:tcPr>
          <w:p>
            <w:pPr>
              <w:spacing w:after="0"/>
              <w:rPr>
                <w:sz w:val="24"/>
                <w:szCs w:val="24"/>
                <w:color w:val="auto"/>
              </w:rPr>
            </w:pPr>
          </w:p>
        </w:tc>
        <w:tc>
          <w:tcPr>
            <w:tcW w:w="80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7,000</w:t>
            </w:r>
          </w:p>
        </w:tc>
        <w:tc>
          <w:tcPr>
            <w:tcW w:w="3360" w:type="dxa"/>
            <w:vAlign w:val="bottom"/>
          </w:tcPr>
          <w:p>
            <w:pPr>
              <w:jc w:val="right"/>
              <w:ind w:right="1933"/>
              <w:spacing w:after="0"/>
              <w:rPr>
                <w:sz w:val="20"/>
                <w:szCs w:val="20"/>
                <w:color w:val="auto"/>
              </w:rPr>
            </w:pPr>
            <w:r>
              <w:rPr>
                <w:rFonts w:ascii="Courier New" w:cs="Courier New" w:eastAsia="Courier New" w:hAnsi="Courier New"/>
                <w:sz w:val="13"/>
                <w:szCs w:val="13"/>
                <w:color w:val="auto"/>
              </w:rPr>
              <w:t>7,000</w:t>
            </w:r>
          </w:p>
        </w:tc>
      </w:tr>
      <w:tr>
        <w:trPr>
          <w:trHeight w:val="154"/>
        </w:trPr>
        <w:tc>
          <w:tcPr>
            <w:tcW w:w="6460" w:type="dxa"/>
            <w:vAlign w:val="bottom"/>
          </w:tcPr>
          <w:p>
            <w:pPr>
              <w:spacing w:after="0"/>
              <w:rPr>
                <w:sz w:val="13"/>
                <w:szCs w:val="13"/>
                <w:color w:val="auto"/>
              </w:rPr>
            </w:pPr>
          </w:p>
        </w:tc>
        <w:tc>
          <w:tcPr>
            <w:tcW w:w="164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3360" w:type="dxa"/>
            <w:vAlign w:val="bottom"/>
          </w:tcPr>
          <w:p>
            <w:pPr>
              <w:jc w:val="right"/>
              <w:ind w:right="1773"/>
              <w:spacing w:after="0"/>
              <w:rPr>
                <w:sz w:val="20"/>
                <w:szCs w:val="20"/>
                <w:color w:val="auto"/>
              </w:rPr>
            </w:pPr>
            <w:r>
              <w:rPr>
                <w:rFonts w:ascii="Courier New" w:cs="Courier New" w:eastAsia="Courier New" w:hAnsi="Courier New"/>
                <w:sz w:val="13"/>
                <w:szCs w:val="13"/>
                <w:color w:val="auto"/>
              </w:rPr>
              <w:t>------------------</w:t>
            </w:r>
          </w:p>
        </w:tc>
      </w:tr>
      <w:tr>
        <w:trPr>
          <w:trHeight w:val="154"/>
        </w:trPr>
        <w:tc>
          <w:tcPr>
            <w:tcW w:w="6460" w:type="dxa"/>
            <w:vAlign w:val="bottom"/>
          </w:tcPr>
          <w:p>
            <w:pPr>
              <w:ind w:left="1040"/>
              <w:spacing w:after="0"/>
              <w:rPr>
                <w:sz w:val="20"/>
                <w:szCs w:val="20"/>
                <w:color w:val="auto"/>
              </w:rPr>
            </w:pPr>
            <w:r>
              <w:rPr>
                <w:rFonts w:ascii="Courier New" w:cs="Courier New" w:eastAsia="Courier New" w:hAnsi="Courier New"/>
                <w:sz w:val="13"/>
                <w:szCs w:val="13"/>
                <w:color w:val="auto"/>
              </w:rPr>
              <w:t>Long-term debt, excluding current maturities of long-term debt</w:t>
            </w:r>
          </w:p>
        </w:tc>
        <w:tc>
          <w:tcPr>
            <w:tcW w:w="8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800" w:type="dxa"/>
            <w:vAlign w:val="bottom"/>
          </w:tcPr>
          <w:p>
            <w:pPr>
              <w:jc w:val="right"/>
              <w:ind w:right="253"/>
              <w:spacing w:after="0"/>
              <w:rPr>
                <w:sz w:val="20"/>
                <w:szCs w:val="20"/>
                <w:color w:val="auto"/>
              </w:rPr>
            </w:pPr>
            <w:r>
              <w:rPr>
                <w:rFonts w:ascii="Courier New" w:cs="Courier New" w:eastAsia="Courier New" w:hAnsi="Courier New"/>
                <w:sz w:val="13"/>
                <w:szCs w:val="13"/>
                <w:color w:val="auto"/>
                <w:w w:val="98"/>
              </w:rPr>
              <w:t>46,135</w:t>
            </w:r>
          </w:p>
        </w:tc>
        <w:tc>
          <w:tcPr>
            <w:tcW w:w="3360" w:type="dxa"/>
            <w:vAlign w:val="bottom"/>
          </w:tcPr>
          <w:p>
            <w:pPr>
              <w:jc w:val="right"/>
              <w:ind w:right="1933"/>
              <w:spacing w:after="0"/>
              <w:rPr>
                <w:sz w:val="20"/>
                <w:szCs w:val="20"/>
                <w:color w:val="auto"/>
              </w:rPr>
            </w:pPr>
            <w:r>
              <w:rPr>
                <w:rFonts w:ascii="Courier New" w:cs="Courier New" w:eastAsia="Courier New" w:hAnsi="Courier New"/>
                <w:sz w:val="13"/>
                <w:szCs w:val="13"/>
                <w:color w:val="auto"/>
              </w:rPr>
              <w:t>$ 47,661</w:t>
            </w:r>
          </w:p>
        </w:tc>
      </w:tr>
      <w:tr>
        <w:trPr>
          <w:trHeight w:val="154"/>
        </w:trPr>
        <w:tc>
          <w:tcPr>
            <w:tcW w:w="6460" w:type="dxa"/>
            <w:vAlign w:val="bottom"/>
          </w:tcPr>
          <w:p>
            <w:pPr>
              <w:spacing w:after="0"/>
              <w:rPr>
                <w:sz w:val="13"/>
                <w:szCs w:val="13"/>
                <w:color w:val="auto"/>
              </w:rPr>
            </w:pPr>
          </w:p>
        </w:tc>
        <w:tc>
          <w:tcPr>
            <w:tcW w:w="164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3360" w:type="dxa"/>
            <w:vAlign w:val="bottom"/>
          </w:tcPr>
          <w:p>
            <w:pPr>
              <w:jc w:val="right"/>
              <w:ind w:right="1773"/>
              <w:spacing w:after="0"/>
              <w:rPr>
                <w:sz w:val="20"/>
                <w:szCs w:val="20"/>
                <w:color w:val="auto"/>
              </w:rPr>
            </w:pPr>
            <w:r>
              <w:rPr>
                <w:rFonts w:ascii="Courier New" w:cs="Courier New" w:eastAsia="Courier New" w:hAnsi="Courier New"/>
                <w:sz w:val="13"/>
                <w:szCs w:val="13"/>
                <w:color w:val="auto"/>
              </w:rPr>
              <w:t>==================</w:t>
            </w:r>
          </w:p>
        </w:tc>
      </w:tr>
      <w:tr>
        <w:trPr>
          <w:trHeight w:val="308"/>
        </w:trPr>
        <w:tc>
          <w:tcPr>
            <w:tcW w:w="6460" w:type="dxa"/>
            <w:vAlign w:val="bottom"/>
          </w:tcPr>
          <w:p>
            <w:pPr>
              <w:ind w:left="400"/>
              <w:spacing w:after="0"/>
              <w:rPr>
                <w:sz w:val="20"/>
                <w:szCs w:val="20"/>
                <w:color w:val="auto"/>
              </w:rPr>
            </w:pPr>
            <w:r>
              <w:rPr>
                <w:rFonts w:ascii="Courier New" w:cs="Courier New" w:eastAsia="Courier New" w:hAnsi="Courier New"/>
                <w:sz w:val="13"/>
                <w:szCs w:val="13"/>
                <w:color w:val="auto"/>
              </w:rPr>
              <w:t>On July 20, 2001, the Company entered into a syndicated loan agreement with</w:t>
            </w: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154"/>
        </w:trPr>
        <w:tc>
          <w:tcPr>
            <w:tcW w:w="6460" w:type="dxa"/>
            <w:vAlign w:val="bottom"/>
          </w:tcPr>
          <w:p>
            <w:pPr>
              <w:ind w:left="400"/>
              <w:spacing w:after="0"/>
              <w:rPr>
                <w:sz w:val="20"/>
                <w:szCs w:val="20"/>
                <w:color w:val="auto"/>
              </w:rPr>
            </w:pPr>
            <w:r>
              <w:rPr>
                <w:rFonts w:ascii="Courier New" w:cs="Courier New" w:eastAsia="Courier New" w:hAnsi="Courier New"/>
                <w:sz w:val="13"/>
                <w:szCs w:val="13"/>
                <w:color w:val="auto"/>
              </w:rPr>
              <w:t>AmSouth Bank ("AmSouth") as the administrative agent for the lenders, for a</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360" w:type="dxa"/>
            <w:vAlign w:val="bottom"/>
          </w:tcPr>
          <w:p>
            <w:pPr>
              <w:spacing w:after="0"/>
              <w:rPr>
                <w:sz w:val="13"/>
                <w:szCs w:val="13"/>
                <w:color w:val="auto"/>
              </w:rPr>
            </w:pPr>
          </w:p>
        </w:tc>
      </w:tr>
      <w:tr>
        <w:trPr>
          <w:trHeight w:val="154"/>
        </w:trPr>
        <w:tc>
          <w:tcPr>
            <w:tcW w:w="6460" w:type="dxa"/>
            <w:vAlign w:val="bottom"/>
          </w:tcPr>
          <w:p>
            <w:pPr>
              <w:ind w:left="400"/>
              <w:spacing w:after="0"/>
              <w:rPr>
                <w:sz w:val="20"/>
                <w:szCs w:val="20"/>
                <w:color w:val="auto"/>
              </w:rPr>
            </w:pPr>
            <w:r>
              <w:rPr>
                <w:rFonts w:ascii="Courier New" w:cs="Courier New" w:eastAsia="Courier New" w:hAnsi="Courier New"/>
                <w:sz w:val="13"/>
                <w:szCs w:val="13"/>
                <w:color w:val="auto"/>
              </w:rPr>
              <w:t>senior non-secured revolving credit facility of up to $25,000, expiring on</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360" w:type="dxa"/>
            <w:vAlign w:val="bottom"/>
          </w:tcPr>
          <w:p>
            <w:pPr>
              <w:spacing w:after="0"/>
              <w:rPr>
                <w:sz w:val="13"/>
                <w:szCs w:val="13"/>
                <w:color w:val="auto"/>
              </w:rPr>
            </w:pPr>
          </w:p>
        </w:tc>
      </w:tr>
      <w:tr>
        <w:trPr>
          <w:trHeight w:val="154"/>
        </w:trPr>
        <w:tc>
          <w:tcPr>
            <w:tcW w:w="6460" w:type="dxa"/>
            <w:vAlign w:val="bottom"/>
          </w:tcPr>
          <w:p>
            <w:pPr>
              <w:ind w:left="400"/>
              <w:spacing w:after="0"/>
              <w:rPr>
                <w:sz w:val="20"/>
                <w:szCs w:val="20"/>
                <w:color w:val="auto"/>
              </w:rPr>
            </w:pPr>
            <w:r>
              <w:rPr>
                <w:rFonts w:ascii="Courier New" w:cs="Courier New" w:eastAsia="Courier New" w:hAnsi="Courier New"/>
                <w:sz w:val="13"/>
                <w:szCs w:val="13"/>
                <w:color w:val="auto"/>
              </w:rPr>
              <w:t>July 25, 2003 and a senior non-secured term loan for $35,000 expiring on</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360" w:type="dxa"/>
            <w:vAlign w:val="bottom"/>
          </w:tcPr>
          <w:p>
            <w:pPr>
              <w:spacing w:after="0"/>
              <w:rPr>
                <w:sz w:val="13"/>
                <w:szCs w:val="13"/>
                <w:color w:val="auto"/>
              </w:rPr>
            </w:pPr>
          </w:p>
        </w:tc>
      </w:tr>
      <w:tr>
        <w:trPr>
          <w:trHeight w:val="154"/>
        </w:trPr>
        <w:tc>
          <w:tcPr>
            <w:tcW w:w="6460" w:type="dxa"/>
            <w:vAlign w:val="bottom"/>
          </w:tcPr>
          <w:p>
            <w:pPr>
              <w:ind w:left="400"/>
              <w:spacing w:after="0"/>
              <w:rPr>
                <w:sz w:val="20"/>
                <w:szCs w:val="20"/>
                <w:color w:val="auto"/>
              </w:rPr>
            </w:pPr>
            <w:r>
              <w:rPr>
                <w:rFonts w:ascii="Courier New" w:cs="Courier New" w:eastAsia="Courier New" w:hAnsi="Courier New"/>
                <w:sz w:val="13"/>
                <w:szCs w:val="13"/>
                <w:color w:val="auto"/>
              </w:rPr>
              <w:t>July 1, 2006. On July 12, 2002, the Company amended this credit facility to</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360" w:type="dxa"/>
            <w:vAlign w:val="bottom"/>
          </w:tcPr>
          <w:p>
            <w:pPr>
              <w:spacing w:after="0"/>
              <w:rPr>
                <w:sz w:val="13"/>
                <w:szCs w:val="13"/>
                <w:color w:val="auto"/>
              </w:rPr>
            </w:pPr>
          </w:p>
        </w:tc>
      </w:tr>
      <w:tr>
        <w:trPr>
          <w:trHeight w:val="154"/>
        </w:trPr>
        <w:tc>
          <w:tcPr>
            <w:tcW w:w="6460" w:type="dxa"/>
            <w:vAlign w:val="bottom"/>
          </w:tcPr>
          <w:p>
            <w:pPr>
              <w:ind w:left="400"/>
              <w:spacing w:after="0"/>
              <w:rPr>
                <w:sz w:val="20"/>
                <w:szCs w:val="20"/>
                <w:color w:val="auto"/>
              </w:rPr>
            </w:pPr>
            <w:r>
              <w:rPr>
                <w:rFonts w:ascii="Courier New" w:cs="Courier New" w:eastAsia="Courier New" w:hAnsi="Courier New"/>
                <w:sz w:val="13"/>
                <w:szCs w:val="13"/>
                <w:color w:val="auto"/>
              </w:rPr>
              <w:t>convert the term loan portion into a reducing revolving credit line</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360" w:type="dxa"/>
            <w:vAlign w:val="bottom"/>
          </w:tcPr>
          <w:p>
            <w:pPr>
              <w:spacing w:after="0"/>
              <w:rPr>
                <w:sz w:val="13"/>
                <w:szCs w:val="13"/>
                <w:color w:val="auto"/>
              </w:rPr>
            </w:pPr>
          </w:p>
        </w:tc>
      </w:tr>
      <w:tr>
        <w:trPr>
          <w:trHeight w:val="154"/>
        </w:trPr>
        <w:tc>
          <w:tcPr>
            <w:tcW w:w="6460" w:type="dxa"/>
            <w:vAlign w:val="bottom"/>
          </w:tcPr>
          <w:p>
            <w:pPr>
              <w:ind w:left="400"/>
              <w:spacing w:after="0"/>
              <w:rPr>
                <w:sz w:val="20"/>
                <w:szCs w:val="20"/>
                <w:color w:val="auto"/>
              </w:rPr>
            </w:pPr>
            <w:r>
              <w:rPr>
                <w:rFonts w:ascii="Courier New" w:cs="Courier New" w:eastAsia="Courier New" w:hAnsi="Courier New"/>
                <w:sz w:val="13"/>
                <w:szCs w:val="13"/>
                <w:color w:val="auto"/>
              </w:rPr>
              <w:t>providing initial availability equivalent to the balance of the term loan</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360" w:type="dxa"/>
            <w:vAlign w:val="bottom"/>
          </w:tcPr>
          <w:p>
            <w:pPr>
              <w:spacing w:after="0"/>
              <w:rPr>
                <w:sz w:val="13"/>
                <w:szCs w:val="13"/>
                <w:color w:val="auto"/>
              </w:rPr>
            </w:pPr>
          </w:p>
        </w:tc>
      </w:tr>
      <w:tr>
        <w:trPr>
          <w:trHeight w:val="154"/>
        </w:trPr>
        <w:tc>
          <w:tcPr>
            <w:tcW w:w="6460" w:type="dxa"/>
            <w:vAlign w:val="bottom"/>
          </w:tcPr>
          <w:p>
            <w:pPr>
              <w:ind w:left="400"/>
              <w:spacing w:after="0"/>
              <w:rPr>
                <w:sz w:val="20"/>
                <w:szCs w:val="20"/>
                <w:color w:val="auto"/>
              </w:rPr>
            </w:pPr>
            <w:r>
              <w:rPr>
                <w:rFonts w:ascii="Courier New" w:cs="Courier New" w:eastAsia="Courier New" w:hAnsi="Courier New"/>
                <w:sz w:val="13"/>
                <w:szCs w:val="13"/>
                <w:color w:val="auto"/>
              </w:rPr>
              <w:t>prior to the amendment. Amounts available for borrowing under this facility</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360" w:type="dxa"/>
            <w:vAlign w:val="bottom"/>
          </w:tcPr>
          <w:p>
            <w:pPr>
              <w:spacing w:after="0"/>
              <w:rPr>
                <w:sz w:val="13"/>
                <w:szCs w:val="13"/>
                <w:color w:val="auto"/>
              </w:rPr>
            </w:pPr>
          </w:p>
        </w:tc>
      </w:tr>
      <w:tr>
        <w:trPr>
          <w:trHeight w:val="154"/>
        </w:trPr>
        <w:tc>
          <w:tcPr>
            <w:tcW w:w="6460" w:type="dxa"/>
            <w:vAlign w:val="bottom"/>
          </w:tcPr>
          <w:p>
            <w:pPr>
              <w:ind w:left="400"/>
              <w:spacing w:after="0"/>
              <w:rPr>
                <w:sz w:val="20"/>
                <w:szCs w:val="20"/>
                <w:color w:val="auto"/>
              </w:rPr>
            </w:pPr>
            <w:r>
              <w:rPr>
                <w:rFonts w:ascii="Courier New" w:cs="Courier New" w:eastAsia="Courier New" w:hAnsi="Courier New"/>
                <w:sz w:val="13"/>
                <w:szCs w:val="13"/>
                <w:color w:val="auto"/>
              </w:rPr>
              <w:t>will be reduced by $ 7.0 million per annum and the facility will expire on</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360" w:type="dxa"/>
            <w:vAlign w:val="bottom"/>
          </w:tcPr>
          <w:p>
            <w:pPr>
              <w:spacing w:after="0"/>
              <w:rPr>
                <w:sz w:val="13"/>
                <w:szCs w:val="13"/>
                <w:color w:val="auto"/>
              </w:rPr>
            </w:pPr>
          </w:p>
        </w:tc>
      </w:tr>
      <w:tr>
        <w:trPr>
          <w:trHeight w:val="154"/>
        </w:trPr>
        <w:tc>
          <w:tcPr>
            <w:tcW w:w="6460" w:type="dxa"/>
            <w:vAlign w:val="bottom"/>
          </w:tcPr>
          <w:p>
            <w:pPr>
              <w:ind w:left="400"/>
              <w:spacing w:after="0"/>
              <w:rPr>
                <w:sz w:val="20"/>
                <w:szCs w:val="20"/>
                <w:color w:val="auto"/>
              </w:rPr>
            </w:pPr>
            <w:r>
              <w:rPr>
                <w:rFonts w:ascii="Courier New" w:cs="Courier New" w:eastAsia="Courier New" w:hAnsi="Courier New"/>
                <w:sz w:val="13"/>
                <w:szCs w:val="13"/>
                <w:color w:val="auto"/>
              </w:rPr>
              <w:t>July 1, 2006. Additionally, on July 31, 2002, the Company amended the</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360" w:type="dxa"/>
            <w:vAlign w:val="bottom"/>
          </w:tcPr>
          <w:p>
            <w:pPr>
              <w:spacing w:after="0"/>
              <w:rPr>
                <w:sz w:val="13"/>
                <w:szCs w:val="13"/>
                <w:color w:val="auto"/>
              </w:rPr>
            </w:pPr>
          </w:p>
        </w:tc>
      </w:tr>
      <w:tr>
        <w:trPr>
          <w:trHeight w:val="154"/>
        </w:trPr>
        <w:tc>
          <w:tcPr>
            <w:tcW w:w="6460" w:type="dxa"/>
            <w:vAlign w:val="bottom"/>
          </w:tcPr>
          <w:p>
            <w:pPr>
              <w:ind w:left="400"/>
              <w:spacing w:after="0"/>
              <w:rPr>
                <w:sz w:val="20"/>
                <w:szCs w:val="20"/>
                <w:color w:val="auto"/>
              </w:rPr>
            </w:pPr>
            <w:r>
              <w:rPr>
                <w:rFonts w:ascii="Courier New" w:cs="Courier New" w:eastAsia="Courier New" w:hAnsi="Courier New"/>
                <w:sz w:val="13"/>
                <w:szCs w:val="13"/>
                <w:color w:val="auto"/>
              </w:rPr>
              <w:t>credit facility again to extend the $25 million senior non-secured</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360" w:type="dxa"/>
            <w:vAlign w:val="bottom"/>
          </w:tcPr>
          <w:p>
            <w:pPr>
              <w:spacing w:after="0"/>
              <w:rPr>
                <w:sz w:val="13"/>
                <w:szCs w:val="13"/>
                <w:color w:val="auto"/>
              </w:rPr>
            </w:pPr>
          </w:p>
        </w:tc>
      </w:tr>
      <w:tr>
        <w:trPr>
          <w:trHeight w:val="154"/>
        </w:trPr>
        <w:tc>
          <w:tcPr>
            <w:tcW w:w="6460" w:type="dxa"/>
            <w:vAlign w:val="bottom"/>
          </w:tcPr>
          <w:p>
            <w:pPr>
              <w:ind w:left="400"/>
              <w:spacing w:after="0"/>
              <w:rPr>
                <w:sz w:val="20"/>
                <w:szCs w:val="20"/>
                <w:color w:val="auto"/>
              </w:rPr>
            </w:pPr>
            <w:r>
              <w:rPr>
                <w:rFonts w:ascii="Courier New" w:cs="Courier New" w:eastAsia="Courier New" w:hAnsi="Courier New"/>
                <w:sz w:val="13"/>
                <w:szCs w:val="13"/>
                <w:color w:val="auto"/>
              </w:rPr>
              <w:t>revolving credit facility to July 25, 2004. Amounts outstanding under the</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360" w:type="dxa"/>
            <w:vAlign w:val="bottom"/>
          </w:tcPr>
          <w:p>
            <w:pPr>
              <w:spacing w:after="0"/>
              <w:rPr>
                <w:sz w:val="13"/>
                <w:szCs w:val="13"/>
                <w:color w:val="auto"/>
              </w:rPr>
            </w:pPr>
          </w:p>
        </w:tc>
      </w:tr>
      <w:tr>
        <w:trPr>
          <w:trHeight w:val="154"/>
        </w:trPr>
        <w:tc>
          <w:tcPr>
            <w:tcW w:w="6460" w:type="dxa"/>
            <w:vAlign w:val="bottom"/>
          </w:tcPr>
          <w:p>
            <w:pPr>
              <w:ind w:left="400"/>
              <w:spacing w:after="0"/>
              <w:rPr>
                <w:sz w:val="20"/>
                <w:szCs w:val="20"/>
                <w:color w:val="auto"/>
              </w:rPr>
            </w:pPr>
            <w:r>
              <w:rPr>
                <w:rFonts w:ascii="Courier New" w:cs="Courier New" w:eastAsia="Courier New" w:hAnsi="Courier New"/>
                <w:sz w:val="13"/>
                <w:szCs w:val="13"/>
                <w:color w:val="auto"/>
              </w:rPr>
              <w:t>revolving facility and term loan facility bear interest at a floating rate</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360" w:type="dxa"/>
            <w:vAlign w:val="bottom"/>
          </w:tcPr>
          <w:p>
            <w:pPr>
              <w:spacing w:after="0"/>
              <w:rPr>
                <w:sz w:val="13"/>
                <w:szCs w:val="13"/>
                <w:color w:val="auto"/>
              </w:rPr>
            </w:pPr>
          </w:p>
        </w:tc>
      </w:tr>
      <w:tr>
        <w:trPr>
          <w:trHeight w:val="154"/>
        </w:trPr>
        <w:tc>
          <w:tcPr>
            <w:tcW w:w="6460" w:type="dxa"/>
            <w:vAlign w:val="bottom"/>
          </w:tcPr>
          <w:p>
            <w:pPr>
              <w:ind w:left="400"/>
              <w:spacing w:after="0"/>
              <w:rPr>
                <w:sz w:val="20"/>
                <w:szCs w:val="20"/>
                <w:color w:val="auto"/>
              </w:rPr>
            </w:pPr>
            <w:r>
              <w:rPr>
                <w:rFonts w:ascii="Courier New" w:cs="Courier New" w:eastAsia="Courier New" w:hAnsi="Courier New"/>
                <w:sz w:val="13"/>
                <w:szCs w:val="13"/>
                <w:color w:val="auto"/>
              </w:rPr>
              <w:t>equal to LIBOR (1.38% at December 31, 2002) plus an applicable margin of</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360" w:type="dxa"/>
            <w:vAlign w:val="bottom"/>
          </w:tcPr>
          <w:p>
            <w:pPr>
              <w:spacing w:after="0"/>
              <w:rPr>
                <w:sz w:val="13"/>
                <w:szCs w:val="13"/>
                <w:color w:val="auto"/>
              </w:rPr>
            </w:pPr>
          </w:p>
        </w:tc>
      </w:tr>
      <w:tr>
        <w:trPr>
          <w:trHeight w:val="154"/>
        </w:trPr>
        <w:tc>
          <w:tcPr>
            <w:tcW w:w="6460" w:type="dxa"/>
            <w:vAlign w:val="bottom"/>
          </w:tcPr>
          <w:p>
            <w:pPr>
              <w:ind w:left="400"/>
              <w:spacing w:after="0"/>
              <w:rPr>
                <w:sz w:val="20"/>
                <w:szCs w:val="20"/>
                <w:color w:val="auto"/>
              </w:rPr>
            </w:pPr>
            <w:r>
              <w:rPr>
                <w:rFonts w:ascii="Courier New" w:cs="Courier New" w:eastAsia="Courier New" w:hAnsi="Courier New"/>
                <w:sz w:val="13"/>
                <w:szCs w:val="13"/>
                <w:color w:val="auto"/>
              </w:rPr>
              <w:t>0.75% to 2.00% based upon calculated financial ratios. The loan agreement</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360" w:type="dxa"/>
            <w:vAlign w:val="bottom"/>
          </w:tcPr>
          <w:p>
            <w:pPr>
              <w:spacing w:after="0"/>
              <w:rPr>
                <w:sz w:val="13"/>
                <w:szCs w:val="13"/>
                <w:color w:val="auto"/>
              </w:rPr>
            </w:pPr>
          </w:p>
        </w:tc>
      </w:tr>
      <w:tr>
        <w:trPr>
          <w:trHeight w:val="154"/>
        </w:trPr>
        <w:tc>
          <w:tcPr>
            <w:tcW w:w="6460" w:type="dxa"/>
            <w:vAlign w:val="bottom"/>
          </w:tcPr>
          <w:p>
            <w:pPr>
              <w:ind w:left="400"/>
              <w:spacing w:after="0"/>
              <w:rPr>
                <w:sz w:val="20"/>
                <w:szCs w:val="20"/>
                <w:color w:val="auto"/>
              </w:rPr>
            </w:pPr>
            <w:r>
              <w:rPr>
                <w:rFonts w:ascii="Courier New" w:cs="Courier New" w:eastAsia="Courier New" w:hAnsi="Courier New"/>
                <w:sz w:val="13"/>
                <w:szCs w:val="13"/>
                <w:color w:val="auto"/>
              </w:rPr>
              <w:t>contains customary financial and non-financial covenants. Such covenants</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360" w:type="dxa"/>
            <w:vAlign w:val="bottom"/>
          </w:tcPr>
          <w:p>
            <w:pPr>
              <w:spacing w:after="0"/>
              <w:rPr>
                <w:sz w:val="13"/>
                <w:szCs w:val="13"/>
                <w:color w:val="auto"/>
              </w:rPr>
            </w:pPr>
          </w:p>
        </w:tc>
      </w:tr>
      <w:tr>
        <w:trPr>
          <w:trHeight w:val="154"/>
        </w:trPr>
        <w:tc>
          <w:tcPr>
            <w:tcW w:w="6460" w:type="dxa"/>
            <w:vAlign w:val="bottom"/>
          </w:tcPr>
          <w:p>
            <w:pPr>
              <w:ind w:left="400"/>
              <w:spacing w:after="0"/>
              <w:rPr>
                <w:sz w:val="20"/>
                <w:szCs w:val="20"/>
                <w:color w:val="auto"/>
              </w:rPr>
            </w:pPr>
            <w:r>
              <w:rPr>
                <w:rFonts w:ascii="Courier New" w:cs="Courier New" w:eastAsia="Courier New" w:hAnsi="Courier New"/>
                <w:sz w:val="13"/>
                <w:szCs w:val="13"/>
                <w:color w:val="auto"/>
              </w:rPr>
              <w:t>specify that the Company must maintain a minimum fixed charge coverage</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360" w:type="dxa"/>
            <w:vAlign w:val="bottom"/>
          </w:tcPr>
          <w:p>
            <w:pPr>
              <w:spacing w:after="0"/>
              <w:rPr>
                <w:sz w:val="13"/>
                <w:szCs w:val="13"/>
                <w:color w:val="auto"/>
              </w:rPr>
            </w:pPr>
          </w:p>
        </w:tc>
      </w:tr>
      <w:tr>
        <w:trPr>
          <w:trHeight w:val="154"/>
        </w:trPr>
        <w:tc>
          <w:tcPr>
            <w:tcW w:w="6460" w:type="dxa"/>
            <w:vAlign w:val="bottom"/>
          </w:tcPr>
          <w:p>
            <w:pPr>
              <w:ind w:left="400"/>
              <w:spacing w:after="0"/>
              <w:rPr>
                <w:sz w:val="20"/>
                <w:szCs w:val="20"/>
                <w:color w:val="auto"/>
              </w:rPr>
            </w:pPr>
            <w:r>
              <w:rPr>
                <w:rFonts w:ascii="Courier New" w:cs="Courier New" w:eastAsia="Courier New" w:hAnsi="Courier New"/>
                <w:sz w:val="13"/>
                <w:szCs w:val="13"/>
                <w:color w:val="auto"/>
              </w:rPr>
              <w:t>ratio, must not exceed a maximum funded indebtedness to EBITDA ratio as</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360" w:type="dxa"/>
            <w:vAlign w:val="bottom"/>
          </w:tcPr>
          <w:p>
            <w:pPr>
              <w:spacing w:after="0"/>
              <w:rPr>
                <w:sz w:val="13"/>
                <w:szCs w:val="13"/>
                <w:color w:val="auto"/>
              </w:rPr>
            </w:pPr>
          </w:p>
        </w:tc>
      </w:tr>
      <w:tr>
        <w:trPr>
          <w:trHeight w:val="154"/>
        </w:trPr>
        <w:tc>
          <w:tcPr>
            <w:tcW w:w="6460" w:type="dxa"/>
            <w:vAlign w:val="bottom"/>
          </w:tcPr>
          <w:p>
            <w:pPr>
              <w:ind w:left="400"/>
              <w:spacing w:after="0"/>
              <w:rPr>
                <w:sz w:val="20"/>
                <w:szCs w:val="20"/>
                <w:color w:val="auto"/>
              </w:rPr>
            </w:pPr>
            <w:r>
              <w:rPr>
                <w:rFonts w:ascii="Courier New" w:cs="Courier New" w:eastAsia="Courier New" w:hAnsi="Courier New"/>
                <w:sz w:val="13"/>
                <w:szCs w:val="13"/>
                <w:color w:val="auto"/>
              </w:rPr>
              <w:t>well as a maximum funded indebtedness to capitalization ratio and limits</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360" w:type="dxa"/>
            <w:vAlign w:val="bottom"/>
          </w:tcPr>
          <w:p>
            <w:pPr>
              <w:spacing w:after="0"/>
              <w:rPr>
                <w:sz w:val="13"/>
                <w:szCs w:val="13"/>
                <w:color w:val="auto"/>
              </w:rPr>
            </w:pPr>
          </w:p>
        </w:tc>
      </w:tr>
      <w:tr>
        <w:trPr>
          <w:trHeight w:val="154"/>
        </w:trPr>
        <w:tc>
          <w:tcPr>
            <w:tcW w:w="6460" w:type="dxa"/>
            <w:vAlign w:val="bottom"/>
          </w:tcPr>
          <w:p>
            <w:pPr>
              <w:ind w:left="400"/>
              <w:spacing w:after="0"/>
              <w:rPr>
                <w:sz w:val="20"/>
                <w:szCs w:val="20"/>
                <w:color w:val="auto"/>
              </w:rPr>
            </w:pPr>
            <w:r>
              <w:rPr>
                <w:rFonts w:ascii="Courier New" w:cs="Courier New" w:eastAsia="Courier New" w:hAnsi="Courier New"/>
                <w:sz w:val="13"/>
                <w:szCs w:val="13"/>
                <w:color w:val="auto"/>
              </w:rPr>
              <w:t>the amount of capital expenditures we may make in any fiscal year. The loan</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360" w:type="dxa"/>
            <w:vAlign w:val="bottom"/>
          </w:tcPr>
          <w:p>
            <w:pPr>
              <w:spacing w:after="0"/>
              <w:rPr>
                <w:sz w:val="13"/>
                <w:szCs w:val="13"/>
                <w:color w:val="auto"/>
              </w:rPr>
            </w:pPr>
          </w:p>
        </w:tc>
      </w:tr>
      <w:tr>
        <w:trPr>
          <w:trHeight w:val="154"/>
        </w:trPr>
        <w:tc>
          <w:tcPr>
            <w:tcW w:w="6460" w:type="dxa"/>
            <w:vAlign w:val="bottom"/>
          </w:tcPr>
          <w:p>
            <w:pPr>
              <w:ind w:left="400"/>
              <w:spacing w:after="0"/>
              <w:rPr>
                <w:sz w:val="20"/>
                <w:szCs w:val="20"/>
                <w:color w:val="auto"/>
              </w:rPr>
            </w:pPr>
            <w:r>
              <w:rPr>
                <w:rFonts w:ascii="Courier New" w:cs="Courier New" w:eastAsia="Courier New" w:hAnsi="Courier New"/>
                <w:sz w:val="13"/>
                <w:szCs w:val="13"/>
                <w:color w:val="auto"/>
              </w:rPr>
              <w:t>agreement also contains customary restrictions on, among other things,</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360" w:type="dxa"/>
            <w:vAlign w:val="bottom"/>
          </w:tcPr>
          <w:p>
            <w:pPr>
              <w:spacing w:after="0"/>
              <w:rPr>
                <w:sz w:val="13"/>
                <w:szCs w:val="13"/>
                <w:color w:val="auto"/>
              </w:rPr>
            </w:pPr>
          </w:p>
        </w:tc>
      </w:tr>
      <w:tr>
        <w:trPr>
          <w:trHeight w:val="154"/>
        </w:trPr>
        <w:tc>
          <w:tcPr>
            <w:tcW w:w="6460" w:type="dxa"/>
            <w:vAlign w:val="bottom"/>
          </w:tcPr>
          <w:p>
            <w:pPr>
              <w:ind w:left="400"/>
              <w:spacing w:after="0"/>
              <w:rPr>
                <w:sz w:val="20"/>
                <w:szCs w:val="20"/>
                <w:color w:val="auto"/>
              </w:rPr>
            </w:pPr>
            <w:r>
              <w:rPr>
                <w:rFonts w:ascii="Courier New" w:cs="Courier New" w:eastAsia="Courier New" w:hAnsi="Courier New"/>
                <w:sz w:val="13"/>
                <w:szCs w:val="13"/>
                <w:color w:val="auto"/>
              </w:rPr>
              <w:t>additional indebtedness, liens on the Company's assets, sales or transfers</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360" w:type="dxa"/>
            <w:vAlign w:val="bottom"/>
          </w:tcPr>
          <w:p>
            <w:pPr>
              <w:spacing w:after="0"/>
              <w:rPr>
                <w:sz w:val="13"/>
                <w:szCs w:val="13"/>
                <w:color w:val="auto"/>
              </w:rPr>
            </w:pPr>
          </w:p>
        </w:tc>
      </w:tr>
      <w:tr>
        <w:trPr>
          <w:trHeight w:val="154"/>
        </w:trPr>
        <w:tc>
          <w:tcPr>
            <w:tcW w:w="6460" w:type="dxa"/>
            <w:vAlign w:val="bottom"/>
          </w:tcPr>
          <w:p>
            <w:pPr>
              <w:ind w:left="400"/>
              <w:spacing w:after="0"/>
              <w:rPr>
                <w:sz w:val="20"/>
                <w:szCs w:val="20"/>
                <w:color w:val="auto"/>
              </w:rPr>
            </w:pPr>
            <w:r>
              <w:rPr>
                <w:rFonts w:ascii="Courier New" w:cs="Courier New" w:eastAsia="Courier New" w:hAnsi="Courier New"/>
                <w:sz w:val="13"/>
                <w:szCs w:val="13"/>
                <w:color w:val="auto"/>
              </w:rPr>
              <w:t>of assets, investments, restricted payments (including payment of dividends</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360" w:type="dxa"/>
            <w:vAlign w:val="bottom"/>
          </w:tcPr>
          <w:p>
            <w:pPr>
              <w:spacing w:after="0"/>
              <w:rPr>
                <w:sz w:val="13"/>
                <w:szCs w:val="13"/>
                <w:color w:val="auto"/>
              </w:rPr>
            </w:pPr>
          </w:p>
        </w:tc>
      </w:tr>
      <w:tr>
        <w:trPr>
          <w:trHeight w:val="154"/>
        </w:trPr>
        <w:tc>
          <w:tcPr>
            <w:tcW w:w="6460" w:type="dxa"/>
            <w:vAlign w:val="bottom"/>
          </w:tcPr>
          <w:p>
            <w:pPr>
              <w:ind w:left="400"/>
              <w:spacing w:after="0"/>
              <w:rPr>
                <w:sz w:val="20"/>
                <w:szCs w:val="20"/>
                <w:color w:val="auto"/>
              </w:rPr>
            </w:pPr>
            <w:r>
              <w:rPr>
                <w:rFonts w:ascii="Courier New" w:cs="Courier New" w:eastAsia="Courier New" w:hAnsi="Courier New"/>
                <w:sz w:val="13"/>
                <w:szCs w:val="13"/>
                <w:color w:val="auto"/>
              </w:rPr>
              <w:t>and stock repurchases), issuance of equity securities, and mergers,</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360" w:type="dxa"/>
            <w:vAlign w:val="bottom"/>
          </w:tcPr>
          <w:p>
            <w:pPr>
              <w:spacing w:after="0"/>
              <w:rPr>
                <w:sz w:val="13"/>
                <w:szCs w:val="13"/>
                <w:color w:val="auto"/>
              </w:rPr>
            </w:pPr>
          </w:p>
        </w:tc>
      </w:tr>
      <w:tr>
        <w:trPr>
          <w:trHeight w:val="154"/>
        </w:trPr>
        <w:tc>
          <w:tcPr>
            <w:tcW w:w="6460" w:type="dxa"/>
            <w:vAlign w:val="bottom"/>
          </w:tcPr>
          <w:p>
            <w:pPr>
              <w:ind w:left="400"/>
              <w:spacing w:after="0"/>
              <w:rPr>
                <w:sz w:val="20"/>
                <w:szCs w:val="20"/>
                <w:color w:val="auto"/>
              </w:rPr>
            </w:pPr>
            <w:r>
              <w:rPr>
                <w:rFonts w:ascii="Courier New" w:cs="Courier New" w:eastAsia="Courier New" w:hAnsi="Courier New"/>
                <w:sz w:val="13"/>
                <w:szCs w:val="13"/>
                <w:color w:val="auto"/>
              </w:rPr>
              <w:t>acquisitions and other fundamental changes in the Company's business.</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360" w:type="dxa"/>
            <w:vAlign w:val="bottom"/>
          </w:tcPr>
          <w:p>
            <w:pPr>
              <w:spacing w:after="0"/>
              <w:rPr>
                <w:sz w:val="13"/>
                <w:szCs w:val="13"/>
                <w:color w:val="auto"/>
              </w:rPr>
            </w:pPr>
          </w:p>
        </w:tc>
      </w:tr>
      <w:tr>
        <w:trPr>
          <w:trHeight w:val="154"/>
        </w:trPr>
        <w:tc>
          <w:tcPr>
            <w:tcW w:w="6460" w:type="dxa"/>
            <w:vAlign w:val="bottom"/>
          </w:tcPr>
          <w:p>
            <w:pPr>
              <w:ind w:left="400"/>
              <w:spacing w:after="0"/>
              <w:rPr>
                <w:sz w:val="20"/>
                <w:szCs w:val="20"/>
                <w:color w:val="auto"/>
              </w:rPr>
            </w:pPr>
            <w:r>
              <w:rPr>
                <w:rFonts w:ascii="Courier New" w:cs="Courier New" w:eastAsia="Courier New" w:hAnsi="Courier New"/>
                <w:sz w:val="13"/>
                <w:szCs w:val="13"/>
                <w:color w:val="auto"/>
              </w:rPr>
              <w:t>Additionally, the terms of the Company's loan agreement restrict the</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360" w:type="dxa"/>
            <w:vAlign w:val="bottom"/>
          </w:tcPr>
          <w:p>
            <w:pPr>
              <w:spacing w:after="0"/>
              <w:rPr>
                <w:sz w:val="13"/>
                <w:szCs w:val="13"/>
                <w:color w:val="auto"/>
              </w:rPr>
            </w:pPr>
          </w:p>
        </w:tc>
      </w:tr>
      <w:tr>
        <w:trPr>
          <w:trHeight w:val="154"/>
        </w:trPr>
        <w:tc>
          <w:tcPr>
            <w:tcW w:w="6460" w:type="dxa"/>
            <w:vAlign w:val="bottom"/>
          </w:tcPr>
          <w:p>
            <w:pPr>
              <w:ind w:left="400"/>
              <w:spacing w:after="0"/>
              <w:rPr>
                <w:sz w:val="20"/>
                <w:szCs w:val="20"/>
                <w:color w:val="auto"/>
              </w:rPr>
            </w:pPr>
            <w:r>
              <w:rPr>
                <w:rFonts w:ascii="Courier New" w:cs="Courier New" w:eastAsia="Courier New" w:hAnsi="Courier New"/>
                <w:sz w:val="13"/>
                <w:szCs w:val="13"/>
                <w:color w:val="auto"/>
              </w:rPr>
              <w:t>declaration and payment of dividends in excess of $5.5 million in any</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360" w:type="dxa"/>
            <w:vAlign w:val="bottom"/>
          </w:tcPr>
          <w:p>
            <w:pPr>
              <w:spacing w:after="0"/>
              <w:rPr>
                <w:sz w:val="13"/>
                <w:szCs w:val="13"/>
                <w:color w:val="auto"/>
              </w:rPr>
            </w:pPr>
          </w:p>
        </w:tc>
      </w:tr>
      <w:tr>
        <w:trPr>
          <w:trHeight w:val="154"/>
        </w:trPr>
        <w:tc>
          <w:tcPr>
            <w:tcW w:w="6460" w:type="dxa"/>
            <w:vAlign w:val="bottom"/>
          </w:tcPr>
          <w:p>
            <w:pPr>
              <w:ind w:left="400"/>
              <w:spacing w:after="0"/>
              <w:rPr>
                <w:sz w:val="20"/>
                <w:szCs w:val="20"/>
                <w:color w:val="auto"/>
              </w:rPr>
            </w:pPr>
            <w:r>
              <w:rPr>
                <w:rFonts w:ascii="Courier New" w:cs="Courier New" w:eastAsia="Courier New" w:hAnsi="Courier New"/>
                <w:sz w:val="13"/>
                <w:szCs w:val="13"/>
                <w:color w:val="auto"/>
              </w:rPr>
              <w:t>fiscal year. The Company's ownership in NN Euroball ApS has been pledged as</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360" w:type="dxa"/>
            <w:vAlign w:val="bottom"/>
          </w:tcPr>
          <w:p>
            <w:pPr>
              <w:spacing w:after="0"/>
              <w:rPr>
                <w:sz w:val="13"/>
                <w:szCs w:val="13"/>
                <w:color w:val="auto"/>
              </w:rPr>
            </w:pPr>
          </w:p>
        </w:tc>
      </w:tr>
      <w:tr>
        <w:trPr>
          <w:trHeight w:val="154"/>
        </w:trPr>
        <w:tc>
          <w:tcPr>
            <w:tcW w:w="6460" w:type="dxa"/>
            <w:vAlign w:val="bottom"/>
          </w:tcPr>
          <w:p>
            <w:pPr>
              <w:ind w:left="400"/>
              <w:spacing w:after="0"/>
              <w:rPr>
                <w:sz w:val="20"/>
                <w:szCs w:val="20"/>
                <w:color w:val="auto"/>
              </w:rPr>
            </w:pPr>
            <w:r>
              <w:rPr>
                <w:rFonts w:ascii="Courier New" w:cs="Courier New" w:eastAsia="Courier New" w:hAnsi="Courier New"/>
                <w:sz w:val="13"/>
                <w:szCs w:val="13"/>
                <w:color w:val="auto"/>
              </w:rPr>
              <w:t>collateral. The Company was in compliance with all such covenants as of</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360" w:type="dxa"/>
            <w:vAlign w:val="bottom"/>
          </w:tcPr>
          <w:p>
            <w:pPr>
              <w:spacing w:after="0"/>
              <w:rPr>
                <w:sz w:val="13"/>
                <w:szCs w:val="13"/>
                <w:color w:val="auto"/>
              </w:rPr>
            </w:pPr>
          </w:p>
        </w:tc>
      </w:tr>
      <w:tr>
        <w:trPr>
          <w:trHeight w:val="154"/>
        </w:trPr>
        <w:tc>
          <w:tcPr>
            <w:tcW w:w="6460" w:type="dxa"/>
            <w:vAlign w:val="bottom"/>
          </w:tcPr>
          <w:p>
            <w:pPr>
              <w:ind w:left="400"/>
              <w:spacing w:after="0"/>
              <w:rPr>
                <w:sz w:val="20"/>
                <w:szCs w:val="20"/>
                <w:color w:val="auto"/>
              </w:rPr>
            </w:pPr>
            <w:r>
              <w:rPr>
                <w:rFonts w:ascii="Courier New" w:cs="Courier New" w:eastAsia="Courier New" w:hAnsi="Courier New"/>
                <w:sz w:val="13"/>
                <w:szCs w:val="13"/>
                <w:color w:val="auto"/>
              </w:rPr>
              <w:t>December 31, 2002.</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360" w:type="dxa"/>
            <w:vAlign w:val="bottom"/>
          </w:tcPr>
          <w:p>
            <w:pPr>
              <w:spacing w:after="0"/>
              <w:rPr>
                <w:sz w:val="13"/>
                <w:szCs w:val="13"/>
                <w:color w:val="auto"/>
              </w:rPr>
            </w:pPr>
          </w:p>
        </w:tc>
      </w:tr>
      <w:tr>
        <w:trPr>
          <w:trHeight w:val="308"/>
        </w:trPr>
        <w:tc>
          <w:tcPr>
            <w:tcW w:w="6460" w:type="dxa"/>
            <w:vAlign w:val="bottom"/>
          </w:tcPr>
          <w:p>
            <w:pPr>
              <w:ind w:left="400"/>
              <w:spacing w:after="0"/>
              <w:rPr>
                <w:sz w:val="20"/>
                <w:szCs w:val="20"/>
                <w:color w:val="auto"/>
              </w:rPr>
            </w:pPr>
            <w:r>
              <w:rPr>
                <w:rFonts w:ascii="Courier New" w:cs="Courier New" w:eastAsia="Courier New" w:hAnsi="Courier New"/>
                <w:sz w:val="13"/>
                <w:szCs w:val="13"/>
                <w:color w:val="auto"/>
              </w:rPr>
              <w:t>In connection with the Euroball transaction (see Note 2) the Company and NN</w:t>
            </w: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154"/>
        </w:trPr>
        <w:tc>
          <w:tcPr>
            <w:tcW w:w="6460" w:type="dxa"/>
            <w:vAlign w:val="bottom"/>
          </w:tcPr>
          <w:p>
            <w:pPr>
              <w:ind w:left="400"/>
              <w:spacing w:after="0"/>
              <w:rPr>
                <w:sz w:val="20"/>
                <w:szCs w:val="20"/>
                <w:color w:val="auto"/>
              </w:rPr>
            </w:pPr>
            <w:r>
              <w:rPr>
                <w:rFonts w:ascii="Courier New" w:cs="Courier New" w:eastAsia="Courier New" w:hAnsi="Courier New"/>
                <w:sz w:val="13"/>
                <w:szCs w:val="13"/>
                <w:color w:val="auto"/>
              </w:rPr>
              <w:t>Euroball ApS, entered into a Facility Agreement with a bank to provide up</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360" w:type="dxa"/>
            <w:vAlign w:val="bottom"/>
          </w:tcPr>
          <w:p>
            <w:pPr>
              <w:spacing w:after="0"/>
              <w:rPr>
                <w:sz w:val="13"/>
                <w:szCs w:val="13"/>
                <w:color w:val="auto"/>
              </w:rPr>
            </w:pPr>
          </w:p>
        </w:tc>
      </w:tr>
      <w:tr>
        <w:trPr>
          <w:trHeight w:val="154"/>
        </w:trPr>
        <w:tc>
          <w:tcPr>
            <w:tcW w:w="6460" w:type="dxa"/>
            <w:vAlign w:val="bottom"/>
          </w:tcPr>
          <w:p>
            <w:pPr>
              <w:ind w:left="400"/>
              <w:spacing w:after="0"/>
              <w:rPr>
                <w:sz w:val="20"/>
                <w:szCs w:val="20"/>
                <w:color w:val="auto"/>
              </w:rPr>
            </w:pPr>
            <w:r>
              <w:rPr>
                <w:rFonts w:ascii="Courier New" w:cs="Courier New" w:eastAsia="Courier New" w:hAnsi="Courier New"/>
                <w:sz w:val="13"/>
                <w:szCs w:val="13"/>
                <w:color w:val="auto"/>
              </w:rPr>
              <w:t>to Euro 36,000 in Term Loans and Euro 5,000 in revolving credit loans. The</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360" w:type="dxa"/>
            <w:vAlign w:val="bottom"/>
          </w:tcPr>
          <w:p>
            <w:pPr>
              <w:spacing w:after="0"/>
              <w:rPr>
                <w:sz w:val="13"/>
                <w:szCs w:val="13"/>
                <w:color w:val="auto"/>
              </w:rPr>
            </w:pPr>
          </w:p>
        </w:tc>
      </w:tr>
      <w:tr>
        <w:trPr>
          <w:trHeight w:val="154"/>
        </w:trPr>
        <w:tc>
          <w:tcPr>
            <w:tcW w:w="6460" w:type="dxa"/>
            <w:vAlign w:val="bottom"/>
          </w:tcPr>
          <w:p>
            <w:pPr>
              <w:ind w:left="400"/>
              <w:spacing w:after="0"/>
              <w:rPr>
                <w:sz w:val="20"/>
                <w:szCs w:val="20"/>
                <w:color w:val="auto"/>
              </w:rPr>
            </w:pPr>
            <w:r>
              <w:rPr>
                <w:rFonts w:ascii="Courier New" w:cs="Courier New" w:eastAsia="Courier New" w:hAnsi="Courier New"/>
                <w:sz w:val="13"/>
                <w:szCs w:val="13"/>
                <w:color w:val="auto"/>
              </w:rPr>
              <w:t>Company borrowed Euro 30,500 ($28,755) under the term loan facility and</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360" w:type="dxa"/>
            <w:vAlign w:val="bottom"/>
          </w:tcPr>
          <w:p>
            <w:pPr>
              <w:spacing w:after="0"/>
              <w:rPr>
                <w:sz w:val="13"/>
                <w:szCs w:val="13"/>
                <w:color w:val="auto"/>
              </w:rPr>
            </w:pPr>
          </w:p>
        </w:tc>
      </w:tr>
      <w:tr>
        <w:trPr>
          <w:trHeight w:val="154"/>
        </w:trPr>
        <w:tc>
          <w:tcPr>
            <w:tcW w:w="6460" w:type="dxa"/>
            <w:vAlign w:val="bottom"/>
          </w:tcPr>
          <w:p>
            <w:pPr>
              <w:ind w:left="400"/>
              <w:spacing w:after="0"/>
              <w:rPr>
                <w:sz w:val="20"/>
                <w:szCs w:val="20"/>
                <w:color w:val="auto"/>
              </w:rPr>
            </w:pPr>
            <w:r>
              <w:rPr>
                <w:rFonts w:ascii="Courier New" w:cs="Courier New" w:eastAsia="Courier New" w:hAnsi="Courier New"/>
                <w:sz w:val="13"/>
                <w:szCs w:val="13"/>
                <w:color w:val="auto"/>
              </w:rPr>
              <w:t>Euro 1,000 ($943) under the revolving credit facility. Amounts outstanding</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360" w:type="dxa"/>
            <w:vAlign w:val="bottom"/>
          </w:tcPr>
          <w:p>
            <w:pPr>
              <w:spacing w:after="0"/>
              <w:rPr>
                <w:sz w:val="13"/>
                <w:szCs w:val="13"/>
                <w:color w:val="auto"/>
              </w:rPr>
            </w:pPr>
          </w:p>
        </w:tc>
      </w:tr>
      <w:tr>
        <w:trPr>
          <w:trHeight w:val="154"/>
        </w:trPr>
        <w:tc>
          <w:tcPr>
            <w:tcW w:w="6460" w:type="dxa"/>
            <w:vAlign w:val="bottom"/>
          </w:tcPr>
          <w:p>
            <w:pPr>
              <w:ind w:left="400"/>
              <w:spacing w:after="0"/>
              <w:rPr>
                <w:sz w:val="20"/>
                <w:szCs w:val="20"/>
                <w:color w:val="auto"/>
              </w:rPr>
            </w:pPr>
            <w:r>
              <w:rPr>
                <w:rFonts w:ascii="Courier New" w:cs="Courier New" w:eastAsia="Courier New" w:hAnsi="Courier New"/>
                <w:sz w:val="13"/>
                <w:szCs w:val="13"/>
                <w:color w:val="auto"/>
              </w:rPr>
              <w:t>under the Facility Agreement are secured by inventory and accounts</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360" w:type="dxa"/>
            <w:vAlign w:val="bottom"/>
          </w:tcPr>
          <w:p>
            <w:pPr>
              <w:spacing w:after="0"/>
              <w:rPr>
                <w:sz w:val="13"/>
                <w:szCs w:val="13"/>
                <w:color w:val="auto"/>
              </w:rPr>
            </w:pPr>
          </w:p>
        </w:tc>
      </w:tr>
      <w:tr>
        <w:trPr>
          <w:trHeight w:val="154"/>
        </w:trPr>
        <w:tc>
          <w:tcPr>
            <w:tcW w:w="6460" w:type="dxa"/>
            <w:vAlign w:val="bottom"/>
          </w:tcPr>
          <w:p>
            <w:pPr>
              <w:ind w:left="400"/>
              <w:spacing w:after="0"/>
              <w:rPr>
                <w:sz w:val="20"/>
                <w:szCs w:val="20"/>
                <w:color w:val="auto"/>
              </w:rPr>
            </w:pPr>
            <w:r>
              <w:rPr>
                <w:rFonts w:ascii="Courier New" w:cs="Courier New" w:eastAsia="Courier New" w:hAnsi="Courier New"/>
                <w:sz w:val="13"/>
                <w:szCs w:val="13"/>
                <w:color w:val="auto"/>
              </w:rPr>
              <w:t>receivable</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360" w:type="dxa"/>
            <w:vAlign w:val="bottom"/>
          </w:tcPr>
          <w:p>
            <w:pPr>
              <w:spacing w:after="0"/>
              <w:rPr>
                <w:sz w:val="13"/>
                <w:szCs w:val="13"/>
                <w:color w:val="auto"/>
              </w:rPr>
            </w:pPr>
          </w:p>
        </w:tc>
      </w:tr>
      <w:tr>
        <w:trPr>
          <w:trHeight w:val="463"/>
        </w:trPr>
        <w:tc>
          <w:tcPr>
            <w:tcW w:w="6460" w:type="dxa"/>
            <w:vAlign w:val="bottom"/>
          </w:tcPr>
          <w:p>
            <w:pPr>
              <w:ind w:left="5700"/>
              <w:spacing w:after="0"/>
              <w:rPr>
                <w:sz w:val="20"/>
                <w:szCs w:val="20"/>
                <w:color w:val="auto"/>
              </w:rPr>
            </w:pPr>
            <w:r>
              <w:rPr>
                <w:rFonts w:ascii="Courier New" w:cs="Courier New" w:eastAsia="Courier New" w:hAnsi="Courier New"/>
                <w:sz w:val="13"/>
                <w:szCs w:val="13"/>
                <w:color w:val="auto"/>
              </w:rPr>
              <w:t>Continued</w:t>
            </w: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463"/>
        </w:trPr>
        <w:tc>
          <w:tcPr>
            <w:tcW w:w="6460" w:type="dxa"/>
            <w:vAlign w:val="bottom"/>
          </w:tcPr>
          <w:p>
            <w:pPr>
              <w:ind w:left="3120"/>
              <w:spacing w:after="0"/>
              <w:rPr>
                <w:sz w:val="20"/>
                <w:szCs w:val="20"/>
                <w:color w:val="auto"/>
              </w:rPr>
            </w:pPr>
            <w:r>
              <w:rPr>
                <w:rFonts w:ascii="Courier New" w:cs="Courier New" w:eastAsia="Courier New" w:hAnsi="Courier New"/>
                <w:sz w:val="13"/>
                <w:szCs w:val="13"/>
                <w:color w:val="auto"/>
              </w:rPr>
              <w:t>40</w:t>
            </w: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2"/>
        </w:trPr>
        <w:tc>
          <w:tcPr>
            <w:tcW w:w="64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-25400</wp:posOffset>
            </wp:positionV>
            <wp:extent cx="3175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-25400</wp:posOffset>
            </wp:positionV>
            <wp:extent cx="3175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center"/>
        <w:ind w:right="5040"/>
        <w:spacing w:after="0"/>
        <w:rPr>
          <w:sz w:val="20"/>
          <w:szCs w:val="20"/>
          <w:color w:val="auto"/>
        </w:rPr>
      </w:pPr>
      <w:r>
        <w:rPr>
          <w:rFonts w:ascii="Courier New" w:cs="Courier New" w:eastAsia="Courier New" w:hAnsi="Courier New"/>
          <w:sz w:val="13"/>
          <w:szCs w:val="13"/>
          <w:b w:val="1"/>
          <w:bCs w:val="1"/>
          <w:color w:val="auto"/>
        </w:rPr>
        <w:t>NN, Inc.</w:t>
      </w:r>
    </w:p>
    <w:p>
      <w:pPr>
        <w:spacing w:after="0" w:line="7" w:lineRule="exact"/>
        <w:rPr>
          <w:sz w:val="20"/>
          <w:szCs w:val="20"/>
          <w:color w:val="auto"/>
        </w:rPr>
      </w:pPr>
    </w:p>
    <w:p>
      <w:pPr>
        <w:jc w:val="center"/>
        <w:ind w:right="5040"/>
        <w:spacing w:after="0"/>
        <w:rPr>
          <w:sz w:val="20"/>
          <w:szCs w:val="20"/>
          <w:color w:val="auto"/>
        </w:rPr>
      </w:pPr>
      <w:r>
        <w:rPr>
          <w:rFonts w:ascii="Courier New" w:cs="Courier New" w:eastAsia="Courier New" w:hAnsi="Courier New"/>
          <w:sz w:val="13"/>
          <w:szCs w:val="13"/>
          <w:b w:val="1"/>
          <w:bCs w:val="1"/>
          <w:color w:val="auto"/>
        </w:rPr>
        <w:t>Notes to Consolidated Financial Statements</w:t>
      </w:r>
    </w:p>
    <w:p>
      <w:pPr>
        <w:spacing w:after="0" w:line="7" w:lineRule="exact"/>
        <w:rPr>
          <w:sz w:val="20"/>
          <w:szCs w:val="20"/>
          <w:color w:val="auto"/>
        </w:rPr>
      </w:pPr>
    </w:p>
    <w:p>
      <w:pPr>
        <w:ind w:left="1920"/>
        <w:spacing w:after="0"/>
        <w:rPr>
          <w:sz w:val="20"/>
          <w:szCs w:val="20"/>
          <w:color w:val="auto"/>
        </w:rPr>
      </w:pPr>
      <w:r>
        <w:rPr>
          <w:rFonts w:ascii="Courier New" w:cs="Courier New" w:eastAsia="Courier New" w:hAnsi="Courier New"/>
          <w:sz w:val="13"/>
          <w:szCs w:val="13"/>
          <w:b w:val="1"/>
          <w:bCs w:val="1"/>
          <w:color w:val="auto"/>
        </w:rPr>
        <w:t>December 31, 2002, 2001 and 2000</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3"/>
          <w:szCs w:val="13"/>
          <w:b w:val="1"/>
          <w:bCs w:val="1"/>
          <w:color w:val="auto"/>
        </w:rPr>
        <w:t>(In thousands, except per share data)</w:t>
      </w:r>
    </w:p>
    <w:p>
      <w:pPr>
        <w:spacing w:after="0" w:line="161"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and bear interest at EURIBOR (2.87% at December 31, 2002) plus an</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applicable margin between 0.8% and 2.25% based upon financial ratios.</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The shareholders of NN Euroball ApS have provided guarantees for the</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Facility Agreement. The Facility Agreement contains restrictive</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covenants, which specify, among other things, restrictions on the</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incurrence of indebtedness and the maintenance of certain financial</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ratios. Euroball was in compliance with all such covenants at December</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31, 2002. Amounts outstanding under the Facility Agreement are secured</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by the stock, inventory and accounts receivable of NN Euroball ApS. At</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December 31, 2002, Euro 9.8 million was available to Euroball under</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these facilities.</w:t>
      </w:r>
    </w:p>
    <w:p>
      <w:pPr>
        <w:spacing w:after="0" w:line="161"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The aggregate maturities of long-term debt for each of the five years</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subsequent to December 31, 2002 are as follows:</w:t>
      </w:r>
    </w:p>
    <w:p>
      <w:pPr>
        <w:spacing w:after="0" w:line="161" w:lineRule="exact"/>
        <w:rPr>
          <w:sz w:val="20"/>
          <w:szCs w:val="20"/>
          <w:color w:val="auto"/>
        </w:rPr>
      </w:pPr>
    </w:p>
    <w:tbl>
      <w:tblPr>
        <w:tblLayout w:type="fixed"/>
        <w:tblInd w:w="1040" w:type="dxa"/>
        <w:tblCellMar>
          <w:top w:w="0" w:type="dxa"/>
          <w:left w:w="0" w:type="dxa"/>
          <w:bottom w:w="0" w:type="dxa"/>
          <w:right w:w="0" w:type="dxa"/>
        </w:tblCellMar>
      </w:tblPr>
      <w:tr>
        <w:trPr>
          <w:trHeight w:val="149"/>
        </w:trPr>
        <w:tc>
          <w:tcPr>
            <w:tcW w:w="960" w:type="dxa"/>
            <w:vAlign w:val="bottom"/>
          </w:tcPr>
          <w:p>
            <w:pPr>
              <w:spacing w:after="0"/>
              <w:rPr>
                <w:sz w:val="20"/>
                <w:szCs w:val="20"/>
                <w:color w:val="auto"/>
              </w:rPr>
            </w:pPr>
            <w:r>
              <w:rPr>
                <w:rFonts w:ascii="Courier New" w:cs="Courier New" w:eastAsia="Courier New" w:hAnsi="Courier New"/>
                <w:sz w:val="13"/>
                <w:szCs w:val="13"/>
                <w:color w:val="auto"/>
              </w:rPr>
              <w:t>2003</w:t>
            </w:r>
          </w:p>
        </w:tc>
        <w:tc>
          <w:tcPr>
            <w:tcW w:w="15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$7,000</w:t>
            </w:r>
          </w:p>
        </w:tc>
      </w:tr>
      <w:tr>
        <w:trPr>
          <w:trHeight w:val="154"/>
        </w:trPr>
        <w:tc>
          <w:tcPr>
            <w:tcW w:w="960" w:type="dxa"/>
            <w:vAlign w:val="bottom"/>
          </w:tcPr>
          <w:p>
            <w:pPr>
              <w:spacing w:after="0"/>
              <w:rPr>
                <w:sz w:val="20"/>
                <w:szCs w:val="20"/>
                <w:color w:val="auto"/>
              </w:rPr>
            </w:pPr>
            <w:r>
              <w:rPr>
                <w:rFonts w:ascii="Courier New" w:cs="Courier New" w:eastAsia="Courier New" w:hAnsi="Courier New"/>
                <w:sz w:val="13"/>
                <w:szCs w:val="13"/>
                <w:color w:val="auto"/>
              </w:rPr>
              <w:t>2004</w:t>
            </w:r>
          </w:p>
        </w:tc>
        <w:tc>
          <w:tcPr>
            <w:tcW w:w="15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31,270</w:t>
            </w:r>
          </w:p>
        </w:tc>
      </w:tr>
      <w:tr>
        <w:trPr>
          <w:trHeight w:val="154"/>
        </w:trPr>
        <w:tc>
          <w:tcPr>
            <w:tcW w:w="960" w:type="dxa"/>
            <w:vAlign w:val="bottom"/>
          </w:tcPr>
          <w:p>
            <w:pPr>
              <w:spacing w:after="0"/>
              <w:rPr>
                <w:sz w:val="20"/>
                <w:szCs w:val="20"/>
                <w:color w:val="auto"/>
              </w:rPr>
            </w:pPr>
            <w:r>
              <w:rPr>
                <w:rFonts w:ascii="Courier New" w:cs="Courier New" w:eastAsia="Courier New" w:hAnsi="Courier New"/>
                <w:sz w:val="13"/>
                <w:szCs w:val="13"/>
                <w:color w:val="auto"/>
              </w:rPr>
              <w:t>2005</w:t>
            </w:r>
          </w:p>
        </w:tc>
        <w:tc>
          <w:tcPr>
            <w:tcW w:w="15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7,793</w:t>
            </w:r>
          </w:p>
        </w:tc>
      </w:tr>
      <w:tr>
        <w:trPr>
          <w:trHeight w:val="154"/>
        </w:trPr>
        <w:tc>
          <w:tcPr>
            <w:tcW w:w="960" w:type="dxa"/>
            <w:vAlign w:val="bottom"/>
          </w:tcPr>
          <w:p>
            <w:pPr>
              <w:spacing w:after="0"/>
              <w:rPr>
                <w:sz w:val="20"/>
                <w:szCs w:val="20"/>
                <w:color w:val="auto"/>
              </w:rPr>
            </w:pPr>
            <w:r>
              <w:rPr>
                <w:rFonts w:ascii="Courier New" w:cs="Courier New" w:eastAsia="Courier New" w:hAnsi="Courier New"/>
                <w:sz w:val="13"/>
                <w:szCs w:val="13"/>
                <w:color w:val="auto"/>
              </w:rPr>
              <w:t>2006</w:t>
            </w:r>
          </w:p>
        </w:tc>
        <w:tc>
          <w:tcPr>
            <w:tcW w:w="15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7,072</w:t>
            </w:r>
          </w:p>
        </w:tc>
      </w:tr>
      <w:tr>
        <w:trPr>
          <w:trHeight w:val="154"/>
        </w:trPr>
        <w:tc>
          <w:tcPr>
            <w:tcW w:w="96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308"/>
        </w:trPr>
        <w:tc>
          <w:tcPr>
            <w:tcW w:w="960" w:type="dxa"/>
            <w:vAlign w:val="bottom"/>
          </w:tcPr>
          <w:p>
            <w:pPr>
              <w:spacing w:after="0"/>
              <w:rPr>
                <w:sz w:val="20"/>
                <w:szCs w:val="20"/>
                <w:color w:val="auto"/>
              </w:rPr>
            </w:pPr>
            <w:r>
              <w:rPr>
                <w:rFonts w:ascii="Courier New" w:cs="Courier New" w:eastAsia="Courier New" w:hAnsi="Courier New"/>
                <w:sz w:val="13"/>
                <w:szCs w:val="13"/>
                <w:color w:val="auto"/>
              </w:rPr>
              <w:t>Total</w:t>
            </w:r>
          </w:p>
        </w:tc>
        <w:tc>
          <w:tcPr>
            <w:tcW w:w="15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$53,135</w:t>
            </w:r>
          </w:p>
        </w:tc>
      </w:tr>
      <w:tr>
        <w:trPr>
          <w:trHeight w:val="154"/>
        </w:trPr>
        <w:tc>
          <w:tcPr>
            <w:tcW w:w="96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bl>
    <w:p>
      <w:pPr>
        <w:sectPr>
          <w:pgSz w:w="11900" w:h="16838" w:orient="portrait"/>
          <w:cols w:equalWidth="0" w:num="1">
            <w:col w:w="11460"/>
          </w:cols>
          <w:pgMar w:left="220" w:top="141" w:right="219" w:bottom="0" w:gutter="0" w:footer="0" w:header="0"/>
        </w:sectPr>
      </w:pPr>
    </w:p>
    <w:bookmarkStart w:id="31" w:name="page32"/>
    <w:bookmarkEnd w:id="31"/>
    <w:p>
      <w:pPr>
        <w:ind w:left="480" w:hanging="478"/>
        <w:spacing w:after="0"/>
        <w:tabs>
          <w:tab w:leader="none" w:pos="480" w:val="left"/>
        </w:tabs>
        <w:numPr>
          <w:ilvl w:val="0"/>
          <w:numId w:val="16"/>
        </w:numPr>
        <w:rPr>
          <w:rFonts w:ascii="Courier New" w:cs="Courier New" w:eastAsia="Courier New" w:hAnsi="Courier New"/>
          <w:sz w:val="13"/>
          <w:szCs w:val="13"/>
          <w:b w:val="1"/>
          <w:bCs w:val="1"/>
          <w:color w:val="auto"/>
        </w:rPr>
      </w:pPr>
      <w:r>
        <w:rPr>
          <w:rFonts w:ascii="Courier New" w:cs="Courier New" w:eastAsia="Courier New" w:hAnsi="Courier New"/>
          <w:sz w:val="13"/>
          <w:szCs w:val="13"/>
          <w:b w:val="1"/>
          <w:bCs w:val="1"/>
          <w:color w:val="auto"/>
        </w:rPr>
        <w:t>Employee Benefit Plans</w:t>
      </w:r>
    </w:p>
    <w:p>
      <w:pPr>
        <w:spacing w:after="0" w:line="161" w:lineRule="exact"/>
        <w:rPr>
          <w:rFonts w:ascii="Courier New" w:cs="Courier New" w:eastAsia="Courier New" w:hAnsi="Courier New"/>
          <w:sz w:val="13"/>
          <w:szCs w:val="13"/>
          <w:b w:val="1"/>
          <w:bCs w:val="1"/>
          <w:color w:val="auto"/>
        </w:rPr>
      </w:pPr>
    </w:p>
    <w:p>
      <w:pPr>
        <w:ind w:left="480" w:right="3819"/>
        <w:spacing w:after="0" w:line="251" w:lineRule="auto"/>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The Company has three defined contribution 401(k) profit sharing plans covering substantially all employees of the Domestic Ball and Roller and Plastics Segments. The plan in place for the Domestic Ball and Roller Segment covers all employees who have one year of service, have attained age twenty-one and have elected to participate in the plan. A participant may elect to contribute from 1% to 20% of his or her compensation to the Plan, subject to a maximum deferral set forth in the Internal Revenue Code. The Company provides a matching contribution of the higher of $500 or 50% of the first 4% of eligible compensation per participant. The employer matching contribution is fully vested at all times. The contributions by the Company for the Domestic Ball and Roller Segment plan were $126, $152 and $106 in 2002, 2001 and 2000, respectively.</w:t>
      </w:r>
    </w:p>
    <w:p>
      <w:pPr>
        <w:spacing w:after="0" w:line="156" w:lineRule="exact"/>
        <w:rPr>
          <w:rFonts w:ascii="Courier New" w:cs="Courier New" w:eastAsia="Courier New" w:hAnsi="Courier New"/>
          <w:sz w:val="13"/>
          <w:szCs w:val="13"/>
          <w:b w:val="1"/>
          <w:bCs w:val="1"/>
          <w:color w:val="auto"/>
        </w:rPr>
      </w:pPr>
    </w:p>
    <w:p>
      <w:pPr>
        <w:ind w:left="480" w:right="3899"/>
        <w:spacing w:after="0" w:line="251" w:lineRule="auto"/>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The plan in place for IMC covers all employees who have completed six months of service and have elected to participate in the plan. A participant may elect to contribute from 1% to 15% of his or her compensation to the plan, subject to a maximum deferral set forth in the Internal Revenue Code. The Company matches 25% of the first 6% of each employee's contribution to the plan and provides for a discretionary contribution at the end of each plan year. The contributions by the Company for the IMC plan were $22 in 2002, $58 in 2001,and $70 in 2000. Vesting occurs in equal increments over a period of five years.</w:t>
      </w:r>
    </w:p>
    <w:p>
      <w:pPr>
        <w:spacing w:after="0" w:line="156" w:lineRule="exact"/>
        <w:rPr>
          <w:rFonts w:ascii="Courier New" w:cs="Courier New" w:eastAsia="Courier New" w:hAnsi="Courier New"/>
          <w:sz w:val="13"/>
          <w:szCs w:val="13"/>
          <w:b w:val="1"/>
          <w:bCs w:val="1"/>
          <w:color w:val="auto"/>
        </w:rPr>
      </w:pPr>
    </w:p>
    <w:p>
      <w:pPr>
        <w:ind w:left="480" w:right="3819"/>
        <w:spacing w:after="0" w:line="251" w:lineRule="auto"/>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The plan in place for Delta covers all employees who have one year of service, have attained age twenty-one and have elected to participate in the plan. A participant may elect to contribute from 1% to 20% of his or her compensation to the Plan, subject to a maximum deferral set forth in the Internal Revenue Code. The Company matches 50% of the first 6% of each employee's contribution to the plan. The employee has 100% immediate vesting on all contributions made to his or her account. The contributions by the Company for the Delta plan were $78 in 2002 and $67 since acquisition in February 2001.</w:t>
      </w:r>
    </w:p>
    <w:p>
      <w:pPr>
        <w:spacing w:after="0" w:line="156" w:lineRule="exact"/>
        <w:rPr>
          <w:rFonts w:ascii="Courier New" w:cs="Courier New" w:eastAsia="Courier New" w:hAnsi="Courier New"/>
          <w:sz w:val="13"/>
          <w:szCs w:val="13"/>
          <w:b w:val="1"/>
          <w:bCs w:val="1"/>
          <w:color w:val="auto"/>
        </w:rPr>
      </w:pPr>
    </w:p>
    <w:p>
      <w:pPr>
        <w:ind w:left="480" w:right="3899"/>
        <w:spacing w:after="0" w:line="252" w:lineRule="auto"/>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The Company has a defined benefit pension plan covering its Eltmann, Germany facility employees (a Euroball division). The benefits are based on the expected years of service including the rate of compensation increase. The plan is unfunded.</w:t>
      </w:r>
    </w:p>
    <w:p>
      <w:pPr>
        <w:spacing w:after="0" w:line="152" w:lineRule="exact"/>
        <w:rPr>
          <w:rFonts w:ascii="Courier New" w:cs="Courier New" w:eastAsia="Courier New" w:hAnsi="Courier New"/>
          <w:sz w:val="13"/>
          <w:szCs w:val="13"/>
          <w:b w:val="1"/>
          <w:bCs w:val="1"/>
          <w:color w:val="auto"/>
        </w:rPr>
      </w:pPr>
    </w:p>
    <w:p>
      <w:pPr>
        <w:ind w:left="480" w:right="3819"/>
        <w:spacing w:after="0" w:line="254" w:lineRule="auto"/>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Following is a summary of the changes in the projected benefit obligation for the defined benefit pension plan during 2002 and 2001:</w:t>
      </w:r>
    </w:p>
    <w:p>
      <w:pPr>
        <w:spacing w:after="0" w:line="305" w:lineRule="exact"/>
        <w:rPr>
          <w:sz w:val="20"/>
          <w:szCs w:val="20"/>
          <w:color w:val="auto"/>
        </w:rPr>
      </w:pPr>
    </w:p>
    <w:p>
      <w:pPr>
        <w:ind w:left="5620"/>
        <w:spacing w:after="0"/>
        <w:rPr>
          <w:sz w:val="20"/>
          <w:szCs w:val="20"/>
          <w:color w:val="auto"/>
        </w:rPr>
      </w:pPr>
      <w:r>
        <w:rPr>
          <w:rFonts w:ascii="Courier New" w:cs="Courier New" w:eastAsia="Courier New" w:hAnsi="Courier New"/>
          <w:sz w:val="13"/>
          <w:szCs w:val="13"/>
          <w:color w:val="auto"/>
        </w:rPr>
        <w:t>Continued</w:t>
      </w:r>
    </w:p>
    <w:p>
      <w:pPr>
        <w:spacing w:after="0" w:line="315" w:lineRule="exact"/>
        <w:rPr>
          <w:sz w:val="20"/>
          <w:szCs w:val="20"/>
          <w:color w:val="auto"/>
        </w:rPr>
      </w:pPr>
    </w:p>
    <w:p>
      <w:pPr>
        <w:ind w:left="3040"/>
        <w:spacing w:after="0"/>
        <w:rPr>
          <w:sz w:val="20"/>
          <w:szCs w:val="20"/>
          <w:color w:val="auto"/>
        </w:rPr>
      </w:pPr>
      <w:r>
        <w:rPr>
          <w:rFonts w:ascii="Courier New" w:cs="Courier New" w:eastAsia="Courier New" w:hAnsi="Courier New"/>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271145</wp:posOffset>
            </wp:positionV>
            <wp:extent cx="730440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3"/>
          <w:szCs w:val="13"/>
          <w:b w:val="1"/>
          <w:bCs w:val="1"/>
          <w:color w:val="auto"/>
        </w:rPr>
        <w:t>NN, Inc.</w:t>
      </w:r>
    </w:p>
    <w:p>
      <w:pPr>
        <w:spacing w:after="0" w:line="7"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3"/>
          <w:szCs w:val="13"/>
          <w:b w:val="1"/>
          <w:bCs w:val="1"/>
          <w:color w:val="auto"/>
        </w:rPr>
        <w:t>Notes to Consolidated Financial Statements</w:t>
      </w:r>
    </w:p>
    <w:p>
      <w:pPr>
        <w:spacing w:after="0" w:line="7"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3"/>
          <w:szCs w:val="13"/>
          <w:b w:val="1"/>
          <w:bCs w:val="1"/>
          <w:color w:val="auto"/>
        </w:rPr>
        <w:t>December 31, 2002, 2001 and 2000</w:t>
      </w:r>
    </w:p>
    <w:p>
      <w:pPr>
        <w:spacing w:after="0" w:line="7"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5380" w:type="dxa"/>
            <w:vAlign w:val="bottom"/>
          </w:tcPr>
          <w:p>
            <w:pPr>
              <w:ind w:left="1280"/>
              <w:spacing w:after="0"/>
              <w:rPr>
                <w:sz w:val="20"/>
                <w:szCs w:val="20"/>
                <w:color w:val="auto"/>
              </w:rPr>
            </w:pPr>
            <w:r>
              <w:rPr>
                <w:rFonts w:ascii="Courier New" w:cs="Courier New" w:eastAsia="Courier New" w:hAnsi="Courier New"/>
                <w:sz w:val="13"/>
                <w:szCs w:val="13"/>
                <w:b w:val="1"/>
                <w:bCs w:val="1"/>
                <w:color w:val="auto"/>
              </w:rPr>
              <w:t>(In thousands, except per share data)</w:t>
            </w: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463"/>
        </w:trPr>
        <w:tc>
          <w:tcPr>
            <w:tcW w:w="5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2002</w:t>
            </w:r>
          </w:p>
        </w:tc>
        <w:tc>
          <w:tcPr>
            <w:tcW w:w="560" w:type="dxa"/>
            <w:vAlign w:val="bottom"/>
          </w:tcPr>
          <w:p>
            <w:pPr>
              <w:spacing w:after="0"/>
              <w:rPr>
                <w:sz w:val="24"/>
                <w:szCs w:val="24"/>
                <w:color w:val="auto"/>
              </w:rPr>
            </w:pPr>
          </w:p>
        </w:tc>
        <w:tc>
          <w:tcPr>
            <w:tcW w:w="880" w:type="dxa"/>
            <w:vAlign w:val="bottom"/>
          </w:tcPr>
          <w:p>
            <w:pPr>
              <w:jc w:val="center"/>
              <w:ind w:left="493"/>
              <w:spacing w:after="0"/>
              <w:rPr>
                <w:sz w:val="20"/>
                <w:szCs w:val="20"/>
                <w:color w:val="auto"/>
              </w:rPr>
            </w:pPr>
            <w:r>
              <w:rPr>
                <w:rFonts w:ascii="Courier New" w:cs="Courier New" w:eastAsia="Courier New" w:hAnsi="Courier New"/>
                <w:sz w:val="13"/>
                <w:szCs w:val="13"/>
                <w:b w:val="1"/>
                <w:bCs w:val="1"/>
                <w:color w:val="auto"/>
              </w:rPr>
              <w:t>2001</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54"/>
        </w:trPr>
        <w:tc>
          <w:tcPr>
            <w:tcW w:w="5380" w:type="dxa"/>
            <w:vAlign w:val="bottom"/>
          </w:tcPr>
          <w:p>
            <w:pPr>
              <w:spacing w:after="0"/>
              <w:rPr>
                <w:sz w:val="13"/>
                <w:szCs w:val="13"/>
                <w:color w:val="auto"/>
              </w:rPr>
            </w:pPr>
          </w:p>
        </w:tc>
        <w:tc>
          <w:tcPr>
            <w:tcW w:w="1520" w:type="dxa"/>
            <w:vAlign w:val="bottom"/>
            <w:gridSpan w:val="2"/>
          </w:tcPr>
          <w:p>
            <w:pPr>
              <w:jc w:val="right"/>
              <w:ind w:right="93"/>
              <w:spacing w:after="0"/>
              <w:rPr>
                <w:sz w:val="20"/>
                <w:szCs w:val="20"/>
                <w:color w:val="auto"/>
              </w:rPr>
            </w:pPr>
            <w:r>
              <w:rPr>
                <w:rFonts w:ascii="Courier New" w:cs="Courier New" w:eastAsia="Courier New" w:hAnsi="Courier New"/>
                <w:sz w:val="13"/>
                <w:szCs w:val="13"/>
                <w:b w:val="1"/>
                <w:bCs w:val="1"/>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3"/>
                <w:szCs w:val="13"/>
                <w:b w:val="1"/>
                <w:bCs w:val="1"/>
                <w:color w:val="auto"/>
              </w:rPr>
              <w:t>----------------</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308"/>
        </w:trPr>
        <w:tc>
          <w:tcPr>
            <w:tcW w:w="5380" w:type="dxa"/>
            <w:vAlign w:val="bottom"/>
          </w:tcPr>
          <w:p>
            <w:pPr>
              <w:spacing w:after="0"/>
              <w:rPr>
                <w:sz w:val="20"/>
                <w:szCs w:val="20"/>
                <w:color w:val="auto"/>
              </w:rPr>
            </w:pPr>
            <w:r>
              <w:rPr>
                <w:rFonts w:ascii="Courier New" w:cs="Courier New" w:eastAsia="Courier New" w:hAnsi="Courier New"/>
                <w:sz w:val="13"/>
                <w:szCs w:val="13"/>
                <w:b w:val="1"/>
                <w:bCs w:val="1"/>
                <w:color w:val="auto"/>
              </w:rPr>
              <w:t>Change in projected benefit obligation:</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54"/>
        </w:trPr>
        <w:tc>
          <w:tcPr>
            <w:tcW w:w="5380" w:type="dxa"/>
            <w:vAlign w:val="bottom"/>
          </w:tcPr>
          <w:p>
            <w:pPr>
              <w:ind w:left="320"/>
              <w:spacing w:after="0"/>
              <w:rPr>
                <w:sz w:val="20"/>
                <w:szCs w:val="20"/>
                <w:color w:val="auto"/>
              </w:rPr>
            </w:pPr>
            <w:r>
              <w:rPr>
                <w:rFonts w:ascii="Courier New" w:cs="Courier New" w:eastAsia="Courier New" w:hAnsi="Courier New"/>
                <w:sz w:val="13"/>
                <w:szCs w:val="13"/>
                <w:color w:val="auto"/>
              </w:rPr>
              <w:t>Benefit obligation at beginning of year</w:t>
            </w:r>
          </w:p>
        </w:tc>
        <w:tc>
          <w:tcPr>
            <w:tcW w:w="96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560" w:type="dxa"/>
            <w:vAlign w:val="bottom"/>
          </w:tcPr>
          <w:p>
            <w:pPr>
              <w:jc w:val="right"/>
              <w:ind w:right="93"/>
              <w:spacing w:after="0"/>
              <w:rPr>
                <w:sz w:val="20"/>
                <w:szCs w:val="20"/>
                <w:color w:val="auto"/>
              </w:rPr>
            </w:pPr>
            <w:r>
              <w:rPr>
                <w:rFonts w:ascii="Courier New" w:cs="Courier New" w:eastAsia="Courier New" w:hAnsi="Courier New"/>
                <w:sz w:val="13"/>
                <w:szCs w:val="13"/>
                <w:color w:val="auto"/>
                <w:w w:val="97"/>
              </w:rPr>
              <w:t>2,390</w:t>
            </w:r>
          </w:p>
        </w:tc>
        <w:tc>
          <w:tcPr>
            <w:tcW w:w="8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rPr>
              <w:t>2,133</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4"/>
        </w:trPr>
        <w:tc>
          <w:tcPr>
            <w:tcW w:w="5380" w:type="dxa"/>
            <w:vAlign w:val="bottom"/>
          </w:tcPr>
          <w:p>
            <w:pPr>
              <w:ind w:left="320"/>
              <w:spacing w:after="0"/>
              <w:rPr>
                <w:sz w:val="20"/>
                <w:szCs w:val="20"/>
                <w:color w:val="auto"/>
              </w:rPr>
            </w:pPr>
            <w:r>
              <w:rPr>
                <w:rFonts w:ascii="Courier New" w:cs="Courier New" w:eastAsia="Courier New" w:hAnsi="Courier New"/>
                <w:sz w:val="13"/>
                <w:szCs w:val="13"/>
                <w:color w:val="auto"/>
              </w:rPr>
              <w:t>Service cost</w:t>
            </w:r>
          </w:p>
        </w:tc>
        <w:tc>
          <w:tcPr>
            <w:tcW w:w="960" w:type="dxa"/>
            <w:vAlign w:val="bottom"/>
          </w:tcPr>
          <w:p>
            <w:pPr>
              <w:spacing w:after="0"/>
              <w:rPr>
                <w:sz w:val="13"/>
                <w:szCs w:val="13"/>
                <w:color w:val="auto"/>
              </w:rPr>
            </w:pPr>
          </w:p>
        </w:tc>
        <w:tc>
          <w:tcPr>
            <w:tcW w:w="560" w:type="dxa"/>
            <w:vAlign w:val="bottom"/>
          </w:tcPr>
          <w:p>
            <w:pPr>
              <w:jc w:val="right"/>
              <w:ind w:right="93"/>
              <w:spacing w:after="0"/>
              <w:rPr>
                <w:sz w:val="20"/>
                <w:szCs w:val="20"/>
                <w:color w:val="auto"/>
              </w:rPr>
            </w:pPr>
            <w:r>
              <w:rPr>
                <w:rFonts w:ascii="Courier New" w:cs="Courier New" w:eastAsia="Courier New" w:hAnsi="Courier New"/>
                <w:sz w:val="13"/>
                <w:szCs w:val="13"/>
                <w:color w:val="auto"/>
              </w:rPr>
              <w:t>95</w:t>
            </w:r>
          </w:p>
        </w:tc>
        <w:tc>
          <w:tcPr>
            <w:tcW w:w="8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rPr>
              <w:t>77</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4"/>
        </w:trPr>
        <w:tc>
          <w:tcPr>
            <w:tcW w:w="5380" w:type="dxa"/>
            <w:vAlign w:val="bottom"/>
          </w:tcPr>
          <w:p>
            <w:pPr>
              <w:ind w:left="320"/>
              <w:spacing w:after="0"/>
              <w:rPr>
                <w:sz w:val="20"/>
                <w:szCs w:val="20"/>
                <w:color w:val="auto"/>
              </w:rPr>
            </w:pPr>
            <w:r>
              <w:rPr>
                <w:rFonts w:ascii="Courier New" w:cs="Courier New" w:eastAsia="Courier New" w:hAnsi="Courier New"/>
                <w:sz w:val="13"/>
                <w:szCs w:val="13"/>
                <w:color w:val="auto"/>
              </w:rPr>
              <w:t>Interest cost</w:t>
            </w:r>
          </w:p>
        </w:tc>
        <w:tc>
          <w:tcPr>
            <w:tcW w:w="960" w:type="dxa"/>
            <w:vAlign w:val="bottom"/>
          </w:tcPr>
          <w:p>
            <w:pPr>
              <w:spacing w:after="0"/>
              <w:rPr>
                <w:sz w:val="13"/>
                <w:szCs w:val="13"/>
                <w:color w:val="auto"/>
              </w:rPr>
            </w:pPr>
          </w:p>
        </w:tc>
        <w:tc>
          <w:tcPr>
            <w:tcW w:w="56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161</w:t>
            </w:r>
          </w:p>
        </w:tc>
        <w:tc>
          <w:tcPr>
            <w:tcW w:w="8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rPr>
              <w:t>116</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4"/>
        </w:trPr>
        <w:tc>
          <w:tcPr>
            <w:tcW w:w="5380" w:type="dxa"/>
            <w:vAlign w:val="bottom"/>
          </w:tcPr>
          <w:p>
            <w:pPr>
              <w:ind w:left="320"/>
              <w:spacing w:after="0"/>
              <w:rPr>
                <w:sz w:val="20"/>
                <w:szCs w:val="20"/>
                <w:color w:val="auto"/>
              </w:rPr>
            </w:pPr>
            <w:r>
              <w:rPr>
                <w:rFonts w:ascii="Courier New" w:cs="Courier New" w:eastAsia="Courier New" w:hAnsi="Courier New"/>
                <w:sz w:val="13"/>
                <w:szCs w:val="13"/>
                <w:color w:val="auto"/>
              </w:rPr>
              <w:t>Benefits paid</w:t>
            </w:r>
          </w:p>
        </w:tc>
        <w:tc>
          <w:tcPr>
            <w:tcW w:w="96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(6)</w:t>
            </w:r>
          </w:p>
        </w:tc>
        <w:tc>
          <w:tcPr>
            <w:tcW w:w="88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(5)</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4"/>
        </w:trPr>
        <w:tc>
          <w:tcPr>
            <w:tcW w:w="5380" w:type="dxa"/>
            <w:vAlign w:val="bottom"/>
          </w:tcPr>
          <w:p>
            <w:pPr>
              <w:ind w:left="320"/>
              <w:spacing w:after="0"/>
              <w:rPr>
                <w:sz w:val="20"/>
                <w:szCs w:val="20"/>
                <w:color w:val="auto"/>
              </w:rPr>
            </w:pPr>
            <w:r>
              <w:rPr>
                <w:rFonts w:ascii="Courier New" w:cs="Courier New" w:eastAsia="Courier New" w:hAnsi="Courier New"/>
                <w:sz w:val="13"/>
                <w:szCs w:val="13"/>
                <w:color w:val="auto"/>
              </w:rPr>
              <w:t>Effect of currency translation</w:t>
            </w:r>
          </w:p>
        </w:tc>
        <w:tc>
          <w:tcPr>
            <w:tcW w:w="960" w:type="dxa"/>
            <w:vAlign w:val="bottom"/>
          </w:tcPr>
          <w:p>
            <w:pPr>
              <w:spacing w:after="0"/>
              <w:rPr>
                <w:sz w:val="13"/>
                <w:szCs w:val="13"/>
                <w:color w:val="auto"/>
              </w:rPr>
            </w:pPr>
          </w:p>
        </w:tc>
        <w:tc>
          <w:tcPr>
            <w:tcW w:w="560" w:type="dxa"/>
            <w:vAlign w:val="bottom"/>
          </w:tcPr>
          <w:p>
            <w:pPr>
              <w:jc w:val="right"/>
              <w:ind w:right="93"/>
              <w:spacing w:after="0"/>
              <w:rPr>
                <w:sz w:val="20"/>
                <w:szCs w:val="20"/>
                <w:color w:val="auto"/>
              </w:rPr>
            </w:pPr>
            <w:r>
              <w:rPr>
                <w:rFonts w:ascii="Courier New" w:cs="Courier New" w:eastAsia="Courier New" w:hAnsi="Courier New"/>
                <w:sz w:val="13"/>
                <w:szCs w:val="13"/>
                <w:color w:val="auto"/>
              </w:rPr>
              <w:t>430</w:t>
            </w:r>
          </w:p>
        </w:tc>
        <w:tc>
          <w:tcPr>
            <w:tcW w:w="88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(196)</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4"/>
        </w:trPr>
        <w:tc>
          <w:tcPr>
            <w:tcW w:w="5380" w:type="dxa"/>
            <w:vAlign w:val="bottom"/>
          </w:tcPr>
          <w:p>
            <w:pPr>
              <w:ind w:left="320"/>
              <w:spacing w:after="0"/>
              <w:rPr>
                <w:sz w:val="20"/>
                <w:szCs w:val="20"/>
                <w:color w:val="auto"/>
              </w:rPr>
            </w:pPr>
            <w:r>
              <w:rPr>
                <w:rFonts w:ascii="Courier New" w:cs="Courier New" w:eastAsia="Courier New" w:hAnsi="Courier New"/>
                <w:sz w:val="13"/>
                <w:szCs w:val="13"/>
                <w:color w:val="auto"/>
              </w:rPr>
              <w:t>Actuarial loss</w:t>
            </w:r>
          </w:p>
        </w:tc>
        <w:tc>
          <w:tcPr>
            <w:tcW w:w="96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(11)</w:t>
            </w:r>
          </w:p>
        </w:tc>
        <w:tc>
          <w:tcPr>
            <w:tcW w:w="8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rPr>
              <w:t>265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4"/>
        </w:trPr>
        <w:tc>
          <w:tcPr>
            <w:tcW w:w="5380" w:type="dxa"/>
            <w:vAlign w:val="bottom"/>
          </w:tcPr>
          <w:p>
            <w:pPr>
              <w:spacing w:after="0"/>
              <w:rPr>
                <w:sz w:val="13"/>
                <w:szCs w:val="13"/>
                <w:color w:val="auto"/>
              </w:rPr>
            </w:pPr>
          </w:p>
        </w:tc>
        <w:tc>
          <w:tcPr>
            <w:tcW w:w="152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480" w:type="dxa"/>
            <w:vAlign w:val="bottom"/>
            <w:gridSpan w:val="3"/>
          </w:tcPr>
          <w:p>
            <w:pPr>
              <w:jc w:val="right"/>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4"/>
        </w:trPr>
        <w:tc>
          <w:tcPr>
            <w:tcW w:w="5380" w:type="dxa"/>
            <w:vAlign w:val="bottom"/>
          </w:tcPr>
          <w:p>
            <w:pPr>
              <w:ind w:left="320"/>
              <w:spacing w:after="0"/>
              <w:rPr>
                <w:sz w:val="20"/>
                <w:szCs w:val="20"/>
                <w:color w:val="auto"/>
              </w:rPr>
            </w:pPr>
            <w:r>
              <w:rPr>
                <w:rFonts w:ascii="Courier New" w:cs="Courier New" w:eastAsia="Courier New" w:hAnsi="Courier New"/>
                <w:sz w:val="13"/>
                <w:szCs w:val="13"/>
                <w:color w:val="auto"/>
              </w:rPr>
              <w:t>Benefit obligation at December 31</w:t>
            </w:r>
          </w:p>
        </w:tc>
        <w:tc>
          <w:tcPr>
            <w:tcW w:w="96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560" w:type="dxa"/>
            <w:vAlign w:val="bottom"/>
          </w:tcPr>
          <w:p>
            <w:pPr>
              <w:jc w:val="right"/>
              <w:ind w:right="93"/>
              <w:spacing w:after="0"/>
              <w:rPr>
                <w:sz w:val="20"/>
                <w:szCs w:val="20"/>
                <w:color w:val="auto"/>
              </w:rPr>
            </w:pPr>
            <w:r>
              <w:rPr>
                <w:rFonts w:ascii="Courier New" w:cs="Courier New" w:eastAsia="Courier New" w:hAnsi="Courier New"/>
                <w:sz w:val="13"/>
                <w:szCs w:val="13"/>
                <w:color w:val="auto"/>
                <w:w w:val="97"/>
              </w:rPr>
              <w:t>3,059</w:t>
            </w:r>
          </w:p>
        </w:tc>
        <w:tc>
          <w:tcPr>
            <w:tcW w:w="8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rPr>
              <w:t>2,390</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4"/>
        </w:trPr>
        <w:tc>
          <w:tcPr>
            <w:tcW w:w="5380" w:type="dxa"/>
            <w:vAlign w:val="bottom"/>
          </w:tcPr>
          <w:p>
            <w:pPr>
              <w:spacing w:after="0"/>
              <w:rPr>
                <w:sz w:val="13"/>
                <w:szCs w:val="13"/>
                <w:color w:val="auto"/>
              </w:rPr>
            </w:pPr>
          </w:p>
        </w:tc>
        <w:tc>
          <w:tcPr>
            <w:tcW w:w="152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480" w:type="dxa"/>
            <w:vAlign w:val="bottom"/>
            <w:gridSpan w:val="3"/>
          </w:tcPr>
          <w:p>
            <w:pPr>
              <w:jc w:val="right"/>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463"/>
        </w:trPr>
        <w:tc>
          <w:tcPr>
            <w:tcW w:w="5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3"/>
                <w:szCs w:val="13"/>
                <w:color w:val="auto"/>
              </w:rPr>
              <w:t>2002</w:t>
            </w:r>
          </w:p>
        </w:tc>
        <w:tc>
          <w:tcPr>
            <w:tcW w:w="560" w:type="dxa"/>
            <w:vAlign w:val="bottom"/>
          </w:tcPr>
          <w:p>
            <w:pPr>
              <w:spacing w:after="0"/>
              <w:rPr>
                <w:sz w:val="24"/>
                <w:szCs w:val="24"/>
                <w:color w:val="auto"/>
              </w:rPr>
            </w:pPr>
          </w:p>
        </w:tc>
        <w:tc>
          <w:tcPr>
            <w:tcW w:w="880" w:type="dxa"/>
            <w:vAlign w:val="bottom"/>
          </w:tcPr>
          <w:p>
            <w:pPr>
              <w:jc w:val="center"/>
              <w:ind w:left="493"/>
              <w:spacing w:after="0"/>
              <w:rPr>
                <w:sz w:val="20"/>
                <w:szCs w:val="20"/>
                <w:color w:val="auto"/>
              </w:rPr>
            </w:pPr>
            <w:r>
              <w:rPr>
                <w:rFonts w:ascii="Courier New" w:cs="Courier New" w:eastAsia="Courier New" w:hAnsi="Courier New"/>
                <w:sz w:val="13"/>
                <w:szCs w:val="13"/>
                <w:color w:val="auto"/>
              </w:rPr>
              <w:t>2001</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Courier New" w:cs="Courier New" w:eastAsia="Courier New" w:hAnsi="Courier New"/>
                <w:sz w:val="13"/>
                <w:szCs w:val="13"/>
                <w:color w:val="auto"/>
              </w:rPr>
              <w:t>2000</w:t>
            </w:r>
          </w:p>
        </w:tc>
        <w:tc>
          <w:tcPr>
            <w:tcW w:w="160" w:type="dxa"/>
            <w:vAlign w:val="bottom"/>
          </w:tcPr>
          <w:p>
            <w:pPr>
              <w:spacing w:after="0"/>
              <w:rPr>
                <w:sz w:val="24"/>
                <w:szCs w:val="24"/>
                <w:color w:val="auto"/>
              </w:rPr>
            </w:pPr>
          </w:p>
        </w:tc>
      </w:tr>
      <w:tr>
        <w:trPr>
          <w:trHeight w:val="154"/>
        </w:trPr>
        <w:tc>
          <w:tcPr>
            <w:tcW w:w="5380" w:type="dxa"/>
            <w:vAlign w:val="bottom"/>
          </w:tcPr>
          <w:p>
            <w:pPr>
              <w:spacing w:after="0"/>
              <w:rPr>
                <w:sz w:val="13"/>
                <w:szCs w:val="13"/>
                <w:color w:val="auto"/>
              </w:rPr>
            </w:pPr>
          </w:p>
        </w:tc>
        <w:tc>
          <w:tcPr>
            <w:tcW w:w="152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36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960" w:type="dxa"/>
            <w:vAlign w:val="bottom"/>
            <w:gridSpan w:val="3"/>
          </w:tcPr>
          <w:p>
            <w:pPr>
              <w:jc w:val="right"/>
              <w:spacing w:after="0"/>
              <w:rPr>
                <w:sz w:val="20"/>
                <w:szCs w:val="20"/>
                <w:color w:val="auto"/>
              </w:rPr>
            </w:pPr>
            <w:r>
              <w:rPr>
                <w:rFonts w:ascii="Courier New" w:cs="Courier New" w:eastAsia="Courier New" w:hAnsi="Courier New"/>
                <w:sz w:val="13"/>
                <w:szCs w:val="13"/>
                <w:color w:val="auto"/>
              </w:rPr>
              <w:t>------------</w:t>
            </w:r>
          </w:p>
        </w:tc>
      </w:tr>
      <w:tr>
        <w:trPr>
          <w:trHeight w:val="308"/>
        </w:trPr>
        <w:tc>
          <w:tcPr>
            <w:tcW w:w="5380" w:type="dxa"/>
            <w:vAlign w:val="bottom"/>
          </w:tcPr>
          <w:p>
            <w:pPr>
              <w:spacing w:after="0"/>
              <w:rPr>
                <w:sz w:val="20"/>
                <w:szCs w:val="20"/>
                <w:color w:val="auto"/>
              </w:rPr>
            </w:pPr>
            <w:r>
              <w:rPr>
                <w:rFonts w:ascii="Courier New" w:cs="Courier New" w:eastAsia="Courier New" w:hAnsi="Courier New"/>
                <w:sz w:val="13"/>
                <w:szCs w:val="13"/>
                <w:b w:val="1"/>
                <w:bCs w:val="1"/>
                <w:color w:val="auto"/>
              </w:rPr>
              <w:t>Weighted-average assumptions as of December 31:</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54"/>
        </w:trPr>
        <w:tc>
          <w:tcPr>
            <w:tcW w:w="5380" w:type="dxa"/>
            <w:vAlign w:val="bottom"/>
          </w:tcPr>
          <w:p>
            <w:pPr>
              <w:ind w:left="320"/>
              <w:spacing w:after="0"/>
              <w:rPr>
                <w:sz w:val="20"/>
                <w:szCs w:val="20"/>
                <w:color w:val="auto"/>
              </w:rPr>
            </w:pPr>
            <w:r>
              <w:rPr>
                <w:rFonts w:ascii="Courier New" w:cs="Courier New" w:eastAsia="Courier New" w:hAnsi="Courier New"/>
                <w:sz w:val="13"/>
                <w:szCs w:val="13"/>
                <w:color w:val="auto"/>
              </w:rPr>
              <w:t>Discount rate</w:t>
            </w:r>
          </w:p>
        </w:tc>
        <w:tc>
          <w:tcPr>
            <w:tcW w:w="9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5.5%</w:t>
            </w:r>
          </w:p>
        </w:tc>
        <w:tc>
          <w:tcPr>
            <w:tcW w:w="560" w:type="dxa"/>
            <w:vAlign w:val="bottom"/>
          </w:tcPr>
          <w:p>
            <w:pPr>
              <w:spacing w:after="0"/>
              <w:rPr>
                <w:sz w:val="13"/>
                <w:szCs w:val="13"/>
                <w:color w:val="auto"/>
              </w:rPr>
            </w:pPr>
          </w:p>
        </w:tc>
        <w:tc>
          <w:tcPr>
            <w:tcW w:w="880" w:type="dxa"/>
            <w:vAlign w:val="bottom"/>
          </w:tcPr>
          <w:p>
            <w:pPr>
              <w:jc w:val="center"/>
              <w:ind w:left="493"/>
              <w:spacing w:after="0"/>
              <w:rPr>
                <w:sz w:val="20"/>
                <w:szCs w:val="20"/>
                <w:color w:val="auto"/>
              </w:rPr>
            </w:pPr>
            <w:r>
              <w:rPr>
                <w:rFonts w:ascii="Courier New" w:cs="Courier New" w:eastAsia="Courier New" w:hAnsi="Courier New"/>
                <w:sz w:val="13"/>
                <w:szCs w:val="13"/>
                <w:color w:val="auto"/>
              </w:rPr>
              <w:t>5.5%</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ind w:left="360"/>
              <w:spacing w:after="0"/>
              <w:rPr>
                <w:sz w:val="20"/>
                <w:szCs w:val="20"/>
                <w:color w:val="auto"/>
              </w:rPr>
            </w:pPr>
            <w:r>
              <w:rPr>
                <w:rFonts w:ascii="Courier New" w:cs="Courier New" w:eastAsia="Courier New" w:hAnsi="Courier New"/>
                <w:sz w:val="13"/>
                <w:szCs w:val="13"/>
                <w:color w:val="auto"/>
                <w:w w:val="95"/>
              </w:rPr>
              <w:t>6.0%</w:t>
            </w:r>
          </w:p>
        </w:tc>
        <w:tc>
          <w:tcPr>
            <w:tcW w:w="160" w:type="dxa"/>
            <w:vAlign w:val="bottom"/>
          </w:tcPr>
          <w:p>
            <w:pPr>
              <w:spacing w:after="0"/>
              <w:rPr>
                <w:sz w:val="13"/>
                <w:szCs w:val="13"/>
                <w:color w:val="auto"/>
              </w:rPr>
            </w:pPr>
          </w:p>
        </w:tc>
      </w:tr>
      <w:tr>
        <w:trPr>
          <w:trHeight w:val="154"/>
        </w:trPr>
        <w:tc>
          <w:tcPr>
            <w:tcW w:w="5380" w:type="dxa"/>
            <w:vAlign w:val="bottom"/>
          </w:tcPr>
          <w:p>
            <w:pPr>
              <w:ind w:left="320"/>
              <w:spacing w:after="0"/>
              <w:rPr>
                <w:sz w:val="20"/>
                <w:szCs w:val="20"/>
                <w:color w:val="auto"/>
              </w:rPr>
            </w:pPr>
            <w:r>
              <w:rPr>
                <w:rFonts w:ascii="Courier New" w:cs="Courier New" w:eastAsia="Courier New" w:hAnsi="Courier New"/>
                <w:sz w:val="13"/>
                <w:szCs w:val="13"/>
                <w:color w:val="auto"/>
              </w:rPr>
              <w:t>Rate of compensation increase</w:t>
            </w:r>
          </w:p>
        </w:tc>
        <w:tc>
          <w:tcPr>
            <w:tcW w:w="152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1.5% - 2.1%</w:t>
            </w:r>
          </w:p>
        </w:tc>
        <w:tc>
          <w:tcPr>
            <w:tcW w:w="1480" w:type="dxa"/>
            <w:vAlign w:val="bottom"/>
            <w:gridSpan w:val="3"/>
          </w:tcPr>
          <w:p>
            <w:pPr>
              <w:jc w:val="right"/>
              <w:spacing w:after="0"/>
              <w:rPr>
                <w:sz w:val="20"/>
                <w:szCs w:val="20"/>
                <w:color w:val="auto"/>
              </w:rPr>
            </w:pPr>
            <w:r>
              <w:rPr>
                <w:rFonts w:ascii="Courier New" w:cs="Courier New" w:eastAsia="Courier New" w:hAnsi="Courier New"/>
                <w:sz w:val="13"/>
                <w:szCs w:val="13"/>
                <w:color w:val="auto"/>
              </w:rPr>
              <w:t>1.5% - 2.1%</w:t>
            </w:r>
          </w:p>
        </w:tc>
        <w:tc>
          <w:tcPr>
            <w:tcW w:w="680" w:type="dxa"/>
            <w:vAlign w:val="bottom"/>
          </w:tcPr>
          <w:p>
            <w:pPr>
              <w:ind w:left="360"/>
              <w:spacing w:after="0"/>
              <w:rPr>
                <w:sz w:val="20"/>
                <w:szCs w:val="20"/>
                <w:color w:val="auto"/>
              </w:rPr>
            </w:pPr>
            <w:r>
              <w:rPr>
                <w:rFonts w:ascii="Courier New" w:cs="Courier New" w:eastAsia="Courier New" w:hAnsi="Courier New"/>
                <w:sz w:val="13"/>
                <w:szCs w:val="13"/>
                <w:color w:val="auto"/>
                <w:w w:val="95"/>
              </w:rPr>
              <w:t>2.0%</w:t>
            </w:r>
          </w:p>
        </w:tc>
        <w:tc>
          <w:tcPr>
            <w:tcW w:w="160" w:type="dxa"/>
            <w:vAlign w:val="bottom"/>
          </w:tcPr>
          <w:p>
            <w:pPr>
              <w:spacing w:after="0"/>
              <w:rPr>
                <w:sz w:val="13"/>
                <w:szCs w:val="13"/>
                <w:color w:val="auto"/>
              </w:rPr>
            </w:pPr>
          </w:p>
        </w:tc>
      </w:tr>
      <w:tr>
        <w:trPr>
          <w:trHeight w:val="463"/>
        </w:trPr>
        <w:tc>
          <w:tcPr>
            <w:tcW w:w="5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2002</w:t>
            </w:r>
          </w:p>
        </w:tc>
        <w:tc>
          <w:tcPr>
            <w:tcW w:w="560" w:type="dxa"/>
            <w:vAlign w:val="bottom"/>
          </w:tcPr>
          <w:p>
            <w:pPr>
              <w:spacing w:after="0"/>
              <w:rPr>
                <w:sz w:val="24"/>
                <w:szCs w:val="24"/>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3"/>
                <w:szCs w:val="13"/>
                <w:b w:val="1"/>
                <w:bCs w:val="1"/>
                <w:color w:val="auto"/>
              </w:rPr>
              <w:t>2001</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ind w:left="40"/>
              <w:spacing w:after="0"/>
              <w:rPr>
                <w:sz w:val="20"/>
                <w:szCs w:val="20"/>
                <w:color w:val="auto"/>
              </w:rPr>
            </w:pPr>
            <w:r>
              <w:rPr>
                <w:rFonts w:ascii="Courier New" w:cs="Courier New" w:eastAsia="Courier New" w:hAnsi="Courier New"/>
                <w:sz w:val="13"/>
                <w:szCs w:val="13"/>
                <w:b w:val="1"/>
                <w:bCs w:val="1"/>
                <w:color w:val="auto"/>
              </w:rPr>
              <w:t>2000</w:t>
            </w:r>
          </w:p>
        </w:tc>
        <w:tc>
          <w:tcPr>
            <w:tcW w:w="160" w:type="dxa"/>
            <w:vAlign w:val="bottom"/>
          </w:tcPr>
          <w:p>
            <w:pPr>
              <w:spacing w:after="0"/>
              <w:rPr>
                <w:sz w:val="24"/>
                <w:szCs w:val="24"/>
                <w:color w:val="auto"/>
              </w:rPr>
            </w:pPr>
          </w:p>
        </w:tc>
      </w:tr>
      <w:tr>
        <w:trPr>
          <w:trHeight w:val="154"/>
        </w:trPr>
        <w:tc>
          <w:tcPr>
            <w:tcW w:w="5380" w:type="dxa"/>
            <w:vAlign w:val="bottom"/>
          </w:tcPr>
          <w:p>
            <w:pPr>
              <w:spacing w:after="0"/>
              <w:rPr>
                <w:sz w:val="13"/>
                <w:szCs w:val="13"/>
                <w:color w:val="auto"/>
              </w:rPr>
            </w:pPr>
          </w:p>
        </w:tc>
        <w:tc>
          <w:tcPr>
            <w:tcW w:w="1520" w:type="dxa"/>
            <w:vAlign w:val="bottom"/>
            <w:gridSpan w:val="2"/>
          </w:tcPr>
          <w:p>
            <w:pPr>
              <w:jc w:val="right"/>
              <w:ind w:right="93"/>
              <w:spacing w:after="0"/>
              <w:rPr>
                <w:sz w:val="20"/>
                <w:szCs w:val="20"/>
                <w:color w:val="auto"/>
              </w:rPr>
            </w:pPr>
            <w:r>
              <w:rPr>
                <w:rFonts w:ascii="Courier New" w:cs="Courier New" w:eastAsia="Courier New" w:hAnsi="Courier New"/>
                <w:sz w:val="13"/>
                <w:szCs w:val="13"/>
                <w:b w:val="1"/>
                <w:bCs w:val="1"/>
                <w:color w:val="auto"/>
              </w:rPr>
              <w:t>----------------</w:t>
            </w:r>
          </w:p>
        </w:tc>
        <w:tc>
          <w:tcPr>
            <w:tcW w:w="1360" w:type="dxa"/>
            <w:vAlign w:val="bottom"/>
            <w:gridSpan w:val="2"/>
          </w:tcPr>
          <w:p>
            <w:pPr>
              <w:jc w:val="right"/>
              <w:ind w:right="93"/>
              <w:spacing w:after="0"/>
              <w:rPr>
                <w:sz w:val="20"/>
                <w:szCs w:val="20"/>
                <w:color w:val="auto"/>
              </w:rPr>
            </w:pPr>
            <w:r>
              <w:rPr>
                <w:rFonts w:ascii="Courier New" w:cs="Courier New" w:eastAsia="Courier New" w:hAnsi="Courier New"/>
                <w:sz w:val="13"/>
                <w:szCs w:val="13"/>
                <w:b w:val="1"/>
                <w:bCs w:val="1"/>
                <w:color w:val="auto"/>
              </w:rPr>
              <w:t>--------------</w:t>
            </w:r>
          </w:p>
        </w:tc>
        <w:tc>
          <w:tcPr>
            <w:tcW w:w="960" w:type="dxa"/>
            <w:vAlign w:val="bottom"/>
            <w:gridSpan w:val="3"/>
          </w:tcPr>
          <w:p>
            <w:pPr>
              <w:jc w:val="right"/>
              <w:spacing w:after="0"/>
              <w:rPr>
                <w:sz w:val="20"/>
                <w:szCs w:val="20"/>
                <w:color w:val="auto"/>
              </w:rPr>
            </w:pPr>
            <w:r>
              <w:rPr>
                <w:rFonts w:ascii="Courier New" w:cs="Courier New" w:eastAsia="Courier New" w:hAnsi="Courier New"/>
                <w:sz w:val="13"/>
                <w:szCs w:val="13"/>
                <w:b w:val="1"/>
                <w:bCs w:val="1"/>
                <w:color w:val="auto"/>
              </w:rPr>
              <w:t>------------</w:t>
            </w:r>
          </w:p>
        </w:tc>
      </w:tr>
      <w:tr>
        <w:trPr>
          <w:trHeight w:val="463"/>
        </w:trPr>
        <w:tc>
          <w:tcPr>
            <w:tcW w:w="5380" w:type="dxa"/>
            <w:vAlign w:val="bottom"/>
          </w:tcPr>
          <w:p>
            <w:pPr>
              <w:spacing w:after="0"/>
              <w:rPr>
                <w:sz w:val="20"/>
                <w:szCs w:val="20"/>
                <w:color w:val="auto"/>
              </w:rPr>
            </w:pPr>
            <w:r>
              <w:rPr>
                <w:rFonts w:ascii="Courier New" w:cs="Courier New" w:eastAsia="Courier New" w:hAnsi="Courier New"/>
                <w:sz w:val="13"/>
                <w:szCs w:val="13"/>
                <w:b w:val="1"/>
                <w:bCs w:val="1"/>
                <w:color w:val="auto"/>
              </w:rPr>
              <w:t>Components of net periodic benefit cost:</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54"/>
        </w:trPr>
        <w:tc>
          <w:tcPr>
            <w:tcW w:w="5380" w:type="dxa"/>
            <w:vAlign w:val="bottom"/>
          </w:tcPr>
          <w:p>
            <w:pPr>
              <w:ind w:left="320"/>
              <w:spacing w:after="0"/>
              <w:rPr>
                <w:sz w:val="20"/>
                <w:szCs w:val="20"/>
                <w:color w:val="auto"/>
              </w:rPr>
            </w:pPr>
            <w:r>
              <w:rPr>
                <w:rFonts w:ascii="Courier New" w:cs="Courier New" w:eastAsia="Courier New" w:hAnsi="Courier New"/>
                <w:sz w:val="13"/>
                <w:szCs w:val="13"/>
                <w:color w:val="auto"/>
              </w:rPr>
              <w:t>Service cost</w:t>
            </w:r>
          </w:p>
        </w:tc>
        <w:tc>
          <w:tcPr>
            <w:tcW w:w="9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560" w:type="dxa"/>
            <w:vAlign w:val="bottom"/>
          </w:tcPr>
          <w:p>
            <w:pPr>
              <w:jc w:val="right"/>
              <w:ind w:right="93"/>
              <w:spacing w:after="0"/>
              <w:rPr>
                <w:sz w:val="20"/>
                <w:szCs w:val="20"/>
                <w:color w:val="auto"/>
              </w:rPr>
            </w:pPr>
            <w:r>
              <w:rPr>
                <w:rFonts w:ascii="Courier New" w:cs="Courier New" w:eastAsia="Courier New" w:hAnsi="Courier New"/>
                <w:sz w:val="13"/>
                <w:szCs w:val="13"/>
                <w:color w:val="auto"/>
              </w:rPr>
              <w:t>95</w:t>
            </w:r>
          </w:p>
        </w:tc>
        <w:tc>
          <w:tcPr>
            <w:tcW w:w="8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480" w:type="dxa"/>
            <w:vAlign w:val="bottom"/>
          </w:tcPr>
          <w:p>
            <w:pPr>
              <w:jc w:val="right"/>
              <w:ind w:right="253"/>
              <w:spacing w:after="0"/>
              <w:rPr>
                <w:sz w:val="20"/>
                <w:szCs w:val="20"/>
                <w:color w:val="auto"/>
              </w:rPr>
            </w:pPr>
            <w:r>
              <w:rPr>
                <w:rFonts w:ascii="Courier New" w:cs="Courier New" w:eastAsia="Courier New" w:hAnsi="Courier New"/>
                <w:sz w:val="13"/>
                <w:szCs w:val="13"/>
                <w:color w:val="auto"/>
                <w:w w:val="89"/>
              </w:rPr>
              <w:t>77</w:t>
            </w:r>
          </w:p>
        </w:tc>
        <w:tc>
          <w:tcPr>
            <w:tcW w:w="120" w:type="dxa"/>
            <w:vAlign w:val="bottom"/>
          </w:tcPr>
          <w:p>
            <w:pPr>
              <w:spacing w:after="0"/>
              <w:rPr>
                <w:sz w:val="13"/>
                <w:szCs w:val="13"/>
                <w:color w:val="auto"/>
              </w:rPr>
            </w:pPr>
          </w:p>
        </w:tc>
        <w:tc>
          <w:tcPr>
            <w:tcW w:w="680" w:type="dxa"/>
            <w:vAlign w:val="bottom"/>
          </w:tcPr>
          <w:p>
            <w:pPr>
              <w:ind w:left="360"/>
              <w:spacing w:after="0"/>
              <w:rPr>
                <w:sz w:val="20"/>
                <w:szCs w:val="20"/>
                <w:color w:val="auto"/>
              </w:rPr>
            </w:pPr>
            <w:r>
              <w:rPr>
                <w:rFonts w:ascii="Courier New" w:cs="Courier New" w:eastAsia="Courier New" w:hAnsi="Courier New"/>
                <w:sz w:val="13"/>
                <w:szCs w:val="13"/>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3"/>
                <w:szCs w:val="13"/>
                <w:color w:val="auto"/>
                <w:w w:val="89"/>
              </w:rPr>
              <w:t>33</w:t>
            </w:r>
          </w:p>
        </w:tc>
      </w:tr>
      <w:tr>
        <w:trPr>
          <w:trHeight w:val="154"/>
        </w:trPr>
        <w:tc>
          <w:tcPr>
            <w:tcW w:w="5380" w:type="dxa"/>
            <w:vAlign w:val="bottom"/>
          </w:tcPr>
          <w:p>
            <w:pPr>
              <w:ind w:left="320"/>
              <w:spacing w:after="0"/>
              <w:rPr>
                <w:sz w:val="20"/>
                <w:szCs w:val="20"/>
                <w:color w:val="auto"/>
              </w:rPr>
            </w:pPr>
            <w:r>
              <w:rPr>
                <w:rFonts w:ascii="Courier New" w:cs="Courier New" w:eastAsia="Courier New" w:hAnsi="Courier New"/>
                <w:sz w:val="13"/>
                <w:szCs w:val="13"/>
                <w:color w:val="auto"/>
              </w:rPr>
              <w:t>Interest cost on projected benefit obligation</w:t>
            </w:r>
          </w:p>
        </w:tc>
        <w:tc>
          <w:tcPr>
            <w:tcW w:w="960" w:type="dxa"/>
            <w:vAlign w:val="bottom"/>
          </w:tcPr>
          <w:p>
            <w:pPr>
              <w:spacing w:after="0"/>
              <w:rPr>
                <w:sz w:val="13"/>
                <w:szCs w:val="13"/>
                <w:color w:val="auto"/>
              </w:rPr>
            </w:pPr>
          </w:p>
        </w:tc>
        <w:tc>
          <w:tcPr>
            <w:tcW w:w="56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161</w:t>
            </w:r>
          </w:p>
        </w:tc>
        <w:tc>
          <w:tcPr>
            <w:tcW w:w="1360" w:type="dxa"/>
            <w:vAlign w:val="bottom"/>
            <w:gridSpan w:val="2"/>
          </w:tcPr>
          <w:p>
            <w:pPr>
              <w:jc w:val="right"/>
              <w:ind w:right="253"/>
              <w:spacing w:after="0"/>
              <w:rPr>
                <w:sz w:val="20"/>
                <w:szCs w:val="20"/>
                <w:color w:val="auto"/>
              </w:rPr>
            </w:pPr>
            <w:r>
              <w:rPr>
                <w:rFonts w:ascii="Courier New" w:cs="Courier New" w:eastAsia="Courier New" w:hAnsi="Courier New"/>
                <w:sz w:val="13"/>
                <w:szCs w:val="13"/>
                <w:color w:val="auto"/>
              </w:rPr>
              <w:t>116</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3"/>
                <w:szCs w:val="13"/>
                <w:color w:val="auto"/>
                <w:w w:val="89"/>
              </w:rPr>
              <w:t>62</w:t>
            </w:r>
          </w:p>
        </w:tc>
      </w:tr>
      <w:tr>
        <w:trPr>
          <w:trHeight w:val="154"/>
        </w:trPr>
        <w:tc>
          <w:tcPr>
            <w:tcW w:w="5380" w:type="dxa"/>
            <w:vAlign w:val="bottom"/>
          </w:tcPr>
          <w:p>
            <w:pPr>
              <w:ind w:left="320"/>
              <w:spacing w:after="0"/>
              <w:rPr>
                <w:sz w:val="20"/>
                <w:szCs w:val="20"/>
                <w:color w:val="auto"/>
              </w:rPr>
            </w:pPr>
            <w:r>
              <w:rPr>
                <w:rFonts w:ascii="Courier New" w:cs="Courier New" w:eastAsia="Courier New" w:hAnsi="Courier New"/>
                <w:sz w:val="13"/>
                <w:szCs w:val="13"/>
                <w:color w:val="auto"/>
              </w:rPr>
              <w:t>Amortization of net gain</w:t>
            </w:r>
          </w:p>
        </w:tc>
        <w:tc>
          <w:tcPr>
            <w:tcW w:w="960" w:type="dxa"/>
            <w:vAlign w:val="bottom"/>
          </w:tcPr>
          <w:p>
            <w:pPr>
              <w:spacing w:after="0"/>
              <w:rPr>
                <w:sz w:val="13"/>
                <w:szCs w:val="13"/>
                <w:color w:val="auto"/>
              </w:rPr>
            </w:pPr>
          </w:p>
        </w:tc>
        <w:tc>
          <w:tcPr>
            <w:tcW w:w="560" w:type="dxa"/>
            <w:vAlign w:val="bottom"/>
          </w:tcPr>
          <w:p>
            <w:pPr>
              <w:jc w:val="right"/>
              <w:ind w:right="93"/>
              <w:spacing w:after="0"/>
              <w:rPr>
                <w:sz w:val="20"/>
                <w:szCs w:val="20"/>
                <w:color w:val="auto"/>
              </w:rPr>
            </w:pPr>
            <w:r>
              <w:rPr>
                <w:rFonts w:ascii="Courier New" w:cs="Courier New" w:eastAsia="Courier New" w:hAnsi="Courier New"/>
                <w:sz w:val="13"/>
                <w:szCs w:val="13"/>
                <w:color w:val="auto"/>
              </w:rPr>
              <w:t>9</w:t>
            </w:r>
          </w:p>
        </w:tc>
        <w:tc>
          <w:tcPr>
            <w:tcW w:w="880" w:type="dxa"/>
            <w:vAlign w:val="bottom"/>
          </w:tcPr>
          <w:p>
            <w:pPr>
              <w:spacing w:after="0"/>
              <w:rPr>
                <w:sz w:val="13"/>
                <w:szCs w:val="13"/>
                <w:color w:val="auto"/>
              </w:rPr>
            </w:pPr>
          </w:p>
        </w:tc>
        <w:tc>
          <w:tcPr>
            <w:tcW w:w="480" w:type="dxa"/>
            <w:vAlign w:val="bottom"/>
          </w:tcPr>
          <w:p>
            <w:pPr>
              <w:jc w:val="right"/>
              <w:ind w:right="253"/>
              <w:spacing w:after="0"/>
              <w:rPr>
                <w:sz w:val="20"/>
                <w:szCs w:val="20"/>
                <w:color w:val="auto"/>
              </w:rPr>
            </w:pPr>
            <w:r>
              <w:rPr>
                <w:rFonts w:ascii="Courier New" w:cs="Courier New" w:eastAsia="Courier New" w:hAnsi="Courier New"/>
                <w:sz w:val="13"/>
                <w:szCs w:val="13"/>
                <w:color w:val="auto"/>
                <w:w w:val="89"/>
              </w:rPr>
              <w:t>--</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3"/>
                <w:szCs w:val="13"/>
                <w:color w:val="auto"/>
                <w:w w:val="89"/>
              </w:rPr>
              <w:t>--</w:t>
            </w:r>
          </w:p>
        </w:tc>
      </w:tr>
      <w:tr>
        <w:trPr>
          <w:trHeight w:val="154"/>
        </w:trPr>
        <w:tc>
          <w:tcPr>
            <w:tcW w:w="5380" w:type="dxa"/>
            <w:vAlign w:val="bottom"/>
          </w:tcPr>
          <w:p>
            <w:pPr>
              <w:spacing w:after="0"/>
              <w:rPr>
                <w:sz w:val="13"/>
                <w:szCs w:val="13"/>
                <w:color w:val="auto"/>
              </w:rPr>
            </w:pPr>
          </w:p>
        </w:tc>
        <w:tc>
          <w:tcPr>
            <w:tcW w:w="152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36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960" w:type="dxa"/>
            <w:vAlign w:val="bottom"/>
            <w:gridSpan w:val="3"/>
          </w:tcPr>
          <w:p>
            <w:pPr>
              <w:jc w:val="right"/>
              <w:spacing w:after="0"/>
              <w:rPr>
                <w:sz w:val="20"/>
                <w:szCs w:val="20"/>
                <w:color w:val="auto"/>
              </w:rPr>
            </w:pPr>
            <w:r>
              <w:rPr>
                <w:rFonts w:ascii="Courier New" w:cs="Courier New" w:eastAsia="Courier New" w:hAnsi="Courier New"/>
                <w:sz w:val="13"/>
                <w:szCs w:val="13"/>
                <w:color w:val="auto"/>
              </w:rPr>
              <w:t>------------</w:t>
            </w:r>
          </w:p>
        </w:tc>
      </w:tr>
      <w:tr>
        <w:trPr>
          <w:trHeight w:val="308"/>
        </w:trPr>
        <w:tc>
          <w:tcPr>
            <w:tcW w:w="5380" w:type="dxa"/>
            <w:vAlign w:val="bottom"/>
          </w:tcPr>
          <w:p>
            <w:pPr>
              <w:ind w:left="320"/>
              <w:spacing w:after="0"/>
              <w:rPr>
                <w:sz w:val="20"/>
                <w:szCs w:val="20"/>
                <w:color w:val="auto"/>
              </w:rPr>
            </w:pPr>
            <w:r>
              <w:rPr>
                <w:rFonts w:ascii="Courier New" w:cs="Courier New" w:eastAsia="Courier New" w:hAnsi="Courier New"/>
                <w:sz w:val="13"/>
                <w:szCs w:val="13"/>
                <w:color w:val="auto"/>
              </w:rPr>
              <w:t>Net periodic pension cost</w:t>
            </w:r>
          </w:p>
        </w:tc>
        <w:tc>
          <w:tcPr>
            <w:tcW w:w="9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560" w:type="dxa"/>
            <w:vAlign w:val="bottom"/>
          </w:tcPr>
          <w:p>
            <w:pPr>
              <w:jc w:val="right"/>
              <w:ind w:right="93"/>
              <w:spacing w:after="0"/>
              <w:rPr>
                <w:sz w:val="20"/>
                <w:szCs w:val="20"/>
                <w:color w:val="auto"/>
              </w:rPr>
            </w:pPr>
            <w:r>
              <w:rPr>
                <w:rFonts w:ascii="Courier New" w:cs="Courier New" w:eastAsia="Courier New" w:hAnsi="Courier New"/>
                <w:sz w:val="13"/>
                <w:szCs w:val="13"/>
                <w:color w:val="auto"/>
              </w:rPr>
              <w:t>265</w:t>
            </w:r>
          </w:p>
        </w:tc>
        <w:tc>
          <w:tcPr>
            <w:tcW w:w="1360" w:type="dxa"/>
            <w:vAlign w:val="bottom"/>
            <w:gridSpan w:val="2"/>
          </w:tcPr>
          <w:p>
            <w:pPr>
              <w:jc w:val="right"/>
              <w:ind w:right="253"/>
              <w:spacing w:after="0"/>
              <w:rPr>
                <w:sz w:val="20"/>
                <w:szCs w:val="20"/>
                <w:color w:val="auto"/>
              </w:rPr>
            </w:pPr>
            <w:r>
              <w:rPr>
                <w:rFonts w:ascii="Courier New" w:cs="Courier New" w:eastAsia="Courier New" w:hAnsi="Courier New"/>
                <w:sz w:val="13"/>
                <w:szCs w:val="13"/>
                <w:color w:val="auto"/>
              </w:rPr>
              <w:t>$ 193</w:t>
            </w:r>
          </w:p>
        </w:tc>
        <w:tc>
          <w:tcPr>
            <w:tcW w:w="120" w:type="dxa"/>
            <w:vAlign w:val="bottom"/>
          </w:tcPr>
          <w:p>
            <w:pPr>
              <w:spacing w:after="0"/>
              <w:rPr>
                <w:sz w:val="24"/>
                <w:szCs w:val="24"/>
                <w:color w:val="auto"/>
              </w:rPr>
            </w:pPr>
          </w:p>
        </w:tc>
        <w:tc>
          <w:tcPr>
            <w:tcW w:w="680" w:type="dxa"/>
            <w:vAlign w:val="bottom"/>
          </w:tcPr>
          <w:p>
            <w:pPr>
              <w:ind w:left="360"/>
              <w:spacing w:after="0"/>
              <w:rPr>
                <w:sz w:val="20"/>
                <w:szCs w:val="20"/>
                <w:color w:val="auto"/>
              </w:rPr>
            </w:pPr>
            <w:r>
              <w:rPr>
                <w:rFonts w:ascii="Courier New" w:cs="Courier New" w:eastAsia="Courier New" w:hAnsi="Courier New"/>
                <w:sz w:val="13"/>
                <w:szCs w:val="13"/>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3"/>
                <w:szCs w:val="13"/>
                <w:color w:val="auto"/>
                <w:w w:val="89"/>
              </w:rPr>
              <w:t>95</w:t>
            </w:r>
          </w:p>
        </w:tc>
      </w:tr>
      <w:tr>
        <w:trPr>
          <w:trHeight w:val="154"/>
        </w:trPr>
        <w:tc>
          <w:tcPr>
            <w:tcW w:w="5380" w:type="dxa"/>
            <w:vAlign w:val="bottom"/>
          </w:tcPr>
          <w:p>
            <w:pPr>
              <w:spacing w:after="0"/>
              <w:rPr>
                <w:sz w:val="13"/>
                <w:szCs w:val="13"/>
                <w:color w:val="auto"/>
              </w:rPr>
            </w:pPr>
          </w:p>
        </w:tc>
        <w:tc>
          <w:tcPr>
            <w:tcW w:w="152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36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960" w:type="dxa"/>
            <w:vAlign w:val="bottom"/>
            <w:gridSpan w:val="3"/>
          </w:tcPr>
          <w:p>
            <w:pPr>
              <w:jc w:val="right"/>
              <w:spacing w:after="0"/>
              <w:rPr>
                <w:sz w:val="20"/>
                <w:szCs w:val="20"/>
                <w:color w:val="auto"/>
              </w:rPr>
            </w:pPr>
            <w:r>
              <w:rPr>
                <w:rFonts w:ascii="Courier New" w:cs="Courier New" w:eastAsia="Courier New" w:hAnsi="Courier New"/>
                <w:sz w:val="13"/>
                <w:szCs w:val="13"/>
                <w:color w:val="auto"/>
              </w:rPr>
              <w:t>============</w:t>
            </w:r>
          </w:p>
        </w:tc>
      </w:tr>
      <w:tr>
        <w:trPr>
          <w:trHeight w:val="308"/>
        </w:trPr>
        <w:tc>
          <w:tcPr>
            <w:tcW w:w="5380" w:type="dxa"/>
            <w:vAlign w:val="bottom"/>
          </w:tcPr>
          <w:p>
            <w:pPr>
              <w:ind w:left="80"/>
              <w:spacing w:after="0"/>
              <w:rPr>
                <w:sz w:val="20"/>
                <w:szCs w:val="20"/>
                <w:color w:val="auto"/>
              </w:rPr>
            </w:pPr>
            <w:r>
              <w:rPr>
                <w:rFonts w:ascii="Courier New" w:cs="Courier New" w:eastAsia="Courier New" w:hAnsi="Courier New"/>
                <w:sz w:val="13"/>
                <w:szCs w:val="13"/>
                <w:color w:val="auto"/>
              </w:rPr>
              <w:t>Amounts recognized in the Consolidated Balance Sheets consist of:</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08"/>
        </w:trPr>
        <w:tc>
          <w:tcPr>
            <w:tcW w:w="5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2002</w:t>
            </w:r>
          </w:p>
        </w:tc>
        <w:tc>
          <w:tcPr>
            <w:tcW w:w="560" w:type="dxa"/>
            <w:vAlign w:val="bottom"/>
          </w:tcPr>
          <w:p>
            <w:pPr>
              <w:spacing w:after="0"/>
              <w:rPr>
                <w:sz w:val="24"/>
                <w:szCs w:val="24"/>
                <w:color w:val="auto"/>
              </w:rPr>
            </w:pPr>
          </w:p>
        </w:tc>
        <w:tc>
          <w:tcPr>
            <w:tcW w:w="1360" w:type="dxa"/>
            <w:vAlign w:val="bottom"/>
            <w:gridSpan w:val="2"/>
          </w:tcPr>
          <w:p>
            <w:pPr>
              <w:jc w:val="right"/>
              <w:ind w:right="333"/>
              <w:spacing w:after="0"/>
              <w:rPr>
                <w:sz w:val="20"/>
                <w:szCs w:val="20"/>
                <w:color w:val="auto"/>
              </w:rPr>
            </w:pPr>
            <w:r>
              <w:rPr>
                <w:rFonts w:ascii="Courier New" w:cs="Courier New" w:eastAsia="Courier New" w:hAnsi="Courier New"/>
                <w:sz w:val="13"/>
                <w:szCs w:val="13"/>
                <w:b w:val="1"/>
                <w:bCs w:val="1"/>
                <w:color w:val="auto"/>
              </w:rPr>
              <w:t>2001</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54"/>
        </w:trPr>
        <w:tc>
          <w:tcPr>
            <w:tcW w:w="5380" w:type="dxa"/>
            <w:vAlign w:val="bottom"/>
          </w:tcPr>
          <w:p>
            <w:pPr>
              <w:spacing w:after="0"/>
              <w:rPr>
                <w:sz w:val="13"/>
                <w:szCs w:val="13"/>
                <w:color w:val="auto"/>
              </w:rPr>
            </w:pPr>
          </w:p>
        </w:tc>
        <w:tc>
          <w:tcPr>
            <w:tcW w:w="1520" w:type="dxa"/>
            <w:vAlign w:val="bottom"/>
            <w:gridSpan w:val="2"/>
          </w:tcPr>
          <w:p>
            <w:pPr>
              <w:jc w:val="right"/>
              <w:ind w:right="173"/>
              <w:spacing w:after="0"/>
              <w:rPr>
                <w:sz w:val="20"/>
                <w:szCs w:val="20"/>
                <w:color w:val="auto"/>
              </w:rPr>
            </w:pPr>
            <w:r>
              <w:rPr>
                <w:rFonts w:ascii="Courier New" w:cs="Courier New" w:eastAsia="Courier New" w:hAnsi="Courier New"/>
                <w:sz w:val="13"/>
                <w:szCs w:val="13"/>
                <w:b w:val="1"/>
                <w:bCs w:val="1"/>
                <w:color w:val="auto"/>
              </w:rPr>
              <w:t>--------------</w:t>
            </w:r>
          </w:p>
        </w:tc>
        <w:tc>
          <w:tcPr>
            <w:tcW w:w="1360" w:type="dxa"/>
            <w:vAlign w:val="bottom"/>
            <w:gridSpan w:val="2"/>
          </w:tcPr>
          <w:p>
            <w:pPr>
              <w:jc w:val="center"/>
              <w:ind w:left="13"/>
              <w:spacing w:after="0"/>
              <w:rPr>
                <w:sz w:val="20"/>
                <w:szCs w:val="20"/>
                <w:color w:val="auto"/>
              </w:rPr>
            </w:pPr>
            <w:r>
              <w:rPr>
                <w:rFonts w:ascii="Courier New" w:cs="Courier New" w:eastAsia="Courier New" w:hAnsi="Courier New"/>
                <w:sz w:val="13"/>
                <w:szCs w:val="13"/>
                <w:b w:val="1"/>
                <w:bCs w:val="1"/>
                <w:color w:val="auto"/>
              </w:rPr>
              <w:t>--------------</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4"/>
        </w:trPr>
        <w:tc>
          <w:tcPr>
            <w:tcW w:w="5380" w:type="dxa"/>
            <w:vAlign w:val="bottom"/>
          </w:tcPr>
          <w:p>
            <w:pPr>
              <w:ind w:left="320"/>
              <w:spacing w:after="0"/>
              <w:rPr>
                <w:sz w:val="20"/>
                <w:szCs w:val="20"/>
                <w:color w:val="auto"/>
              </w:rPr>
            </w:pPr>
            <w:r>
              <w:rPr>
                <w:rFonts w:ascii="Courier New" w:cs="Courier New" w:eastAsia="Courier New" w:hAnsi="Courier New"/>
                <w:sz w:val="13"/>
                <w:szCs w:val="13"/>
                <w:color w:val="auto"/>
              </w:rPr>
              <w:t>Accrued benefit liability</w:t>
            </w:r>
          </w:p>
        </w:tc>
        <w:tc>
          <w:tcPr>
            <w:tcW w:w="1520" w:type="dxa"/>
            <w:vAlign w:val="bottom"/>
            <w:gridSpan w:val="2"/>
          </w:tcPr>
          <w:p>
            <w:pPr>
              <w:jc w:val="right"/>
              <w:ind w:right="253"/>
              <w:spacing w:after="0"/>
              <w:rPr>
                <w:sz w:val="20"/>
                <w:szCs w:val="20"/>
                <w:color w:val="auto"/>
              </w:rPr>
            </w:pPr>
            <w:r>
              <w:rPr>
                <w:rFonts w:ascii="Courier New" w:cs="Courier New" w:eastAsia="Courier New" w:hAnsi="Courier New"/>
                <w:sz w:val="13"/>
                <w:szCs w:val="13"/>
                <w:color w:val="auto"/>
              </w:rPr>
              <w:t>$3,059</w:t>
            </w:r>
          </w:p>
        </w:tc>
        <w:tc>
          <w:tcPr>
            <w:tcW w:w="136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$2,390</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4"/>
        </w:trPr>
        <w:tc>
          <w:tcPr>
            <w:tcW w:w="5380" w:type="dxa"/>
            <w:vAlign w:val="bottom"/>
          </w:tcPr>
          <w:p>
            <w:pPr>
              <w:ind w:left="320"/>
              <w:spacing w:after="0"/>
              <w:rPr>
                <w:sz w:val="20"/>
                <w:szCs w:val="20"/>
                <w:color w:val="auto"/>
              </w:rPr>
            </w:pPr>
            <w:r>
              <w:rPr>
                <w:rFonts w:ascii="Courier New" w:cs="Courier New" w:eastAsia="Courier New" w:hAnsi="Courier New"/>
                <w:sz w:val="13"/>
                <w:szCs w:val="13"/>
                <w:color w:val="auto"/>
              </w:rPr>
              <w:t>Accumulated other comprehensive loss, net of tax</w:t>
            </w:r>
          </w:p>
        </w:tc>
        <w:tc>
          <w:tcPr>
            <w:tcW w:w="1520" w:type="dxa"/>
            <w:vAlign w:val="bottom"/>
            <w:gridSpan w:val="2"/>
          </w:tcPr>
          <w:p>
            <w:pPr>
              <w:jc w:val="right"/>
              <w:ind w:right="253"/>
              <w:spacing w:after="0"/>
              <w:rPr>
                <w:sz w:val="20"/>
                <w:szCs w:val="20"/>
                <w:color w:val="auto"/>
              </w:rPr>
            </w:pPr>
            <w:r>
              <w:rPr>
                <w:rFonts w:ascii="Courier New" w:cs="Courier New" w:eastAsia="Courier New" w:hAnsi="Courier New"/>
                <w:sz w:val="13"/>
                <w:szCs w:val="13"/>
                <w:color w:val="auto"/>
              </w:rPr>
              <w:t>(28)</w:t>
            </w:r>
          </w:p>
        </w:tc>
        <w:tc>
          <w:tcPr>
            <w:tcW w:w="880" w:type="dxa"/>
            <w:vAlign w:val="bottom"/>
          </w:tcPr>
          <w:p>
            <w:pPr>
              <w:spacing w:after="0"/>
              <w:rPr>
                <w:sz w:val="13"/>
                <w:szCs w:val="13"/>
                <w:color w:val="auto"/>
              </w:rPr>
            </w:pPr>
          </w:p>
        </w:tc>
        <w:tc>
          <w:tcPr>
            <w:tcW w:w="480" w:type="dxa"/>
            <w:vAlign w:val="bottom"/>
          </w:tcPr>
          <w:p>
            <w:pPr>
              <w:jc w:val="right"/>
              <w:ind w:right="93"/>
              <w:spacing w:after="0"/>
              <w:rPr>
                <w:sz w:val="20"/>
                <w:szCs w:val="20"/>
                <w:color w:val="auto"/>
              </w:rPr>
            </w:pPr>
            <w:r>
              <w:rPr>
                <w:rFonts w:ascii="Courier New" w:cs="Courier New" w:eastAsia="Courier New" w:hAnsi="Courier New"/>
                <w:sz w:val="13"/>
                <w:szCs w:val="13"/>
                <w:color w:val="auto"/>
                <w:w w:val="95"/>
              </w:rPr>
              <w:t>(53)</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4"/>
        </w:trPr>
        <w:tc>
          <w:tcPr>
            <w:tcW w:w="5380" w:type="dxa"/>
            <w:vAlign w:val="bottom"/>
          </w:tcPr>
          <w:p>
            <w:pPr>
              <w:spacing w:after="0"/>
              <w:rPr>
                <w:sz w:val="13"/>
                <w:szCs w:val="13"/>
                <w:color w:val="auto"/>
              </w:rPr>
            </w:pPr>
          </w:p>
        </w:tc>
        <w:tc>
          <w:tcPr>
            <w:tcW w:w="1520" w:type="dxa"/>
            <w:vAlign w:val="bottom"/>
            <w:gridSpan w:val="2"/>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1360" w:type="dxa"/>
            <w:vAlign w:val="bottom"/>
            <w:gridSpan w:val="2"/>
          </w:tcPr>
          <w:p>
            <w:pPr>
              <w:jc w:val="center"/>
              <w:ind w:left="13"/>
              <w:spacing w:after="0"/>
              <w:rPr>
                <w:sz w:val="20"/>
                <w:szCs w:val="20"/>
                <w:color w:val="auto"/>
              </w:rPr>
            </w:pPr>
            <w:r>
              <w:rPr>
                <w:rFonts w:ascii="Courier New" w:cs="Courier New" w:eastAsia="Courier New" w:hAnsi="Courier New"/>
                <w:sz w:val="13"/>
                <w:szCs w:val="13"/>
                <w:color w:val="auto"/>
              </w:rPr>
              <w:t>--------------</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4"/>
        </w:trPr>
        <w:tc>
          <w:tcPr>
            <w:tcW w:w="5380" w:type="dxa"/>
            <w:vAlign w:val="bottom"/>
          </w:tcPr>
          <w:p>
            <w:pPr>
              <w:ind w:left="480"/>
              <w:spacing w:after="0"/>
              <w:rPr>
                <w:sz w:val="20"/>
                <w:szCs w:val="20"/>
                <w:color w:val="auto"/>
              </w:rPr>
            </w:pPr>
            <w:r>
              <w:rPr>
                <w:rFonts w:ascii="Courier New" w:cs="Courier New" w:eastAsia="Courier New" w:hAnsi="Courier New"/>
                <w:sz w:val="13"/>
                <w:szCs w:val="13"/>
                <w:color w:val="auto"/>
              </w:rPr>
              <w:t>Net amount recognized in other non-current liabilities</w:t>
            </w:r>
          </w:p>
        </w:tc>
        <w:tc>
          <w:tcPr>
            <w:tcW w:w="1520" w:type="dxa"/>
            <w:vAlign w:val="bottom"/>
            <w:gridSpan w:val="2"/>
          </w:tcPr>
          <w:p>
            <w:pPr>
              <w:jc w:val="right"/>
              <w:ind w:right="253"/>
              <w:spacing w:after="0"/>
              <w:rPr>
                <w:sz w:val="20"/>
                <w:szCs w:val="20"/>
                <w:color w:val="auto"/>
              </w:rPr>
            </w:pPr>
            <w:r>
              <w:rPr>
                <w:rFonts w:ascii="Courier New" w:cs="Courier New" w:eastAsia="Courier New" w:hAnsi="Courier New"/>
                <w:sz w:val="13"/>
                <w:szCs w:val="13"/>
                <w:color w:val="auto"/>
              </w:rPr>
              <w:t>$3,031</w:t>
            </w:r>
          </w:p>
        </w:tc>
        <w:tc>
          <w:tcPr>
            <w:tcW w:w="136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$2,337</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4"/>
        </w:trPr>
        <w:tc>
          <w:tcPr>
            <w:tcW w:w="5380" w:type="dxa"/>
            <w:vAlign w:val="bottom"/>
          </w:tcPr>
          <w:p>
            <w:pPr>
              <w:spacing w:after="0"/>
              <w:rPr>
                <w:sz w:val="13"/>
                <w:szCs w:val="13"/>
                <w:color w:val="auto"/>
              </w:rPr>
            </w:pPr>
          </w:p>
        </w:tc>
        <w:tc>
          <w:tcPr>
            <w:tcW w:w="1520" w:type="dxa"/>
            <w:vAlign w:val="bottom"/>
            <w:gridSpan w:val="2"/>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1360" w:type="dxa"/>
            <w:vAlign w:val="bottom"/>
            <w:gridSpan w:val="2"/>
          </w:tcPr>
          <w:p>
            <w:pPr>
              <w:jc w:val="center"/>
              <w:ind w:left="13"/>
              <w:spacing w:after="0"/>
              <w:rPr>
                <w:sz w:val="20"/>
                <w:szCs w:val="20"/>
                <w:color w:val="auto"/>
              </w:rPr>
            </w:pPr>
            <w:r>
              <w:rPr>
                <w:rFonts w:ascii="Courier New" w:cs="Courier New" w:eastAsia="Courier New" w:hAnsi="Courier New"/>
                <w:sz w:val="13"/>
                <w:szCs w:val="13"/>
                <w:color w:val="auto"/>
              </w:rPr>
              <w:t>==============</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r>
    </w:tbl>
    <w:p>
      <w:pPr>
        <w:sectPr>
          <w:pgSz w:w="11900" w:h="16838" w:orient="portrait"/>
          <w:cols w:equalWidth="0" w:num="1">
            <w:col w:w="10159"/>
          </w:cols>
          <w:pgMar w:left="300" w:top="295" w:right="1440" w:bottom="0" w:gutter="0" w:footer="0" w:header="0"/>
        </w:sectPr>
      </w:pPr>
    </w:p>
    <w:bookmarkStart w:id="32" w:name="page33"/>
    <w:bookmarkEnd w:id="32"/>
    <w:p>
      <w:pPr>
        <w:ind w:right="4299"/>
        <w:spacing w:after="0" w:line="254" w:lineRule="auto"/>
        <w:rPr>
          <w:sz w:val="20"/>
          <w:szCs w:val="20"/>
          <w:color w:val="auto"/>
        </w:rPr>
      </w:pPr>
      <w:r>
        <w:rPr>
          <w:rFonts w:ascii="Courier New" w:cs="Courier New" w:eastAsia="Courier New" w:hAnsi="Courier New"/>
          <w:sz w:val="13"/>
          <w:szCs w:val="13"/>
          <w:color w:val="auto"/>
        </w:rPr>
        <w:t>Accumulated other comprehensive loss is shown net of tax of $16 and $31 at December 31, 2002 and 2001, respectively.</w:t>
      </w:r>
    </w:p>
    <w:p>
      <w:pPr>
        <w:spacing w:after="0" w:line="200" w:lineRule="exact"/>
        <w:rPr>
          <w:sz w:val="20"/>
          <w:szCs w:val="20"/>
          <w:color w:val="auto"/>
        </w:rPr>
      </w:pPr>
    </w:p>
    <w:p>
      <w:pPr>
        <w:spacing w:after="0" w:line="259" w:lineRule="exact"/>
        <w:rPr>
          <w:sz w:val="20"/>
          <w:szCs w:val="20"/>
          <w:color w:val="auto"/>
        </w:rPr>
      </w:pPr>
    </w:p>
    <w:p>
      <w:pPr>
        <w:ind w:left="5700"/>
        <w:spacing w:after="0"/>
        <w:rPr>
          <w:sz w:val="20"/>
          <w:szCs w:val="20"/>
          <w:color w:val="auto"/>
        </w:rPr>
      </w:pPr>
      <w:r>
        <w:rPr>
          <w:rFonts w:ascii="Courier New" w:cs="Courier New" w:eastAsia="Courier New" w:hAnsi="Courier New"/>
          <w:sz w:val="13"/>
          <w:szCs w:val="13"/>
          <w:color w:val="auto"/>
        </w:rPr>
        <w:t>Continued</w:t>
      </w:r>
    </w:p>
    <w:p>
      <w:pPr>
        <w:spacing w:after="0" w:line="315"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3"/>
          <w:szCs w:val="13"/>
          <w:b w:val="1"/>
          <w:bCs w:val="1"/>
          <w:color w:val="auto"/>
        </w:rPr>
        <w:t>NN, Inc.</w:t>
      </w:r>
    </w:p>
    <w:p>
      <w:pPr>
        <w:spacing w:after="0" w:line="7"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3"/>
          <w:szCs w:val="13"/>
          <w:b w:val="1"/>
          <w:bCs w:val="1"/>
          <w:color w:val="auto"/>
        </w:rPr>
        <w:t>Notes to Consolidated Financial Statements</w:t>
      </w:r>
    </w:p>
    <w:p>
      <w:pPr>
        <w:spacing w:after="0" w:line="7" w:lineRule="exact"/>
        <w:rPr>
          <w:sz w:val="20"/>
          <w:szCs w:val="20"/>
          <w:color w:val="auto"/>
        </w:rPr>
      </w:pPr>
    </w:p>
    <w:p>
      <w:pPr>
        <w:ind w:left="1920"/>
        <w:spacing w:after="0"/>
        <w:rPr>
          <w:sz w:val="20"/>
          <w:szCs w:val="20"/>
          <w:color w:val="auto"/>
        </w:rPr>
      </w:pPr>
      <w:r>
        <w:rPr>
          <w:rFonts w:ascii="Courier New" w:cs="Courier New" w:eastAsia="Courier New" w:hAnsi="Courier New"/>
          <w:sz w:val="13"/>
          <w:szCs w:val="13"/>
          <w:b w:val="1"/>
          <w:bCs w:val="1"/>
          <w:color w:val="auto"/>
        </w:rPr>
        <w:t>December 31, 2002, 2001 and 2000</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3"/>
          <w:szCs w:val="13"/>
          <w:b w:val="1"/>
          <w:bCs w:val="1"/>
          <w:color w:val="auto"/>
        </w:rPr>
        <w:t>(In thousands, except per share data)</w:t>
      </w:r>
    </w:p>
    <w:p>
      <w:pPr>
        <w:spacing w:after="0" w:line="161" w:lineRule="exact"/>
        <w:rPr>
          <w:sz w:val="20"/>
          <w:szCs w:val="20"/>
          <w:color w:val="auto"/>
        </w:rPr>
      </w:pPr>
    </w:p>
    <w:p>
      <w:pPr>
        <w:ind w:left="560" w:hanging="558"/>
        <w:spacing w:after="0"/>
        <w:tabs>
          <w:tab w:leader="none" w:pos="560" w:val="left"/>
        </w:tabs>
        <w:numPr>
          <w:ilvl w:val="0"/>
          <w:numId w:val="17"/>
        </w:numPr>
        <w:rPr>
          <w:rFonts w:ascii="Courier New" w:cs="Courier New" w:eastAsia="Courier New" w:hAnsi="Courier New"/>
          <w:sz w:val="13"/>
          <w:szCs w:val="13"/>
          <w:b w:val="1"/>
          <w:bCs w:val="1"/>
          <w:color w:val="auto"/>
        </w:rPr>
      </w:pPr>
      <w:r>
        <w:rPr>
          <w:rFonts w:ascii="Courier New" w:cs="Courier New" w:eastAsia="Courier New" w:hAnsi="Courier New"/>
          <w:sz w:val="13"/>
          <w:szCs w:val="13"/>
          <w:b w:val="1"/>
          <w:bCs w:val="1"/>
          <w:color w:val="auto"/>
        </w:rPr>
        <w:t>Stock Incentive Plan</w:t>
      </w:r>
    </w:p>
    <w:p>
      <w:pPr>
        <w:spacing w:after="0" w:line="315" w:lineRule="exact"/>
        <w:rPr>
          <w:rFonts w:ascii="Courier New" w:cs="Courier New" w:eastAsia="Courier New" w:hAnsi="Courier New"/>
          <w:sz w:val="13"/>
          <w:szCs w:val="13"/>
          <w:b w:val="1"/>
          <w:bCs w:val="1"/>
          <w:color w:val="auto"/>
        </w:rPr>
      </w:pPr>
    </w:p>
    <w:p>
      <w:pPr>
        <w:ind w:left="560" w:right="3899"/>
        <w:spacing w:after="0" w:line="251" w:lineRule="auto"/>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The Company has a Stock Incentive Plan under which 2,450 shares of the Company's Common Stock were reserved for issuance to officers and key employees of the Company. Awards or grants under the plan may be made in the form of incentive and nonqualified stock options, stock appreciation rights and restricted stock. The stock options and stock appreciation rights must be issued with an exercise price not less than the fair market value of the Common Stock on the date of grant. The awards or grants under the plan may have various vesting and expiration periods as determined at the discretion of the committee administering the plan.</w:t>
      </w:r>
    </w:p>
    <w:p>
      <w:pPr>
        <w:spacing w:after="0" w:line="156" w:lineRule="exact"/>
        <w:rPr>
          <w:rFonts w:ascii="Courier New" w:cs="Courier New" w:eastAsia="Courier New" w:hAnsi="Courier New"/>
          <w:sz w:val="13"/>
          <w:szCs w:val="13"/>
          <w:b w:val="1"/>
          <w:bCs w:val="1"/>
          <w:color w:val="auto"/>
        </w:rPr>
      </w:pPr>
    </w:p>
    <w:p>
      <w:pPr>
        <w:ind w:left="560" w:right="3979"/>
        <w:spacing w:after="0" w:line="253" w:lineRule="auto"/>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A summary of the status of the Company's stock option plan as described above as of December 31, 2002, 2001 and 2000, and changes during the years ending on those dates is presented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40" w:type="dxa"/>
            <w:vAlign w:val="bottom"/>
          </w:tcPr>
          <w:p>
            <w:pPr>
              <w:spacing w:after="0"/>
              <w:rPr>
                <w:sz w:val="12"/>
                <w:szCs w:val="12"/>
                <w:color w:val="auto"/>
              </w:rPr>
            </w:pPr>
          </w:p>
        </w:tc>
        <w:tc>
          <w:tcPr>
            <w:tcW w:w="1580" w:type="dxa"/>
            <w:vAlign w:val="bottom"/>
            <w:gridSpan w:val="2"/>
          </w:tcPr>
          <w:p>
            <w:pPr>
              <w:jc w:val="right"/>
              <w:ind w:right="173"/>
              <w:spacing w:after="0"/>
              <w:rPr>
                <w:sz w:val="20"/>
                <w:szCs w:val="20"/>
                <w:color w:val="auto"/>
              </w:rPr>
            </w:pPr>
            <w:r>
              <w:rPr>
                <w:rFonts w:ascii="Courier New" w:cs="Courier New" w:eastAsia="Courier New" w:hAnsi="Courier New"/>
                <w:sz w:val="13"/>
                <w:szCs w:val="13"/>
                <w:b w:val="1"/>
                <w:bCs w:val="1"/>
                <w:color w:val="auto"/>
              </w:rPr>
              <w:t>2002</w:t>
            </w: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2"/>
          </w:tcPr>
          <w:p>
            <w:pPr>
              <w:jc w:val="right"/>
              <w:ind w:right="413"/>
              <w:spacing w:after="0"/>
              <w:rPr>
                <w:sz w:val="20"/>
                <w:szCs w:val="20"/>
                <w:color w:val="auto"/>
              </w:rPr>
            </w:pPr>
            <w:r>
              <w:rPr>
                <w:rFonts w:ascii="Courier New" w:cs="Courier New" w:eastAsia="Courier New" w:hAnsi="Courier New"/>
                <w:sz w:val="13"/>
                <w:szCs w:val="13"/>
                <w:b w:val="1"/>
                <w:bCs w:val="1"/>
                <w:color w:val="auto"/>
              </w:rPr>
              <w:t>2001</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gridSpan w:val="2"/>
          </w:tcPr>
          <w:p>
            <w:pPr>
              <w:jc w:val="right"/>
              <w:ind w:right="573"/>
              <w:spacing w:after="0"/>
              <w:rPr>
                <w:sz w:val="20"/>
                <w:szCs w:val="20"/>
                <w:color w:val="auto"/>
              </w:rPr>
            </w:pPr>
            <w:r>
              <w:rPr>
                <w:rFonts w:ascii="Courier New" w:cs="Courier New" w:eastAsia="Courier New" w:hAnsi="Courier New"/>
                <w:sz w:val="13"/>
                <w:szCs w:val="13"/>
                <w:b w:val="1"/>
                <w:bCs w:val="1"/>
                <w:color w:val="auto"/>
              </w:rPr>
              <w:t>2000</w:t>
            </w:r>
          </w:p>
        </w:tc>
        <w:tc>
          <w:tcPr>
            <w:tcW w:w="560" w:type="dxa"/>
            <w:vAlign w:val="bottom"/>
          </w:tcPr>
          <w:p>
            <w:pPr>
              <w:spacing w:after="0"/>
              <w:rPr>
                <w:sz w:val="12"/>
                <w:szCs w:val="12"/>
                <w:color w:val="auto"/>
              </w:rPr>
            </w:pPr>
          </w:p>
        </w:tc>
      </w:tr>
      <w:tr>
        <w:trPr>
          <w:trHeight w:val="154"/>
        </w:trPr>
        <w:tc>
          <w:tcPr>
            <w:tcW w:w="2440" w:type="dxa"/>
            <w:vAlign w:val="bottom"/>
          </w:tcPr>
          <w:p>
            <w:pPr>
              <w:spacing w:after="0"/>
              <w:rPr>
                <w:sz w:val="13"/>
                <w:szCs w:val="13"/>
                <w:color w:val="auto"/>
              </w:rPr>
            </w:pPr>
          </w:p>
        </w:tc>
        <w:tc>
          <w:tcPr>
            <w:tcW w:w="1580" w:type="dxa"/>
            <w:vAlign w:val="bottom"/>
            <w:gridSpan w:val="2"/>
          </w:tcPr>
          <w:p>
            <w:pPr>
              <w:ind w:left="120"/>
              <w:spacing w:after="0"/>
              <w:rPr>
                <w:sz w:val="20"/>
                <w:szCs w:val="20"/>
                <w:color w:val="auto"/>
              </w:rPr>
            </w:pPr>
            <w:r>
              <w:rPr>
                <w:rFonts w:ascii="Courier New" w:cs="Courier New" w:eastAsia="Courier New" w:hAnsi="Courier New"/>
                <w:sz w:val="12"/>
                <w:szCs w:val="12"/>
                <w:b w:val="1"/>
                <w:bCs w:val="1"/>
                <w:color w:val="auto"/>
                <w:w w:val="71"/>
              </w:rPr>
              <w:t>----------------------------</w:t>
            </w:r>
          </w:p>
        </w:tc>
        <w:tc>
          <w:tcPr>
            <w:tcW w:w="960" w:type="dxa"/>
            <w:vAlign w:val="bottom"/>
          </w:tcPr>
          <w:p>
            <w:pPr>
              <w:spacing w:after="0"/>
              <w:rPr>
                <w:sz w:val="13"/>
                <w:szCs w:val="13"/>
                <w:color w:val="auto"/>
              </w:rPr>
            </w:pPr>
          </w:p>
        </w:tc>
        <w:tc>
          <w:tcPr>
            <w:tcW w:w="2320" w:type="dxa"/>
            <w:vAlign w:val="bottom"/>
            <w:gridSpan w:val="4"/>
          </w:tcPr>
          <w:p>
            <w:pPr>
              <w:spacing w:after="0"/>
              <w:rPr>
                <w:sz w:val="20"/>
                <w:szCs w:val="20"/>
                <w:color w:val="auto"/>
              </w:rPr>
            </w:pPr>
            <w:r>
              <w:rPr>
                <w:rFonts w:ascii="Courier New" w:cs="Courier New" w:eastAsia="Courier New" w:hAnsi="Courier New"/>
                <w:sz w:val="13"/>
                <w:szCs w:val="13"/>
                <w:b w:val="1"/>
                <w:bCs w:val="1"/>
                <w:color w:val="auto"/>
              </w:rPr>
              <w:t>----------------------------</w:t>
            </w:r>
          </w:p>
        </w:tc>
        <w:tc>
          <w:tcPr>
            <w:tcW w:w="2720" w:type="dxa"/>
            <w:vAlign w:val="bottom"/>
            <w:gridSpan w:val="4"/>
          </w:tcPr>
          <w:p>
            <w:pPr>
              <w:jc w:val="right"/>
              <w:ind w:right="13"/>
              <w:spacing w:after="0"/>
              <w:rPr>
                <w:sz w:val="20"/>
                <w:szCs w:val="20"/>
                <w:color w:val="auto"/>
              </w:rPr>
            </w:pPr>
            <w:r>
              <w:rPr>
                <w:rFonts w:ascii="Courier New" w:cs="Courier New" w:eastAsia="Courier New" w:hAnsi="Courier New"/>
                <w:sz w:val="13"/>
                <w:szCs w:val="13"/>
                <w:b w:val="1"/>
                <w:bCs w:val="1"/>
                <w:color w:val="auto"/>
              </w:rPr>
              <w:t>-------------------------------</w:t>
            </w:r>
          </w:p>
        </w:tc>
      </w:tr>
      <w:tr>
        <w:trPr>
          <w:trHeight w:val="154"/>
        </w:trPr>
        <w:tc>
          <w:tcPr>
            <w:tcW w:w="24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40" w:type="dxa"/>
            <w:vAlign w:val="bottom"/>
            <w:gridSpan w:val="2"/>
          </w:tcPr>
          <w:p>
            <w:pPr>
              <w:ind w:left="80"/>
              <w:spacing w:after="0"/>
              <w:rPr>
                <w:sz w:val="20"/>
                <w:szCs w:val="20"/>
                <w:color w:val="auto"/>
              </w:rPr>
            </w:pPr>
            <w:r>
              <w:rPr>
                <w:rFonts w:ascii="Courier New" w:cs="Courier New" w:eastAsia="Courier New" w:hAnsi="Courier New"/>
                <w:sz w:val="13"/>
                <w:szCs w:val="13"/>
                <w:b w:val="1"/>
                <w:bCs w:val="1"/>
                <w:color w:val="auto"/>
              </w:rPr>
              <w:t>Weighted-average</w:t>
            </w: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20" w:type="dxa"/>
            <w:vAlign w:val="bottom"/>
            <w:gridSpan w:val="2"/>
          </w:tcPr>
          <w:p>
            <w:pPr>
              <w:ind w:left="40"/>
              <w:spacing w:after="0"/>
              <w:rPr>
                <w:sz w:val="20"/>
                <w:szCs w:val="20"/>
                <w:color w:val="auto"/>
              </w:rPr>
            </w:pPr>
            <w:r>
              <w:rPr>
                <w:rFonts w:ascii="Courier New" w:cs="Courier New" w:eastAsia="Courier New" w:hAnsi="Courier New"/>
                <w:sz w:val="13"/>
                <w:szCs w:val="13"/>
                <w:b w:val="1"/>
                <w:bCs w:val="1"/>
                <w:color w:val="auto"/>
              </w:rPr>
              <w:t>Weighted-average</w:t>
            </w: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3"/>
                <w:szCs w:val="13"/>
                <w:b w:val="1"/>
                <w:bCs w:val="1"/>
                <w:color w:val="auto"/>
              </w:rPr>
              <w:t>Weighted-average</w:t>
            </w:r>
          </w:p>
        </w:tc>
      </w:tr>
      <w:tr>
        <w:trPr>
          <w:trHeight w:val="154"/>
        </w:trPr>
        <w:tc>
          <w:tcPr>
            <w:tcW w:w="24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40" w:type="dxa"/>
            <w:vAlign w:val="bottom"/>
            <w:gridSpan w:val="2"/>
          </w:tcPr>
          <w:p>
            <w:pPr>
              <w:ind w:left="80"/>
              <w:spacing w:after="0"/>
              <w:rPr>
                <w:sz w:val="20"/>
                <w:szCs w:val="20"/>
                <w:color w:val="auto"/>
              </w:rPr>
            </w:pPr>
            <w:r>
              <w:rPr>
                <w:rFonts w:ascii="Courier New" w:cs="Courier New" w:eastAsia="Courier New" w:hAnsi="Courier New"/>
                <w:sz w:val="13"/>
                <w:szCs w:val="13"/>
                <w:b w:val="1"/>
                <w:bCs w:val="1"/>
                <w:color w:val="auto"/>
              </w:rPr>
              <w:t>exercise price</w:t>
            </w: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20" w:type="dxa"/>
            <w:vAlign w:val="bottom"/>
            <w:gridSpan w:val="2"/>
          </w:tcPr>
          <w:p>
            <w:pPr>
              <w:ind w:left="40"/>
              <w:spacing w:after="0"/>
              <w:rPr>
                <w:sz w:val="20"/>
                <w:szCs w:val="20"/>
                <w:color w:val="auto"/>
              </w:rPr>
            </w:pPr>
            <w:r>
              <w:rPr>
                <w:rFonts w:ascii="Courier New" w:cs="Courier New" w:eastAsia="Courier New" w:hAnsi="Courier New"/>
                <w:sz w:val="13"/>
                <w:szCs w:val="13"/>
                <w:b w:val="1"/>
                <w:bCs w:val="1"/>
                <w:color w:val="auto"/>
              </w:rPr>
              <w:t>exercise price</w:t>
            </w: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gridSpan w:val="2"/>
          </w:tcPr>
          <w:p>
            <w:pPr>
              <w:jc w:val="right"/>
              <w:ind w:right="93"/>
              <w:spacing w:after="0"/>
              <w:rPr>
                <w:sz w:val="20"/>
                <w:szCs w:val="20"/>
                <w:color w:val="auto"/>
              </w:rPr>
            </w:pPr>
            <w:r>
              <w:rPr>
                <w:rFonts w:ascii="Courier New" w:cs="Courier New" w:eastAsia="Courier New" w:hAnsi="Courier New"/>
                <w:sz w:val="13"/>
                <w:szCs w:val="13"/>
                <w:b w:val="1"/>
                <w:bCs w:val="1"/>
                <w:color w:val="auto"/>
              </w:rPr>
              <w:t>exercise price</w:t>
            </w:r>
          </w:p>
        </w:tc>
      </w:tr>
      <w:tr>
        <w:trPr>
          <w:trHeight w:val="154"/>
        </w:trPr>
        <w:tc>
          <w:tcPr>
            <w:tcW w:w="2440" w:type="dxa"/>
            <w:vAlign w:val="bottom"/>
          </w:tcPr>
          <w:p>
            <w:pPr>
              <w:spacing w:after="0"/>
              <w:rPr>
                <w:sz w:val="13"/>
                <w:szCs w:val="13"/>
                <w:color w:val="auto"/>
              </w:rPr>
            </w:pPr>
          </w:p>
        </w:tc>
        <w:tc>
          <w:tcPr>
            <w:tcW w:w="1100" w:type="dxa"/>
            <w:vAlign w:val="bottom"/>
          </w:tcPr>
          <w:p>
            <w:pPr>
              <w:jc w:val="right"/>
              <w:ind w:right="256"/>
              <w:spacing w:after="0"/>
              <w:rPr>
                <w:sz w:val="20"/>
                <w:szCs w:val="20"/>
                <w:color w:val="auto"/>
              </w:rPr>
            </w:pPr>
            <w:r>
              <w:rPr>
                <w:rFonts w:ascii="Courier New" w:cs="Courier New" w:eastAsia="Courier New" w:hAnsi="Courier New"/>
                <w:sz w:val="13"/>
                <w:szCs w:val="13"/>
                <w:b w:val="1"/>
                <w:bCs w:val="1"/>
                <w:color w:val="auto"/>
              </w:rPr>
              <w:t>Shares</w:t>
            </w:r>
          </w:p>
        </w:tc>
        <w:tc>
          <w:tcPr>
            <w:tcW w:w="1440" w:type="dxa"/>
            <w:vAlign w:val="bottom"/>
            <w:gridSpan w:val="2"/>
          </w:tcPr>
          <w:p>
            <w:pPr>
              <w:ind w:left="320"/>
              <w:spacing w:after="0"/>
              <w:rPr>
                <w:sz w:val="20"/>
                <w:szCs w:val="20"/>
                <w:color w:val="auto"/>
              </w:rPr>
            </w:pPr>
            <w:r>
              <w:rPr>
                <w:rFonts w:ascii="Courier New" w:cs="Courier New" w:eastAsia="Courier New" w:hAnsi="Courier New"/>
                <w:sz w:val="13"/>
                <w:szCs w:val="13"/>
                <w:b w:val="1"/>
                <w:bCs w:val="1"/>
                <w:color w:val="auto"/>
              </w:rPr>
              <w:t>per share</w:t>
            </w:r>
          </w:p>
        </w:tc>
        <w:tc>
          <w:tcPr>
            <w:tcW w:w="1000" w:type="dxa"/>
            <w:vAlign w:val="bottom"/>
            <w:gridSpan w:val="2"/>
          </w:tcPr>
          <w:p>
            <w:pPr>
              <w:jc w:val="right"/>
              <w:ind w:right="293"/>
              <w:spacing w:after="0"/>
              <w:rPr>
                <w:sz w:val="20"/>
                <w:szCs w:val="20"/>
                <w:color w:val="auto"/>
              </w:rPr>
            </w:pPr>
            <w:r>
              <w:rPr>
                <w:rFonts w:ascii="Courier New" w:cs="Courier New" w:eastAsia="Courier New" w:hAnsi="Courier New"/>
                <w:sz w:val="13"/>
                <w:szCs w:val="13"/>
                <w:b w:val="1"/>
                <w:bCs w:val="1"/>
                <w:color w:val="auto"/>
              </w:rPr>
              <w:t>Shares</w:t>
            </w:r>
          </w:p>
        </w:tc>
        <w:tc>
          <w:tcPr>
            <w:tcW w:w="1320" w:type="dxa"/>
            <w:vAlign w:val="bottom"/>
            <w:gridSpan w:val="2"/>
          </w:tcPr>
          <w:p>
            <w:pPr>
              <w:jc w:val="right"/>
              <w:ind w:right="253"/>
              <w:spacing w:after="0"/>
              <w:rPr>
                <w:sz w:val="20"/>
                <w:szCs w:val="20"/>
                <w:color w:val="auto"/>
              </w:rPr>
            </w:pPr>
            <w:r>
              <w:rPr>
                <w:rFonts w:ascii="Courier New" w:cs="Courier New" w:eastAsia="Courier New" w:hAnsi="Courier New"/>
                <w:sz w:val="13"/>
                <w:szCs w:val="13"/>
                <w:b w:val="1"/>
                <w:bCs w:val="1"/>
                <w:color w:val="auto"/>
              </w:rPr>
              <w:t>per share</w:t>
            </w:r>
          </w:p>
        </w:tc>
        <w:tc>
          <w:tcPr>
            <w:tcW w:w="960" w:type="dxa"/>
            <w:vAlign w:val="bottom"/>
          </w:tcPr>
          <w:p>
            <w:pPr>
              <w:jc w:val="right"/>
              <w:ind w:right="13"/>
              <w:spacing w:after="0"/>
              <w:rPr>
                <w:sz w:val="20"/>
                <w:szCs w:val="20"/>
                <w:color w:val="auto"/>
              </w:rPr>
            </w:pPr>
            <w:r>
              <w:rPr>
                <w:rFonts w:ascii="Courier New" w:cs="Courier New" w:eastAsia="Courier New" w:hAnsi="Courier New"/>
                <w:sz w:val="13"/>
                <w:szCs w:val="13"/>
                <w:b w:val="1"/>
                <w:bCs w:val="1"/>
                <w:color w:val="auto"/>
              </w:rPr>
              <w:t>Shares</w:t>
            </w:r>
          </w:p>
        </w:tc>
        <w:tc>
          <w:tcPr>
            <w:tcW w:w="360" w:type="dxa"/>
            <w:vAlign w:val="bottom"/>
          </w:tcPr>
          <w:p>
            <w:pPr>
              <w:spacing w:after="0"/>
              <w:rPr>
                <w:sz w:val="13"/>
                <w:szCs w:val="13"/>
                <w:color w:val="auto"/>
              </w:rPr>
            </w:pPr>
          </w:p>
        </w:tc>
        <w:tc>
          <w:tcPr>
            <w:tcW w:w="1400" w:type="dxa"/>
            <w:vAlign w:val="bottom"/>
            <w:gridSpan w:val="2"/>
          </w:tcPr>
          <w:p>
            <w:pPr>
              <w:jc w:val="right"/>
              <w:ind w:right="253"/>
              <w:spacing w:after="0"/>
              <w:rPr>
                <w:sz w:val="20"/>
                <w:szCs w:val="20"/>
                <w:color w:val="auto"/>
              </w:rPr>
            </w:pPr>
            <w:r>
              <w:rPr>
                <w:rFonts w:ascii="Courier New" w:cs="Courier New" w:eastAsia="Courier New" w:hAnsi="Courier New"/>
                <w:sz w:val="13"/>
                <w:szCs w:val="13"/>
                <w:b w:val="1"/>
                <w:bCs w:val="1"/>
                <w:color w:val="auto"/>
              </w:rPr>
              <w:t>per share</w:t>
            </w:r>
          </w:p>
        </w:tc>
      </w:tr>
      <w:tr>
        <w:trPr>
          <w:trHeight w:val="154"/>
        </w:trPr>
        <w:tc>
          <w:tcPr>
            <w:tcW w:w="2440" w:type="dxa"/>
            <w:vAlign w:val="bottom"/>
          </w:tcPr>
          <w:p>
            <w:pPr>
              <w:spacing w:after="0"/>
              <w:rPr>
                <w:sz w:val="13"/>
                <w:szCs w:val="13"/>
                <w:color w:val="auto"/>
              </w:rPr>
            </w:pPr>
          </w:p>
        </w:tc>
        <w:tc>
          <w:tcPr>
            <w:tcW w:w="1100" w:type="dxa"/>
            <w:vAlign w:val="bottom"/>
          </w:tcPr>
          <w:p>
            <w:pPr>
              <w:ind w:left="120"/>
              <w:spacing w:after="0"/>
              <w:rPr>
                <w:sz w:val="20"/>
                <w:szCs w:val="20"/>
                <w:color w:val="auto"/>
              </w:rPr>
            </w:pPr>
            <w:r>
              <w:rPr>
                <w:rFonts w:ascii="Courier New" w:cs="Courier New" w:eastAsia="Courier New" w:hAnsi="Courier New"/>
                <w:sz w:val="13"/>
                <w:szCs w:val="13"/>
                <w:b w:val="1"/>
                <w:bCs w:val="1"/>
                <w:color w:val="auto"/>
              </w:rPr>
              <w:t>-----------</w:t>
            </w:r>
          </w:p>
        </w:tc>
        <w:tc>
          <w:tcPr>
            <w:tcW w:w="1440" w:type="dxa"/>
            <w:vAlign w:val="bottom"/>
            <w:gridSpan w:val="2"/>
          </w:tcPr>
          <w:p>
            <w:pPr>
              <w:ind w:left="80"/>
              <w:spacing w:after="0"/>
              <w:rPr>
                <w:sz w:val="20"/>
                <w:szCs w:val="20"/>
                <w:color w:val="auto"/>
              </w:rPr>
            </w:pPr>
            <w:r>
              <w:rPr>
                <w:rFonts w:ascii="Courier New" w:cs="Courier New" w:eastAsia="Courier New" w:hAnsi="Courier New"/>
                <w:sz w:val="13"/>
                <w:szCs w:val="13"/>
                <w:b w:val="1"/>
                <w:bCs w:val="1"/>
                <w:color w:val="auto"/>
              </w:rPr>
              <w:t>---------------</w:t>
            </w:r>
          </w:p>
        </w:tc>
        <w:tc>
          <w:tcPr>
            <w:tcW w:w="1000" w:type="dxa"/>
            <w:vAlign w:val="bottom"/>
            <w:gridSpan w:val="2"/>
          </w:tcPr>
          <w:p>
            <w:pPr>
              <w:spacing w:after="0"/>
              <w:rPr>
                <w:sz w:val="20"/>
                <w:szCs w:val="20"/>
                <w:color w:val="auto"/>
              </w:rPr>
            </w:pPr>
            <w:r>
              <w:rPr>
                <w:rFonts w:ascii="Courier New" w:cs="Courier New" w:eastAsia="Courier New" w:hAnsi="Courier New"/>
                <w:sz w:val="13"/>
                <w:szCs w:val="13"/>
                <w:b w:val="1"/>
                <w:bCs w:val="1"/>
                <w:color w:val="auto"/>
              </w:rPr>
              <w:t>-----------</w:t>
            </w:r>
          </w:p>
        </w:tc>
        <w:tc>
          <w:tcPr>
            <w:tcW w:w="1320" w:type="dxa"/>
            <w:vAlign w:val="bottom"/>
            <w:gridSpan w:val="2"/>
          </w:tcPr>
          <w:p>
            <w:pPr>
              <w:ind w:left="40"/>
              <w:spacing w:after="0"/>
              <w:rPr>
                <w:sz w:val="20"/>
                <w:szCs w:val="20"/>
                <w:color w:val="auto"/>
              </w:rPr>
            </w:pPr>
            <w:r>
              <w:rPr>
                <w:rFonts w:ascii="Courier New" w:cs="Courier New" w:eastAsia="Courier New" w:hAnsi="Courier New"/>
                <w:sz w:val="13"/>
                <w:szCs w:val="13"/>
                <w:b w:val="1"/>
                <w:bCs w:val="1"/>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3"/>
                <w:szCs w:val="13"/>
                <w:b w:val="1"/>
                <w:bCs w:val="1"/>
                <w:color w:val="auto"/>
              </w:rPr>
              <w:t>--------------</w:t>
            </w:r>
          </w:p>
        </w:tc>
        <w:tc>
          <w:tcPr>
            <w:tcW w:w="1400" w:type="dxa"/>
            <w:vAlign w:val="bottom"/>
            <w:gridSpan w:val="2"/>
          </w:tcPr>
          <w:p>
            <w:pPr>
              <w:jc w:val="right"/>
              <w:ind w:right="13"/>
              <w:spacing w:after="0"/>
              <w:rPr>
                <w:sz w:val="20"/>
                <w:szCs w:val="20"/>
                <w:color w:val="auto"/>
              </w:rPr>
            </w:pPr>
            <w:r>
              <w:rPr>
                <w:rFonts w:ascii="Courier New" w:cs="Courier New" w:eastAsia="Courier New" w:hAnsi="Courier New"/>
                <w:sz w:val="13"/>
                <w:szCs w:val="13"/>
                <w:b w:val="1"/>
                <w:bCs w:val="1"/>
                <w:color w:val="auto"/>
              </w:rPr>
              <w:t>---------------</w:t>
            </w:r>
          </w:p>
        </w:tc>
      </w:tr>
      <w:tr>
        <w:trPr>
          <w:trHeight w:val="308"/>
        </w:trPr>
        <w:tc>
          <w:tcPr>
            <w:tcW w:w="2440" w:type="dxa"/>
            <w:vAlign w:val="bottom"/>
          </w:tcPr>
          <w:p>
            <w:pPr>
              <w:ind w:left="480"/>
              <w:spacing w:after="0"/>
              <w:rPr>
                <w:sz w:val="20"/>
                <w:szCs w:val="20"/>
                <w:color w:val="auto"/>
              </w:rPr>
            </w:pPr>
            <w:r>
              <w:rPr>
                <w:rFonts w:ascii="Courier New" w:cs="Courier New" w:eastAsia="Courier New" w:hAnsi="Courier New"/>
                <w:sz w:val="13"/>
                <w:szCs w:val="13"/>
                <w:color w:val="auto"/>
              </w:rPr>
              <w:t>Outstanding at beginning</w:t>
            </w: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54"/>
        </w:trPr>
        <w:tc>
          <w:tcPr>
            <w:tcW w:w="2440" w:type="dxa"/>
            <w:vAlign w:val="bottom"/>
          </w:tcPr>
          <w:p>
            <w:pPr>
              <w:ind w:left="800"/>
              <w:spacing w:after="0"/>
              <w:rPr>
                <w:sz w:val="20"/>
                <w:szCs w:val="20"/>
                <w:color w:val="auto"/>
              </w:rPr>
            </w:pPr>
            <w:r>
              <w:rPr>
                <w:rFonts w:ascii="Courier New" w:cs="Courier New" w:eastAsia="Courier New" w:hAnsi="Courier New"/>
                <w:sz w:val="13"/>
                <w:szCs w:val="13"/>
                <w:color w:val="auto"/>
              </w:rPr>
              <w:t>of year</w:t>
            </w:r>
          </w:p>
        </w:tc>
        <w:tc>
          <w:tcPr>
            <w:tcW w:w="1100" w:type="dxa"/>
            <w:vAlign w:val="bottom"/>
          </w:tcPr>
          <w:p>
            <w:pPr>
              <w:jc w:val="right"/>
              <w:ind w:right="176"/>
              <w:spacing w:after="0"/>
              <w:rPr>
                <w:sz w:val="20"/>
                <w:szCs w:val="20"/>
                <w:color w:val="auto"/>
              </w:rPr>
            </w:pPr>
            <w:r>
              <w:rPr>
                <w:rFonts w:ascii="Courier New" w:cs="Courier New" w:eastAsia="Courier New" w:hAnsi="Courier New"/>
                <w:sz w:val="13"/>
                <w:szCs w:val="13"/>
                <w:color w:val="auto"/>
              </w:rPr>
              <w:t>1,373</w:t>
            </w: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960" w:type="dxa"/>
            <w:vAlign w:val="bottom"/>
          </w:tcPr>
          <w:p>
            <w:pPr>
              <w:ind w:left="240"/>
              <w:spacing w:after="0"/>
              <w:rPr>
                <w:sz w:val="20"/>
                <w:szCs w:val="20"/>
                <w:color w:val="auto"/>
              </w:rPr>
            </w:pPr>
            <w:r>
              <w:rPr>
                <w:rFonts w:ascii="Courier New" w:cs="Courier New" w:eastAsia="Courier New" w:hAnsi="Courier New"/>
                <w:sz w:val="13"/>
                <w:szCs w:val="13"/>
                <w:color w:val="auto"/>
              </w:rPr>
              <w:t>7.25</w:t>
            </w:r>
          </w:p>
        </w:tc>
        <w:tc>
          <w:tcPr>
            <w:tcW w:w="320" w:type="dxa"/>
            <w:vAlign w:val="bottom"/>
          </w:tcPr>
          <w:p>
            <w:pPr>
              <w:spacing w:after="0"/>
              <w:rPr>
                <w:sz w:val="13"/>
                <w:szCs w:val="13"/>
                <w:color w:val="auto"/>
              </w:rPr>
            </w:pPr>
          </w:p>
        </w:tc>
        <w:tc>
          <w:tcPr>
            <w:tcW w:w="680" w:type="dxa"/>
            <w:vAlign w:val="bottom"/>
          </w:tcPr>
          <w:p>
            <w:pPr>
              <w:jc w:val="right"/>
              <w:ind w:right="213"/>
              <w:spacing w:after="0"/>
              <w:rPr>
                <w:sz w:val="20"/>
                <w:szCs w:val="20"/>
                <w:color w:val="auto"/>
              </w:rPr>
            </w:pPr>
            <w:r>
              <w:rPr>
                <w:rFonts w:ascii="Courier New" w:cs="Courier New" w:eastAsia="Courier New" w:hAnsi="Courier New"/>
                <w:sz w:val="13"/>
                <w:szCs w:val="13"/>
                <w:color w:val="auto"/>
                <w:w w:val="97"/>
              </w:rPr>
              <w:t>1,091</w:t>
            </w:r>
          </w:p>
        </w:tc>
        <w:tc>
          <w:tcPr>
            <w:tcW w:w="6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jc w:val="right"/>
              <w:ind w:right="253"/>
              <w:spacing w:after="0"/>
              <w:rPr>
                <w:sz w:val="20"/>
                <w:szCs w:val="20"/>
                <w:color w:val="auto"/>
              </w:rPr>
            </w:pPr>
            <w:r>
              <w:rPr>
                <w:rFonts w:ascii="Courier New" w:cs="Courier New" w:eastAsia="Courier New" w:hAnsi="Courier New"/>
                <w:sz w:val="13"/>
                <w:szCs w:val="13"/>
                <w:color w:val="auto"/>
                <w:w w:val="95"/>
              </w:rPr>
              <w:t>6.87</w:t>
            </w:r>
          </w:p>
        </w:tc>
        <w:tc>
          <w:tcPr>
            <w:tcW w:w="1320" w:type="dxa"/>
            <w:vAlign w:val="bottom"/>
            <w:gridSpan w:val="2"/>
          </w:tcPr>
          <w:p>
            <w:pPr>
              <w:jc w:val="right"/>
              <w:ind w:right="53"/>
              <w:spacing w:after="0"/>
              <w:rPr>
                <w:sz w:val="20"/>
                <w:szCs w:val="20"/>
                <w:color w:val="auto"/>
              </w:rPr>
            </w:pPr>
            <w:r>
              <w:rPr>
                <w:rFonts w:ascii="Courier New" w:cs="Courier New" w:eastAsia="Courier New" w:hAnsi="Courier New"/>
                <w:sz w:val="13"/>
                <w:szCs w:val="13"/>
                <w:color w:val="auto"/>
              </w:rPr>
              <w:t>1,049</w:t>
            </w:r>
          </w:p>
        </w:tc>
        <w:tc>
          <w:tcPr>
            <w:tcW w:w="840" w:type="dxa"/>
            <w:vAlign w:val="bottom"/>
          </w:tcPr>
          <w:p>
            <w:pPr>
              <w:spacing w:after="0"/>
              <w:rPr>
                <w:sz w:val="13"/>
                <w:szCs w:val="13"/>
                <w:color w:val="auto"/>
              </w:rPr>
            </w:pPr>
          </w:p>
        </w:tc>
        <w:tc>
          <w:tcPr>
            <w:tcW w:w="560" w:type="dxa"/>
            <w:vAlign w:val="bottom"/>
          </w:tcPr>
          <w:p>
            <w:pPr>
              <w:jc w:val="right"/>
              <w:ind w:right="93"/>
              <w:spacing w:after="0"/>
              <w:rPr>
                <w:sz w:val="20"/>
                <w:szCs w:val="20"/>
                <w:color w:val="auto"/>
              </w:rPr>
            </w:pPr>
            <w:r>
              <w:rPr>
                <w:rFonts w:ascii="Courier New" w:cs="Courier New" w:eastAsia="Courier New" w:hAnsi="Courier New"/>
                <w:sz w:val="13"/>
                <w:szCs w:val="13"/>
                <w:color w:val="auto"/>
                <w:w w:val="97"/>
              </w:rPr>
              <w:t>$8.53</w:t>
            </w:r>
          </w:p>
        </w:tc>
      </w:tr>
      <w:tr>
        <w:trPr>
          <w:trHeight w:val="308"/>
        </w:trPr>
        <w:tc>
          <w:tcPr>
            <w:tcW w:w="2440" w:type="dxa"/>
            <w:vAlign w:val="bottom"/>
          </w:tcPr>
          <w:p>
            <w:pPr>
              <w:ind w:left="480"/>
              <w:spacing w:after="0"/>
              <w:rPr>
                <w:sz w:val="20"/>
                <w:szCs w:val="20"/>
                <w:color w:val="auto"/>
              </w:rPr>
            </w:pPr>
            <w:r>
              <w:rPr>
                <w:rFonts w:ascii="Courier New" w:cs="Courier New" w:eastAsia="Courier New" w:hAnsi="Courier New"/>
                <w:sz w:val="13"/>
                <w:szCs w:val="13"/>
                <w:color w:val="auto"/>
              </w:rPr>
              <w:t>Granted</w:t>
            </w:r>
          </w:p>
        </w:tc>
        <w:tc>
          <w:tcPr>
            <w:tcW w:w="1100" w:type="dxa"/>
            <w:vAlign w:val="bottom"/>
          </w:tcPr>
          <w:p>
            <w:pPr>
              <w:jc w:val="right"/>
              <w:ind w:right="176"/>
              <w:spacing w:after="0"/>
              <w:rPr>
                <w:sz w:val="20"/>
                <w:szCs w:val="20"/>
                <w:color w:val="auto"/>
              </w:rPr>
            </w:pPr>
            <w:r>
              <w:rPr>
                <w:rFonts w:ascii="Courier New" w:cs="Courier New" w:eastAsia="Courier New" w:hAnsi="Courier New"/>
                <w:sz w:val="13"/>
                <w:szCs w:val="13"/>
                <w:color w:val="auto"/>
              </w:rPr>
              <w:t>37</w:t>
            </w:r>
          </w:p>
        </w:tc>
        <w:tc>
          <w:tcPr>
            <w:tcW w:w="480" w:type="dxa"/>
            <w:vAlign w:val="bottom"/>
          </w:tcPr>
          <w:p>
            <w:pPr>
              <w:spacing w:after="0"/>
              <w:rPr>
                <w:sz w:val="24"/>
                <w:szCs w:val="24"/>
                <w:color w:val="auto"/>
              </w:rPr>
            </w:pPr>
          </w:p>
        </w:tc>
        <w:tc>
          <w:tcPr>
            <w:tcW w:w="960" w:type="dxa"/>
            <w:vAlign w:val="bottom"/>
          </w:tcPr>
          <w:p>
            <w:pPr>
              <w:ind w:left="240"/>
              <w:spacing w:after="0"/>
              <w:rPr>
                <w:sz w:val="20"/>
                <w:szCs w:val="20"/>
                <w:color w:val="auto"/>
              </w:rPr>
            </w:pPr>
            <w:r>
              <w:rPr>
                <w:rFonts w:ascii="Courier New" w:cs="Courier New" w:eastAsia="Courier New" w:hAnsi="Courier New"/>
                <w:sz w:val="13"/>
                <w:szCs w:val="13"/>
                <w:color w:val="auto"/>
              </w:rPr>
              <w:t>9.39</w:t>
            </w:r>
          </w:p>
        </w:tc>
        <w:tc>
          <w:tcPr>
            <w:tcW w:w="320" w:type="dxa"/>
            <w:vAlign w:val="bottom"/>
          </w:tcPr>
          <w:p>
            <w:pPr>
              <w:spacing w:after="0"/>
              <w:rPr>
                <w:sz w:val="24"/>
                <w:szCs w:val="24"/>
                <w:color w:val="auto"/>
              </w:rPr>
            </w:pPr>
          </w:p>
        </w:tc>
        <w:tc>
          <w:tcPr>
            <w:tcW w:w="68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396</w:t>
            </w:r>
          </w:p>
        </w:tc>
        <w:tc>
          <w:tcPr>
            <w:tcW w:w="680" w:type="dxa"/>
            <w:vAlign w:val="bottom"/>
          </w:tcPr>
          <w:p>
            <w:pPr>
              <w:spacing w:after="0"/>
              <w:rPr>
                <w:sz w:val="24"/>
                <w:szCs w:val="24"/>
                <w:color w:val="auto"/>
              </w:rPr>
            </w:pPr>
          </w:p>
        </w:tc>
        <w:tc>
          <w:tcPr>
            <w:tcW w:w="640" w:type="dxa"/>
            <w:vAlign w:val="bottom"/>
          </w:tcPr>
          <w:p>
            <w:pPr>
              <w:jc w:val="right"/>
              <w:ind w:right="253"/>
              <w:spacing w:after="0"/>
              <w:rPr>
                <w:sz w:val="20"/>
                <w:szCs w:val="20"/>
                <w:color w:val="auto"/>
              </w:rPr>
            </w:pPr>
            <w:r>
              <w:rPr>
                <w:rFonts w:ascii="Courier New" w:cs="Courier New" w:eastAsia="Courier New" w:hAnsi="Courier New"/>
                <w:sz w:val="13"/>
                <w:szCs w:val="13"/>
                <w:color w:val="auto"/>
                <w:w w:val="95"/>
              </w:rPr>
              <w:t>8.09</w:t>
            </w:r>
          </w:p>
        </w:tc>
        <w:tc>
          <w:tcPr>
            <w:tcW w:w="960" w:type="dxa"/>
            <w:vAlign w:val="bottom"/>
          </w:tcPr>
          <w:p>
            <w:pPr>
              <w:spacing w:after="0"/>
              <w:rPr>
                <w:sz w:val="24"/>
                <w:szCs w:val="24"/>
                <w:color w:val="auto"/>
              </w:rPr>
            </w:pPr>
          </w:p>
        </w:tc>
        <w:tc>
          <w:tcPr>
            <w:tcW w:w="360" w:type="dxa"/>
            <w:vAlign w:val="bottom"/>
          </w:tcPr>
          <w:p>
            <w:pPr>
              <w:jc w:val="right"/>
              <w:ind w:right="53"/>
              <w:spacing w:after="0"/>
              <w:rPr>
                <w:sz w:val="20"/>
                <w:szCs w:val="20"/>
                <w:color w:val="auto"/>
              </w:rPr>
            </w:pPr>
            <w:r>
              <w:rPr>
                <w:rFonts w:ascii="Courier New" w:cs="Courier New" w:eastAsia="Courier New" w:hAnsi="Courier New"/>
                <w:sz w:val="13"/>
                <w:szCs w:val="13"/>
                <w:color w:val="auto"/>
                <w:w w:val="93"/>
              </w:rPr>
              <w:t>555</w:t>
            </w:r>
          </w:p>
        </w:tc>
        <w:tc>
          <w:tcPr>
            <w:tcW w:w="840" w:type="dxa"/>
            <w:vAlign w:val="bottom"/>
          </w:tcPr>
          <w:p>
            <w:pPr>
              <w:spacing w:after="0"/>
              <w:rPr>
                <w:sz w:val="24"/>
                <w:szCs w:val="24"/>
                <w:color w:val="auto"/>
              </w:rPr>
            </w:pPr>
          </w:p>
        </w:tc>
        <w:tc>
          <w:tcPr>
            <w:tcW w:w="560" w:type="dxa"/>
            <w:vAlign w:val="bottom"/>
          </w:tcPr>
          <w:p>
            <w:pPr>
              <w:jc w:val="right"/>
              <w:ind w:right="93"/>
              <w:spacing w:after="0"/>
              <w:rPr>
                <w:sz w:val="20"/>
                <w:szCs w:val="20"/>
                <w:color w:val="auto"/>
              </w:rPr>
            </w:pPr>
            <w:r>
              <w:rPr>
                <w:rFonts w:ascii="Courier New" w:cs="Courier New" w:eastAsia="Courier New" w:hAnsi="Courier New"/>
                <w:sz w:val="13"/>
                <w:szCs w:val="13"/>
                <w:color w:val="auto"/>
              </w:rPr>
              <w:t>7.63</w:t>
            </w:r>
          </w:p>
        </w:tc>
      </w:tr>
      <w:tr>
        <w:trPr>
          <w:trHeight w:val="308"/>
        </w:trPr>
        <w:tc>
          <w:tcPr>
            <w:tcW w:w="2440" w:type="dxa"/>
            <w:vAlign w:val="bottom"/>
          </w:tcPr>
          <w:p>
            <w:pPr>
              <w:ind w:left="480"/>
              <w:spacing w:after="0"/>
              <w:rPr>
                <w:sz w:val="20"/>
                <w:szCs w:val="20"/>
                <w:color w:val="auto"/>
              </w:rPr>
            </w:pPr>
            <w:r>
              <w:rPr>
                <w:rFonts w:ascii="Courier New" w:cs="Courier New" w:eastAsia="Courier New" w:hAnsi="Courier New"/>
                <w:sz w:val="13"/>
                <w:szCs w:val="13"/>
                <w:color w:val="auto"/>
              </w:rPr>
              <w:t>Exercised</w:t>
            </w:r>
          </w:p>
        </w:tc>
        <w:tc>
          <w:tcPr>
            <w:tcW w:w="1100" w:type="dxa"/>
            <w:vAlign w:val="bottom"/>
          </w:tcPr>
          <w:p>
            <w:pPr>
              <w:jc w:val="right"/>
              <w:ind w:right="96"/>
              <w:spacing w:after="0"/>
              <w:rPr>
                <w:sz w:val="20"/>
                <w:szCs w:val="20"/>
                <w:color w:val="auto"/>
              </w:rPr>
            </w:pPr>
            <w:r>
              <w:rPr>
                <w:rFonts w:ascii="Courier New" w:cs="Courier New" w:eastAsia="Courier New" w:hAnsi="Courier New"/>
                <w:sz w:val="13"/>
                <w:szCs w:val="13"/>
                <w:color w:val="auto"/>
              </w:rPr>
              <w:t>(53)</w:t>
            </w:r>
          </w:p>
        </w:tc>
        <w:tc>
          <w:tcPr>
            <w:tcW w:w="480" w:type="dxa"/>
            <w:vAlign w:val="bottom"/>
          </w:tcPr>
          <w:p>
            <w:pPr>
              <w:spacing w:after="0"/>
              <w:rPr>
                <w:sz w:val="24"/>
                <w:szCs w:val="24"/>
                <w:color w:val="auto"/>
              </w:rPr>
            </w:pPr>
          </w:p>
        </w:tc>
        <w:tc>
          <w:tcPr>
            <w:tcW w:w="960" w:type="dxa"/>
            <w:vAlign w:val="bottom"/>
          </w:tcPr>
          <w:p>
            <w:pPr>
              <w:ind w:left="240"/>
              <w:spacing w:after="0"/>
              <w:rPr>
                <w:sz w:val="20"/>
                <w:szCs w:val="20"/>
                <w:color w:val="auto"/>
              </w:rPr>
            </w:pPr>
            <w:r>
              <w:rPr>
                <w:rFonts w:ascii="Courier New" w:cs="Courier New" w:eastAsia="Courier New" w:hAnsi="Courier New"/>
                <w:sz w:val="13"/>
                <w:szCs w:val="13"/>
                <w:color w:val="auto"/>
              </w:rPr>
              <w:t>6.61</w:t>
            </w:r>
          </w:p>
        </w:tc>
        <w:tc>
          <w:tcPr>
            <w:tcW w:w="320" w:type="dxa"/>
            <w:vAlign w:val="bottom"/>
          </w:tcPr>
          <w:p>
            <w:pPr>
              <w:spacing w:after="0"/>
              <w:rPr>
                <w:sz w:val="24"/>
                <w:szCs w:val="24"/>
                <w:color w:val="auto"/>
              </w:rPr>
            </w:pPr>
          </w:p>
        </w:tc>
        <w:tc>
          <w:tcPr>
            <w:tcW w:w="68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(70)</w:t>
            </w:r>
          </w:p>
        </w:tc>
        <w:tc>
          <w:tcPr>
            <w:tcW w:w="680" w:type="dxa"/>
            <w:vAlign w:val="bottom"/>
          </w:tcPr>
          <w:p>
            <w:pPr>
              <w:spacing w:after="0"/>
              <w:rPr>
                <w:sz w:val="24"/>
                <w:szCs w:val="24"/>
                <w:color w:val="auto"/>
              </w:rPr>
            </w:pPr>
          </w:p>
        </w:tc>
        <w:tc>
          <w:tcPr>
            <w:tcW w:w="640" w:type="dxa"/>
            <w:vAlign w:val="bottom"/>
          </w:tcPr>
          <w:p>
            <w:pPr>
              <w:jc w:val="right"/>
              <w:ind w:right="253"/>
              <w:spacing w:after="0"/>
              <w:rPr>
                <w:sz w:val="20"/>
                <w:szCs w:val="20"/>
                <w:color w:val="auto"/>
              </w:rPr>
            </w:pPr>
            <w:r>
              <w:rPr>
                <w:rFonts w:ascii="Courier New" w:cs="Courier New" w:eastAsia="Courier New" w:hAnsi="Courier New"/>
                <w:sz w:val="13"/>
                <w:szCs w:val="13"/>
                <w:color w:val="auto"/>
                <w:w w:val="95"/>
              </w:rPr>
              <w:t>6.09</w:t>
            </w:r>
          </w:p>
        </w:tc>
        <w:tc>
          <w:tcPr>
            <w:tcW w:w="960" w:type="dxa"/>
            <w:vAlign w:val="bottom"/>
          </w:tcPr>
          <w:p>
            <w:pPr>
              <w:spacing w:after="0"/>
              <w:rPr>
                <w:sz w:val="24"/>
                <w:szCs w:val="24"/>
                <w:color w:val="auto"/>
              </w:rPr>
            </w:pPr>
          </w:p>
        </w:tc>
        <w:tc>
          <w:tcPr>
            <w:tcW w:w="360" w:type="dxa"/>
            <w:vAlign w:val="bottom"/>
          </w:tcPr>
          <w:p>
            <w:pPr>
              <w:jc w:val="right"/>
              <w:ind w:right="53"/>
              <w:spacing w:after="0"/>
              <w:rPr>
                <w:sz w:val="20"/>
                <w:szCs w:val="20"/>
                <w:color w:val="auto"/>
              </w:rPr>
            </w:pPr>
            <w:r>
              <w:rPr>
                <w:rFonts w:ascii="Courier New" w:cs="Courier New" w:eastAsia="Courier New" w:hAnsi="Courier New"/>
                <w:sz w:val="13"/>
                <w:szCs w:val="13"/>
                <w:color w:val="auto"/>
                <w:w w:val="93"/>
              </w:rPr>
              <w:t>(2)</w:t>
            </w:r>
          </w:p>
        </w:tc>
        <w:tc>
          <w:tcPr>
            <w:tcW w:w="840" w:type="dxa"/>
            <w:vAlign w:val="bottom"/>
          </w:tcPr>
          <w:p>
            <w:pPr>
              <w:spacing w:after="0"/>
              <w:rPr>
                <w:sz w:val="24"/>
                <w:szCs w:val="24"/>
                <w:color w:val="auto"/>
              </w:rPr>
            </w:pPr>
          </w:p>
        </w:tc>
        <w:tc>
          <w:tcPr>
            <w:tcW w:w="560" w:type="dxa"/>
            <w:vAlign w:val="bottom"/>
          </w:tcPr>
          <w:p>
            <w:pPr>
              <w:jc w:val="right"/>
              <w:ind w:right="93"/>
              <w:spacing w:after="0"/>
              <w:rPr>
                <w:sz w:val="20"/>
                <w:szCs w:val="20"/>
                <w:color w:val="auto"/>
              </w:rPr>
            </w:pPr>
            <w:r>
              <w:rPr>
                <w:rFonts w:ascii="Courier New" w:cs="Courier New" w:eastAsia="Courier New" w:hAnsi="Courier New"/>
                <w:sz w:val="13"/>
                <w:szCs w:val="13"/>
                <w:color w:val="auto"/>
              </w:rPr>
              <w:t>5.87</w:t>
            </w:r>
          </w:p>
        </w:tc>
      </w:tr>
      <w:tr>
        <w:trPr>
          <w:trHeight w:val="308"/>
        </w:trPr>
        <w:tc>
          <w:tcPr>
            <w:tcW w:w="2440" w:type="dxa"/>
            <w:vAlign w:val="bottom"/>
          </w:tcPr>
          <w:p>
            <w:pPr>
              <w:ind w:left="480"/>
              <w:spacing w:after="0"/>
              <w:rPr>
                <w:sz w:val="20"/>
                <w:szCs w:val="20"/>
                <w:color w:val="auto"/>
              </w:rPr>
            </w:pPr>
            <w:r>
              <w:rPr>
                <w:rFonts w:ascii="Courier New" w:cs="Courier New" w:eastAsia="Courier New" w:hAnsi="Courier New"/>
                <w:sz w:val="13"/>
                <w:szCs w:val="13"/>
                <w:color w:val="auto"/>
              </w:rPr>
              <w:t>Forfeited</w:t>
            </w:r>
          </w:p>
        </w:tc>
        <w:tc>
          <w:tcPr>
            <w:tcW w:w="1100" w:type="dxa"/>
            <w:vAlign w:val="bottom"/>
          </w:tcPr>
          <w:p>
            <w:pPr>
              <w:jc w:val="right"/>
              <w:ind w:right="96"/>
              <w:spacing w:after="0"/>
              <w:rPr>
                <w:sz w:val="20"/>
                <w:szCs w:val="20"/>
                <w:color w:val="auto"/>
              </w:rPr>
            </w:pPr>
            <w:r>
              <w:rPr>
                <w:rFonts w:ascii="Courier New" w:cs="Courier New" w:eastAsia="Courier New" w:hAnsi="Courier New"/>
                <w:sz w:val="13"/>
                <w:szCs w:val="13"/>
                <w:color w:val="auto"/>
              </w:rPr>
              <w:t>(39)</w:t>
            </w:r>
          </w:p>
        </w:tc>
        <w:tc>
          <w:tcPr>
            <w:tcW w:w="480" w:type="dxa"/>
            <w:vAlign w:val="bottom"/>
          </w:tcPr>
          <w:p>
            <w:pPr>
              <w:spacing w:after="0"/>
              <w:rPr>
                <w:sz w:val="24"/>
                <w:szCs w:val="24"/>
                <w:color w:val="auto"/>
              </w:rPr>
            </w:pPr>
          </w:p>
        </w:tc>
        <w:tc>
          <w:tcPr>
            <w:tcW w:w="960" w:type="dxa"/>
            <w:vAlign w:val="bottom"/>
          </w:tcPr>
          <w:p>
            <w:pPr>
              <w:ind w:left="240"/>
              <w:spacing w:after="0"/>
              <w:rPr>
                <w:sz w:val="20"/>
                <w:szCs w:val="20"/>
                <w:color w:val="auto"/>
              </w:rPr>
            </w:pPr>
            <w:r>
              <w:rPr>
                <w:rFonts w:ascii="Courier New" w:cs="Courier New" w:eastAsia="Courier New" w:hAnsi="Courier New"/>
                <w:sz w:val="13"/>
                <w:szCs w:val="13"/>
                <w:color w:val="auto"/>
              </w:rPr>
              <w:t>7.65</w:t>
            </w:r>
          </w:p>
        </w:tc>
        <w:tc>
          <w:tcPr>
            <w:tcW w:w="320" w:type="dxa"/>
            <w:vAlign w:val="bottom"/>
          </w:tcPr>
          <w:p>
            <w:pPr>
              <w:spacing w:after="0"/>
              <w:rPr>
                <w:sz w:val="24"/>
                <w:szCs w:val="24"/>
                <w:color w:val="auto"/>
              </w:rPr>
            </w:pPr>
          </w:p>
        </w:tc>
        <w:tc>
          <w:tcPr>
            <w:tcW w:w="68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(44)</w:t>
            </w:r>
          </w:p>
        </w:tc>
        <w:tc>
          <w:tcPr>
            <w:tcW w:w="680" w:type="dxa"/>
            <w:vAlign w:val="bottom"/>
          </w:tcPr>
          <w:p>
            <w:pPr>
              <w:spacing w:after="0"/>
              <w:rPr>
                <w:sz w:val="24"/>
                <w:szCs w:val="24"/>
                <w:color w:val="auto"/>
              </w:rPr>
            </w:pPr>
          </w:p>
        </w:tc>
        <w:tc>
          <w:tcPr>
            <w:tcW w:w="640" w:type="dxa"/>
            <w:vAlign w:val="bottom"/>
          </w:tcPr>
          <w:p>
            <w:pPr>
              <w:jc w:val="right"/>
              <w:ind w:right="253"/>
              <w:spacing w:after="0"/>
              <w:rPr>
                <w:sz w:val="20"/>
                <w:szCs w:val="20"/>
                <w:color w:val="auto"/>
              </w:rPr>
            </w:pPr>
            <w:r>
              <w:rPr>
                <w:rFonts w:ascii="Courier New" w:cs="Courier New" w:eastAsia="Courier New" w:hAnsi="Courier New"/>
                <w:sz w:val="13"/>
                <w:szCs w:val="13"/>
                <w:color w:val="auto"/>
                <w:w w:val="95"/>
              </w:rPr>
              <w:t>6.78</w:t>
            </w:r>
          </w:p>
        </w:tc>
        <w:tc>
          <w:tcPr>
            <w:tcW w:w="1320" w:type="dxa"/>
            <w:vAlign w:val="bottom"/>
            <w:gridSpan w:val="2"/>
          </w:tcPr>
          <w:p>
            <w:pPr>
              <w:jc w:val="right"/>
              <w:ind w:right="53"/>
              <w:spacing w:after="0"/>
              <w:rPr>
                <w:sz w:val="20"/>
                <w:szCs w:val="20"/>
                <w:color w:val="auto"/>
              </w:rPr>
            </w:pPr>
            <w:r>
              <w:rPr>
                <w:rFonts w:ascii="Courier New" w:cs="Courier New" w:eastAsia="Courier New" w:hAnsi="Courier New"/>
                <w:sz w:val="13"/>
                <w:szCs w:val="13"/>
                <w:color w:val="auto"/>
              </w:rPr>
              <w:t>(511)</w:t>
            </w:r>
          </w:p>
        </w:tc>
        <w:tc>
          <w:tcPr>
            <w:tcW w:w="840" w:type="dxa"/>
            <w:vAlign w:val="bottom"/>
          </w:tcPr>
          <w:p>
            <w:pPr>
              <w:spacing w:after="0"/>
              <w:rPr>
                <w:sz w:val="24"/>
                <w:szCs w:val="24"/>
                <w:color w:val="auto"/>
              </w:rPr>
            </w:pPr>
          </w:p>
        </w:tc>
        <w:tc>
          <w:tcPr>
            <w:tcW w:w="560" w:type="dxa"/>
            <w:vAlign w:val="bottom"/>
          </w:tcPr>
          <w:p>
            <w:pPr>
              <w:jc w:val="right"/>
              <w:ind w:right="93"/>
              <w:spacing w:after="0"/>
              <w:rPr>
                <w:sz w:val="20"/>
                <w:szCs w:val="20"/>
                <w:color w:val="auto"/>
              </w:rPr>
            </w:pPr>
            <w:r>
              <w:rPr>
                <w:rFonts w:ascii="Courier New" w:cs="Courier New" w:eastAsia="Courier New" w:hAnsi="Courier New"/>
                <w:sz w:val="13"/>
                <w:szCs w:val="13"/>
                <w:color w:val="auto"/>
                <w:w w:val="97"/>
              </w:rPr>
              <w:t>10.95</w:t>
            </w:r>
          </w:p>
        </w:tc>
      </w:tr>
      <w:tr>
        <w:trPr>
          <w:trHeight w:val="154"/>
        </w:trPr>
        <w:tc>
          <w:tcPr>
            <w:tcW w:w="2440" w:type="dxa"/>
            <w:vAlign w:val="bottom"/>
          </w:tcPr>
          <w:p>
            <w:pPr>
              <w:spacing w:after="0"/>
              <w:rPr>
                <w:sz w:val="13"/>
                <w:szCs w:val="13"/>
                <w:color w:val="auto"/>
              </w:rPr>
            </w:pPr>
          </w:p>
        </w:tc>
        <w:tc>
          <w:tcPr>
            <w:tcW w:w="1100" w:type="dxa"/>
            <w:vAlign w:val="bottom"/>
          </w:tcPr>
          <w:p>
            <w:pPr>
              <w:ind w:left="120"/>
              <w:spacing w:after="0"/>
              <w:rPr>
                <w:sz w:val="20"/>
                <w:szCs w:val="20"/>
                <w:color w:val="auto"/>
              </w:rPr>
            </w:pPr>
            <w:r>
              <w:rPr>
                <w:rFonts w:ascii="Courier New" w:cs="Courier New" w:eastAsia="Courier New" w:hAnsi="Courier New"/>
                <w:sz w:val="13"/>
                <w:szCs w:val="13"/>
                <w:color w:val="auto"/>
              </w:rPr>
              <w:t>-----------</w:t>
            </w: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gridSpan w:val="2"/>
          </w:tcPr>
          <w:p>
            <w:pPr>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308"/>
        </w:trPr>
        <w:tc>
          <w:tcPr>
            <w:tcW w:w="2440" w:type="dxa"/>
            <w:vAlign w:val="bottom"/>
          </w:tcPr>
          <w:p>
            <w:pPr>
              <w:ind w:left="480"/>
              <w:spacing w:after="0"/>
              <w:rPr>
                <w:sz w:val="20"/>
                <w:szCs w:val="20"/>
                <w:color w:val="auto"/>
              </w:rPr>
            </w:pPr>
            <w:r>
              <w:rPr>
                <w:rFonts w:ascii="Courier New" w:cs="Courier New" w:eastAsia="Courier New" w:hAnsi="Courier New"/>
                <w:sz w:val="13"/>
                <w:szCs w:val="13"/>
                <w:color w:val="auto"/>
              </w:rPr>
              <w:t>Outstanding at end of</w:t>
            </w: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54"/>
        </w:trPr>
        <w:tc>
          <w:tcPr>
            <w:tcW w:w="2440" w:type="dxa"/>
            <w:vAlign w:val="bottom"/>
          </w:tcPr>
          <w:p>
            <w:pPr>
              <w:ind w:left="800"/>
              <w:spacing w:after="0"/>
              <w:rPr>
                <w:sz w:val="20"/>
                <w:szCs w:val="20"/>
                <w:color w:val="auto"/>
              </w:rPr>
            </w:pPr>
            <w:r>
              <w:rPr>
                <w:rFonts w:ascii="Courier New" w:cs="Courier New" w:eastAsia="Courier New" w:hAnsi="Courier New"/>
                <w:sz w:val="13"/>
                <w:szCs w:val="13"/>
                <w:color w:val="auto"/>
              </w:rPr>
              <w:t>year</w:t>
            </w:r>
          </w:p>
        </w:tc>
        <w:tc>
          <w:tcPr>
            <w:tcW w:w="1100" w:type="dxa"/>
            <w:vAlign w:val="bottom"/>
          </w:tcPr>
          <w:p>
            <w:pPr>
              <w:jc w:val="right"/>
              <w:ind w:right="176"/>
              <w:spacing w:after="0"/>
              <w:rPr>
                <w:sz w:val="20"/>
                <w:szCs w:val="20"/>
                <w:color w:val="auto"/>
              </w:rPr>
            </w:pPr>
            <w:r>
              <w:rPr>
                <w:rFonts w:ascii="Courier New" w:cs="Courier New" w:eastAsia="Courier New" w:hAnsi="Courier New"/>
                <w:sz w:val="13"/>
                <w:szCs w:val="13"/>
                <w:color w:val="auto"/>
              </w:rPr>
              <w:t>1,318</w:t>
            </w:r>
          </w:p>
        </w:tc>
        <w:tc>
          <w:tcPr>
            <w:tcW w:w="480" w:type="dxa"/>
            <w:vAlign w:val="bottom"/>
          </w:tcPr>
          <w:p>
            <w:pPr>
              <w:spacing w:after="0"/>
              <w:rPr>
                <w:sz w:val="13"/>
                <w:szCs w:val="13"/>
                <w:color w:val="auto"/>
              </w:rPr>
            </w:pPr>
          </w:p>
        </w:tc>
        <w:tc>
          <w:tcPr>
            <w:tcW w:w="960" w:type="dxa"/>
            <w:vAlign w:val="bottom"/>
          </w:tcPr>
          <w:p>
            <w:pPr>
              <w:ind w:left="240"/>
              <w:spacing w:after="0"/>
              <w:rPr>
                <w:sz w:val="20"/>
                <w:szCs w:val="20"/>
                <w:color w:val="auto"/>
              </w:rPr>
            </w:pPr>
            <w:r>
              <w:rPr>
                <w:rFonts w:ascii="Courier New" w:cs="Courier New" w:eastAsia="Courier New" w:hAnsi="Courier New"/>
                <w:sz w:val="13"/>
                <w:szCs w:val="13"/>
                <w:color w:val="auto"/>
              </w:rPr>
              <w:t>7.33</w:t>
            </w:r>
          </w:p>
        </w:tc>
        <w:tc>
          <w:tcPr>
            <w:tcW w:w="320" w:type="dxa"/>
            <w:vAlign w:val="bottom"/>
          </w:tcPr>
          <w:p>
            <w:pPr>
              <w:spacing w:after="0"/>
              <w:rPr>
                <w:sz w:val="13"/>
                <w:szCs w:val="13"/>
                <w:color w:val="auto"/>
              </w:rPr>
            </w:pPr>
          </w:p>
        </w:tc>
        <w:tc>
          <w:tcPr>
            <w:tcW w:w="680" w:type="dxa"/>
            <w:vAlign w:val="bottom"/>
          </w:tcPr>
          <w:p>
            <w:pPr>
              <w:jc w:val="right"/>
              <w:ind w:right="213"/>
              <w:spacing w:after="0"/>
              <w:rPr>
                <w:sz w:val="20"/>
                <w:szCs w:val="20"/>
                <w:color w:val="auto"/>
              </w:rPr>
            </w:pPr>
            <w:r>
              <w:rPr>
                <w:rFonts w:ascii="Courier New" w:cs="Courier New" w:eastAsia="Courier New" w:hAnsi="Courier New"/>
                <w:sz w:val="13"/>
                <w:szCs w:val="13"/>
                <w:color w:val="auto"/>
                <w:w w:val="97"/>
              </w:rPr>
              <w:t>1,373</w:t>
            </w:r>
          </w:p>
        </w:tc>
        <w:tc>
          <w:tcPr>
            <w:tcW w:w="680" w:type="dxa"/>
            <w:vAlign w:val="bottom"/>
          </w:tcPr>
          <w:p>
            <w:pPr>
              <w:spacing w:after="0"/>
              <w:rPr>
                <w:sz w:val="13"/>
                <w:szCs w:val="13"/>
                <w:color w:val="auto"/>
              </w:rPr>
            </w:pPr>
          </w:p>
        </w:tc>
        <w:tc>
          <w:tcPr>
            <w:tcW w:w="640" w:type="dxa"/>
            <w:vAlign w:val="bottom"/>
          </w:tcPr>
          <w:p>
            <w:pPr>
              <w:jc w:val="right"/>
              <w:ind w:right="253"/>
              <w:spacing w:after="0"/>
              <w:rPr>
                <w:sz w:val="20"/>
                <w:szCs w:val="20"/>
                <w:color w:val="auto"/>
              </w:rPr>
            </w:pPr>
            <w:r>
              <w:rPr>
                <w:rFonts w:ascii="Courier New" w:cs="Courier New" w:eastAsia="Courier New" w:hAnsi="Courier New"/>
                <w:sz w:val="13"/>
                <w:szCs w:val="13"/>
                <w:color w:val="auto"/>
                <w:w w:val="95"/>
              </w:rPr>
              <w:t>7.25</w:t>
            </w:r>
          </w:p>
        </w:tc>
        <w:tc>
          <w:tcPr>
            <w:tcW w:w="1320" w:type="dxa"/>
            <w:vAlign w:val="bottom"/>
            <w:gridSpan w:val="2"/>
          </w:tcPr>
          <w:p>
            <w:pPr>
              <w:jc w:val="right"/>
              <w:ind w:right="53"/>
              <w:spacing w:after="0"/>
              <w:rPr>
                <w:sz w:val="20"/>
                <w:szCs w:val="20"/>
                <w:color w:val="auto"/>
              </w:rPr>
            </w:pPr>
            <w:r>
              <w:rPr>
                <w:rFonts w:ascii="Courier New" w:cs="Courier New" w:eastAsia="Courier New" w:hAnsi="Courier New"/>
                <w:sz w:val="13"/>
                <w:szCs w:val="13"/>
                <w:color w:val="auto"/>
              </w:rPr>
              <w:t>1,091</w:t>
            </w:r>
          </w:p>
        </w:tc>
        <w:tc>
          <w:tcPr>
            <w:tcW w:w="840" w:type="dxa"/>
            <w:vAlign w:val="bottom"/>
          </w:tcPr>
          <w:p>
            <w:pPr>
              <w:spacing w:after="0"/>
              <w:rPr>
                <w:sz w:val="13"/>
                <w:szCs w:val="13"/>
                <w:color w:val="auto"/>
              </w:rPr>
            </w:pPr>
          </w:p>
        </w:tc>
        <w:tc>
          <w:tcPr>
            <w:tcW w:w="560" w:type="dxa"/>
            <w:vAlign w:val="bottom"/>
          </w:tcPr>
          <w:p>
            <w:pPr>
              <w:jc w:val="right"/>
              <w:ind w:right="93"/>
              <w:spacing w:after="0"/>
              <w:rPr>
                <w:sz w:val="20"/>
                <w:szCs w:val="20"/>
                <w:color w:val="auto"/>
              </w:rPr>
            </w:pPr>
            <w:r>
              <w:rPr>
                <w:rFonts w:ascii="Courier New" w:cs="Courier New" w:eastAsia="Courier New" w:hAnsi="Courier New"/>
                <w:sz w:val="13"/>
                <w:szCs w:val="13"/>
                <w:color w:val="auto"/>
              </w:rPr>
              <w:t>6.87</w:t>
            </w:r>
          </w:p>
        </w:tc>
      </w:tr>
      <w:tr>
        <w:trPr>
          <w:trHeight w:val="154"/>
        </w:trPr>
        <w:tc>
          <w:tcPr>
            <w:tcW w:w="2440" w:type="dxa"/>
            <w:vAlign w:val="bottom"/>
          </w:tcPr>
          <w:p>
            <w:pPr>
              <w:spacing w:after="0"/>
              <w:rPr>
                <w:sz w:val="13"/>
                <w:szCs w:val="13"/>
                <w:color w:val="auto"/>
              </w:rPr>
            </w:pPr>
          </w:p>
        </w:tc>
        <w:tc>
          <w:tcPr>
            <w:tcW w:w="1100" w:type="dxa"/>
            <w:vAlign w:val="bottom"/>
          </w:tcPr>
          <w:p>
            <w:pPr>
              <w:ind w:left="120"/>
              <w:spacing w:after="0"/>
              <w:rPr>
                <w:sz w:val="20"/>
                <w:szCs w:val="20"/>
                <w:color w:val="auto"/>
              </w:rPr>
            </w:pPr>
            <w:r>
              <w:rPr>
                <w:rFonts w:ascii="Courier New" w:cs="Courier New" w:eastAsia="Courier New" w:hAnsi="Courier New"/>
                <w:sz w:val="13"/>
                <w:szCs w:val="13"/>
                <w:color w:val="auto"/>
              </w:rPr>
              <w:t>===========</w:t>
            </w: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gridSpan w:val="2"/>
          </w:tcPr>
          <w:p>
            <w:pPr>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308"/>
        </w:trPr>
        <w:tc>
          <w:tcPr>
            <w:tcW w:w="2440" w:type="dxa"/>
            <w:vAlign w:val="bottom"/>
          </w:tcPr>
          <w:p>
            <w:pPr>
              <w:ind w:left="480"/>
              <w:spacing w:after="0"/>
              <w:rPr>
                <w:sz w:val="20"/>
                <w:szCs w:val="20"/>
                <w:color w:val="auto"/>
              </w:rPr>
            </w:pPr>
            <w:r>
              <w:rPr>
                <w:rFonts w:ascii="Courier New" w:cs="Courier New" w:eastAsia="Courier New" w:hAnsi="Courier New"/>
                <w:sz w:val="13"/>
                <w:szCs w:val="13"/>
                <w:color w:val="auto"/>
              </w:rPr>
              <w:t>Options exercisable at</w:t>
            </w: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54"/>
        </w:trPr>
        <w:tc>
          <w:tcPr>
            <w:tcW w:w="2440" w:type="dxa"/>
            <w:vAlign w:val="bottom"/>
          </w:tcPr>
          <w:p>
            <w:pPr>
              <w:ind w:left="720"/>
              <w:spacing w:after="0"/>
              <w:rPr>
                <w:sz w:val="20"/>
                <w:szCs w:val="20"/>
                <w:color w:val="auto"/>
              </w:rPr>
            </w:pPr>
            <w:r>
              <w:rPr>
                <w:rFonts w:ascii="Courier New" w:cs="Courier New" w:eastAsia="Courier New" w:hAnsi="Courier New"/>
                <w:sz w:val="13"/>
                <w:szCs w:val="13"/>
                <w:color w:val="auto"/>
              </w:rPr>
              <w:t>year-end</w:t>
            </w:r>
          </w:p>
        </w:tc>
        <w:tc>
          <w:tcPr>
            <w:tcW w:w="1100" w:type="dxa"/>
            <w:vAlign w:val="bottom"/>
          </w:tcPr>
          <w:p>
            <w:pPr>
              <w:jc w:val="right"/>
              <w:ind w:right="176"/>
              <w:spacing w:after="0"/>
              <w:rPr>
                <w:sz w:val="20"/>
                <w:szCs w:val="20"/>
                <w:color w:val="auto"/>
              </w:rPr>
            </w:pPr>
            <w:r>
              <w:rPr>
                <w:rFonts w:ascii="Courier New" w:cs="Courier New" w:eastAsia="Courier New" w:hAnsi="Courier New"/>
                <w:sz w:val="13"/>
                <w:szCs w:val="13"/>
                <w:color w:val="auto"/>
              </w:rPr>
              <w:t>887</w:t>
            </w: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960" w:type="dxa"/>
            <w:vAlign w:val="bottom"/>
          </w:tcPr>
          <w:p>
            <w:pPr>
              <w:ind w:left="240"/>
              <w:spacing w:after="0"/>
              <w:rPr>
                <w:sz w:val="20"/>
                <w:szCs w:val="20"/>
                <w:color w:val="auto"/>
              </w:rPr>
            </w:pPr>
            <w:r>
              <w:rPr>
                <w:rFonts w:ascii="Courier New" w:cs="Courier New" w:eastAsia="Courier New" w:hAnsi="Courier New"/>
                <w:sz w:val="13"/>
                <w:szCs w:val="13"/>
                <w:color w:val="auto"/>
              </w:rPr>
              <w:t>7.01</w:t>
            </w:r>
          </w:p>
        </w:tc>
        <w:tc>
          <w:tcPr>
            <w:tcW w:w="320" w:type="dxa"/>
            <w:vAlign w:val="bottom"/>
          </w:tcPr>
          <w:p>
            <w:pPr>
              <w:spacing w:after="0"/>
              <w:rPr>
                <w:sz w:val="13"/>
                <w:szCs w:val="13"/>
                <w:color w:val="auto"/>
              </w:rPr>
            </w:pPr>
          </w:p>
        </w:tc>
        <w:tc>
          <w:tcPr>
            <w:tcW w:w="68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528</w:t>
            </w:r>
          </w:p>
        </w:tc>
        <w:tc>
          <w:tcPr>
            <w:tcW w:w="6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jc w:val="right"/>
              <w:ind w:right="253"/>
              <w:spacing w:after="0"/>
              <w:rPr>
                <w:sz w:val="20"/>
                <w:szCs w:val="20"/>
                <w:color w:val="auto"/>
              </w:rPr>
            </w:pPr>
            <w:r>
              <w:rPr>
                <w:rFonts w:ascii="Courier New" w:cs="Courier New" w:eastAsia="Courier New" w:hAnsi="Courier New"/>
                <w:sz w:val="13"/>
                <w:szCs w:val="13"/>
                <w:color w:val="auto"/>
                <w:w w:val="95"/>
              </w:rPr>
              <w:t>6.59</w:t>
            </w:r>
          </w:p>
        </w:tc>
        <w:tc>
          <w:tcPr>
            <w:tcW w:w="960" w:type="dxa"/>
            <w:vAlign w:val="bottom"/>
          </w:tcPr>
          <w:p>
            <w:pPr>
              <w:spacing w:after="0"/>
              <w:rPr>
                <w:sz w:val="13"/>
                <w:szCs w:val="13"/>
                <w:color w:val="auto"/>
              </w:rPr>
            </w:pPr>
          </w:p>
        </w:tc>
        <w:tc>
          <w:tcPr>
            <w:tcW w:w="360" w:type="dxa"/>
            <w:vAlign w:val="bottom"/>
          </w:tcPr>
          <w:p>
            <w:pPr>
              <w:jc w:val="right"/>
              <w:ind w:right="53"/>
              <w:spacing w:after="0"/>
              <w:rPr>
                <w:sz w:val="20"/>
                <w:szCs w:val="20"/>
                <w:color w:val="auto"/>
              </w:rPr>
            </w:pPr>
            <w:r>
              <w:rPr>
                <w:rFonts w:ascii="Courier New" w:cs="Courier New" w:eastAsia="Courier New" w:hAnsi="Courier New"/>
                <w:sz w:val="13"/>
                <w:szCs w:val="13"/>
                <w:color w:val="auto"/>
                <w:w w:val="93"/>
              </w:rPr>
              <w:t>290</w:t>
            </w:r>
          </w:p>
        </w:tc>
        <w:tc>
          <w:tcPr>
            <w:tcW w:w="840" w:type="dxa"/>
            <w:vAlign w:val="bottom"/>
          </w:tcPr>
          <w:p>
            <w:pPr>
              <w:spacing w:after="0"/>
              <w:rPr>
                <w:sz w:val="13"/>
                <w:szCs w:val="13"/>
                <w:color w:val="auto"/>
              </w:rPr>
            </w:pPr>
          </w:p>
        </w:tc>
        <w:tc>
          <w:tcPr>
            <w:tcW w:w="560" w:type="dxa"/>
            <w:vAlign w:val="bottom"/>
          </w:tcPr>
          <w:p>
            <w:pPr>
              <w:jc w:val="right"/>
              <w:ind w:right="93"/>
              <w:spacing w:after="0"/>
              <w:rPr>
                <w:sz w:val="20"/>
                <w:szCs w:val="20"/>
                <w:color w:val="auto"/>
              </w:rPr>
            </w:pPr>
            <w:r>
              <w:rPr>
                <w:rFonts w:ascii="Courier New" w:cs="Courier New" w:eastAsia="Courier New" w:hAnsi="Courier New"/>
                <w:sz w:val="13"/>
                <w:szCs w:val="13"/>
                <w:color w:val="auto"/>
                <w:w w:val="97"/>
              </w:rPr>
              <w:t>$6.09</w:t>
            </w:r>
          </w:p>
        </w:tc>
      </w:tr>
      <w:tr>
        <w:trPr>
          <w:trHeight w:val="308"/>
        </w:trPr>
        <w:tc>
          <w:tcPr>
            <w:tcW w:w="5980" w:type="dxa"/>
            <w:vAlign w:val="bottom"/>
            <w:gridSpan w:val="6"/>
          </w:tcPr>
          <w:p>
            <w:pPr>
              <w:ind w:left="560"/>
              <w:spacing w:after="0"/>
              <w:rPr>
                <w:sz w:val="20"/>
                <w:szCs w:val="20"/>
                <w:color w:val="auto"/>
              </w:rPr>
            </w:pPr>
            <w:r>
              <w:rPr>
                <w:rFonts w:ascii="Courier New" w:cs="Courier New" w:eastAsia="Courier New" w:hAnsi="Courier New"/>
                <w:sz w:val="13"/>
                <w:szCs w:val="13"/>
                <w:color w:val="auto"/>
              </w:rPr>
              <w:t>The following table summarizes information about stock options</w:t>
            </w: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54"/>
        </w:trPr>
        <w:tc>
          <w:tcPr>
            <w:tcW w:w="3540" w:type="dxa"/>
            <w:vAlign w:val="bottom"/>
            <w:gridSpan w:val="2"/>
          </w:tcPr>
          <w:p>
            <w:pPr>
              <w:spacing w:after="0"/>
              <w:rPr>
                <w:sz w:val="20"/>
                <w:szCs w:val="20"/>
                <w:color w:val="auto"/>
              </w:rPr>
            </w:pPr>
            <w:r>
              <w:rPr>
                <w:rFonts w:ascii="Courier New" w:cs="Courier New" w:eastAsia="Courier New" w:hAnsi="Courier New"/>
                <w:sz w:val="13"/>
                <w:szCs w:val="13"/>
                <w:color w:val="auto"/>
              </w:rPr>
              <w:t>outstanding at December 31, 2002:</w:t>
            </w: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308"/>
        </w:trPr>
        <w:tc>
          <w:tcPr>
            <w:tcW w:w="2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40" w:type="dxa"/>
            <w:vAlign w:val="bottom"/>
            <w:gridSpan w:val="4"/>
          </w:tcPr>
          <w:p>
            <w:pPr>
              <w:jc w:val="center"/>
              <w:ind w:right="213"/>
              <w:spacing w:after="0"/>
              <w:rPr>
                <w:sz w:val="20"/>
                <w:szCs w:val="20"/>
                <w:color w:val="auto"/>
              </w:rPr>
            </w:pPr>
            <w:r>
              <w:rPr>
                <w:rFonts w:ascii="Courier New" w:cs="Courier New" w:eastAsia="Courier New" w:hAnsi="Courier New"/>
                <w:sz w:val="13"/>
                <w:szCs w:val="13"/>
                <w:b w:val="1"/>
                <w:bCs w:val="1"/>
                <w:color w:val="auto"/>
              </w:rPr>
              <w:t>Options outstanding</w:t>
            </w: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60" w:type="dxa"/>
            <w:vAlign w:val="bottom"/>
            <w:gridSpan w:val="3"/>
          </w:tcPr>
          <w:p>
            <w:pPr>
              <w:jc w:val="right"/>
              <w:ind w:right="253"/>
              <w:spacing w:after="0"/>
              <w:rPr>
                <w:sz w:val="20"/>
                <w:szCs w:val="20"/>
                <w:color w:val="auto"/>
              </w:rPr>
            </w:pPr>
            <w:r>
              <w:rPr>
                <w:rFonts w:ascii="Courier New" w:cs="Courier New" w:eastAsia="Courier New" w:hAnsi="Courier New"/>
                <w:sz w:val="13"/>
                <w:szCs w:val="13"/>
                <w:b w:val="1"/>
                <w:bCs w:val="1"/>
                <w:color w:val="auto"/>
              </w:rPr>
              <w:t>Options exercisable</w:t>
            </w:r>
          </w:p>
        </w:tc>
        <w:tc>
          <w:tcPr>
            <w:tcW w:w="560" w:type="dxa"/>
            <w:vAlign w:val="bottom"/>
          </w:tcPr>
          <w:p>
            <w:pPr>
              <w:spacing w:after="0"/>
              <w:rPr>
                <w:sz w:val="24"/>
                <w:szCs w:val="24"/>
                <w:color w:val="auto"/>
              </w:rPr>
            </w:pPr>
          </w:p>
        </w:tc>
      </w:tr>
      <w:tr>
        <w:trPr>
          <w:trHeight w:val="154"/>
        </w:trPr>
        <w:tc>
          <w:tcPr>
            <w:tcW w:w="2440" w:type="dxa"/>
            <w:vAlign w:val="bottom"/>
          </w:tcPr>
          <w:p>
            <w:pPr>
              <w:spacing w:after="0"/>
              <w:rPr>
                <w:sz w:val="13"/>
                <w:szCs w:val="13"/>
                <w:color w:val="auto"/>
              </w:rPr>
            </w:pPr>
          </w:p>
        </w:tc>
        <w:tc>
          <w:tcPr>
            <w:tcW w:w="1580" w:type="dxa"/>
            <w:vAlign w:val="bottom"/>
            <w:gridSpan w:val="2"/>
          </w:tcPr>
          <w:p>
            <w:pPr>
              <w:ind w:left="120"/>
              <w:spacing w:after="0"/>
              <w:rPr>
                <w:sz w:val="20"/>
                <w:szCs w:val="20"/>
                <w:color w:val="auto"/>
              </w:rPr>
            </w:pPr>
            <w:r>
              <w:rPr>
                <w:rFonts w:ascii="Courier New" w:cs="Courier New" w:eastAsia="Courier New" w:hAnsi="Courier New"/>
                <w:sz w:val="6"/>
                <w:szCs w:val="6"/>
                <w:b w:val="1"/>
                <w:bCs w:val="1"/>
                <w:color w:val="auto"/>
                <w:w w:val="74"/>
              </w:rPr>
              <w:t>------------------------------------------------------</w:t>
            </w: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360" w:type="dxa"/>
            <w:vAlign w:val="bottom"/>
            <w:gridSpan w:val="5"/>
          </w:tcPr>
          <w:p>
            <w:pPr>
              <w:jc w:val="right"/>
              <w:ind w:right="13"/>
              <w:spacing w:after="0"/>
              <w:rPr>
                <w:sz w:val="20"/>
                <w:szCs w:val="20"/>
                <w:color w:val="auto"/>
              </w:rPr>
            </w:pPr>
            <w:r>
              <w:rPr>
                <w:rFonts w:ascii="Courier New" w:cs="Courier New" w:eastAsia="Courier New" w:hAnsi="Courier New"/>
                <w:sz w:val="13"/>
                <w:szCs w:val="13"/>
                <w:b w:val="1"/>
                <w:bCs w:val="1"/>
                <w:color w:val="auto"/>
              </w:rPr>
              <w:t>-----------------------------------</w:t>
            </w:r>
          </w:p>
        </w:tc>
      </w:tr>
      <w:tr>
        <w:trPr>
          <w:trHeight w:val="154"/>
        </w:trPr>
        <w:tc>
          <w:tcPr>
            <w:tcW w:w="24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ind w:left="240"/>
              <w:spacing w:after="0"/>
              <w:rPr>
                <w:sz w:val="20"/>
                <w:szCs w:val="20"/>
                <w:color w:val="auto"/>
              </w:rPr>
            </w:pPr>
            <w:r>
              <w:rPr>
                <w:rFonts w:ascii="Courier New" w:cs="Courier New" w:eastAsia="Courier New" w:hAnsi="Courier New"/>
                <w:sz w:val="13"/>
                <w:szCs w:val="13"/>
                <w:b w:val="1"/>
                <w:bCs w:val="1"/>
                <w:color w:val="auto"/>
                <w:w w:val="99"/>
              </w:rPr>
              <w:t>Weighted-</w:t>
            </w: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4"/>
        </w:trPr>
        <w:tc>
          <w:tcPr>
            <w:tcW w:w="24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jc w:val="center"/>
              <w:ind w:left="173"/>
              <w:spacing w:after="0"/>
              <w:rPr>
                <w:sz w:val="20"/>
                <w:szCs w:val="20"/>
                <w:color w:val="auto"/>
              </w:rPr>
            </w:pPr>
            <w:r>
              <w:rPr>
                <w:rFonts w:ascii="Courier New" w:cs="Courier New" w:eastAsia="Courier New" w:hAnsi="Courier New"/>
                <w:sz w:val="13"/>
                <w:szCs w:val="13"/>
                <w:b w:val="1"/>
                <w:bCs w:val="1"/>
                <w:color w:val="auto"/>
              </w:rPr>
              <w:t>average</w:t>
            </w:r>
          </w:p>
        </w:tc>
        <w:tc>
          <w:tcPr>
            <w:tcW w:w="320" w:type="dxa"/>
            <w:vAlign w:val="bottom"/>
          </w:tcPr>
          <w:p>
            <w:pPr>
              <w:spacing w:after="0"/>
              <w:rPr>
                <w:sz w:val="13"/>
                <w:szCs w:val="13"/>
                <w:color w:val="auto"/>
              </w:rPr>
            </w:pPr>
          </w:p>
        </w:tc>
        <w:tc>
          <w:tcPr>
            <w:tcW w:w="1360" w:type="dxa"/>
            <w:vAlign w:val="bottom"/>
            <w:gridSpan w:val="2"/>
          </w:tcPr>
          <w:p>
            <w:pPr>
              <w:jc w:val="right"/>
              <w:ind w:right="253"/>
              <w:spacing w:after="0"/>
              <w:rPr>
                <w:sz w:val="20"/>
                <w:szCs w:val="20"/>
                <w:color w:val="auto"/>
              </w:rPr>
            </w:pPr>
            <w:r>
              <w:rPr>
                <w:rFonts w:ascii="Courier New" w:cs="Courier New" w:eastAsia="Courier New" w:hAnsi="Courier New"/>
                <w:sz w:val="13"/>
                <w:szCs w:val="13"/>
                <w:b w:val="1"/>
                <w:bCs w:val="1"/>
                <w:color w:val="auto"/>
              </w:rPr>
              <w:t>Weighted</w:t>
            </w: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3"/>
                <w:szCs w:val="13"/>
                <w:b w:val="1"/>
                <w:bCs w:val="1"/>
                <w:color w:val="auto"/>
              </w:rPr>
              <w:t>Weighted-</w:t>
            </w:r>
          </w:p>
        </w:tc>
        <w:tc>
          <w:tcPr>
            <w:tcW w:w="560" w:type="dxa"/>
            <w:vAlign w:val="bottom"/>
          </w:tcPr>
          <w:p>
            <w:pPr>
              <w:spacing w:after="0"/>
              <w:rPr>
                <w:sz w:val="13"/>
                <w:szCs w:val="13"/>
                <w:color w:val="auto"/>
              </w:rPr>
            </w:pPr>
          </w:p>
        </w:tc>
      </w:tr>
      <w:tr>
        <w:trPr>
          <w:trHeight w:val="154"/>
        </w:trPr>
        <w:tc>
          <w:tcPr>
            <w:tcW w:w="2440" w:type="dxa"/>
            <w:vAlign w:val="bottom"/>
          </w:tcPr>
          <w:p>
            <w:pPr>
              <w:spacing w:after="0"/>
              <w:rPr>
                <w:sz w:val="13"/>
                <w:szCs w:val="13"/>
                <w:color w:val="auto"/>
              </w:rPr>
            </w:pPr>
          </w:p>
        </w:tc>
        <w:tc>
          <w:tcPr>
            <w:tcW w:w="1100" w:type="dxa"/>
            <w:vAlign w:val="bottom"/>
          </w:tcPr>
          <w:p>
            <w:pPr>
              <w:jc w:val="center"/>
              <w:ind w:left="216"/>
              <w:spacing w:after="0"/>
              <w:rPr>
                <w:sz w:val="20"/>
                <w:szCs w:val="20"/>
                <w:color w:val="auto"/>
              </w:rPr>
            </w:pPr>
            <w:r>
              <w:rPr>
                <w:rFonts w:ascii="Courier New" w:cs="Courier New" w:eastAsia="Courier New" w:hAnsi="Courier New"/>
                <w:sz w:val="13"/>
                <w:szCs w:val="13"/>
                <w:b w:val="1"/>
                <w:bCs w:val="1"/>
                <w:color w:val="auto"/>
              </w:rPr>
              <w:t>Number</w:t>
            </w:r>
          </w:p>
        </w:tc>
        <w:tc>
          <w:tcPr>
            <w:tcW w:w="480" w:type="dxa"/>
            <w:vAlign w:val="bottom"/>
          </w:tcPr>
          <w:p>
            <w:pPr>
              <w:spacing w:after="0"/>
              <w:rPr>
                <w:sz w:val="13"/>
                <w:szCs w:val="13"/>
                <w:color w:val="auto"/>
              </w:rPr>
            </w:pPr>
          </w:p>
        </w:tc>
        <w:tc>
          <w:tcPr>
            <w:tcW w:w="960" w:type="dxa"/>
            <w:vAlign w:val="bottom"/>
          </w:tcPr>
          <w:p>
            <w:pPr>
              <w:ind w:left="240"/>
              <w:spacing w:after="0"/>
              <w:rPr>
                <w:sz w:val="20"/>
                <w:szCs w:val="20"/>
                <w:color w:val="auto"/>
              </w:rPr>
            </w:pPr>
            <w:r>
              <w:rPr>
                <w:rFonts w:ascii="Courier New" w:cs="Courier New" w:eastAsia="Courier New" w:hAnsi="Courier New"/>
                <w:sz w:val="13"/>
                <w:szCs w:val="13"/>
                <w:b w:val="1"/>
                <w:bCs w:val="1"/>
                <w:color w:val="auto"/>
                <w:w w:val="99"/>
              </w:rPr>
              <w:t>remaining</w:t>
            </w:r>
          </w:p>
        </w:tc>
        <w:tc>
          <w:tcPr>
            <w:tcW w:w="320" w:type="dxa"/>
            <w:vAlign w:val="bottom"/>
          </w:tcPr>
          <w:p>
            <w:pPr>
              <w:spacing w:after="0"/>
              <w:rPr>
                <w:sz w:val="13"/>
                <w:szCs w:val="13"/>
                <w:color w:val="auto"/>
              </w:rPr>
            </w:pPr>
          </w:p>
        </w:tc>
        <w:tc>
          <w:tcPr>
            <w:tcW w:w="1360" w:type="dxa"/>
            <w:vAlign w:val="bottom"/>
            <w:gridSpan w:val="2"/>
          </w:tcPr>
          <w:p>
            <w:pPr>
              <w:jc w:val="right"/>
              <w:ind w:right="253"/>
              <w:spacing w:after="0"/>
              <w:rPr>
                <w:sz w:val="20"/>
                <w:szCs w:val="20"/>
                <w:color w:val="auto"/>
              </w:rPr>
            </w:pPr>
            <w:r>
              <w:rPr>
                <w:rFonts w:ascii="Courier New" w:cs="Courier New" w:eastAsia="Courier New" w:hAnsi="Courier New"/>
                <w:sz w:val="13"/>
                <w:szCs w:val="13"/>
                <w:b w:val="1"/>
                <w:bCs w:val="1"/>
                <w:color w:val="auto"/>
              </w:rPr>
              <w:t>average</w:t>
            </w:r>
          </w:p>
        </w:tc>
        <w:tc>
          <w:tcPr>
            <w:tcW w:w="640" w:type="dxa"/>
            <w:vAlign w:val="bottom"/>
          </w:tcPr>
          <w:p>
            <w:pPr>
              <w:spacing w:after="0"/>
              <w:rPr>
                <w:sz w:val="13"/>
                <w:szCs w:val="13"/>
                <w:color w:val="auto"/>
              </w:rPr>
            </w:pPr>
          </w:p>
        </w:tc>
        <w:tc>
          <w:tcPr>
            <w:tcW w:w="960" w:type="dxa"/>
            <w:vAlign w:val="bottom"/>
          </w:tcPr>
          <w:p>
            <w:pPr>
              <w:jc w:val="right"/>
              <w:ind w:right="413"/>
              <w:spacing w:after="0"/>
              <w:rPr>
                <w:sz w:val="20"/>
                <w:szCs w:val="20"/>
                <w:color w:val="auto"/>
              </w:rPr>
            </w:pPr>
            <w:r>
              <w:rPr>
                <w:rFonts w:ascii="Courier New" w:cs="Courier New" w:eastAsia="Courier New" w:hAnsi="Courier New"/>
                <w:sz w:val="13"/>
                <w:szCs w:val="13"/>
                <w:b w:val="1"/>
                <w:bCs w:val="1"/>
                <w:color w:val="auto"/>
                <w:w w:val="98"/>
              </w:rPr>
              <w:t>Number</w:t>
            </w:r>
          </w:p>
        </w:tc>
        <w:tc>
          <w:tcPr>
            <w:tcW w:w="1760" w:type="dxa"/>
            <w:vAlign w:val="bottom"/>
            <w:gridSpan w:val="3"/>
          </w:tcPr>
          <w:p>
            <w:pPr>
              <w:jc w:val="right"/>
              <w:ind w:right="253"/>
              <w:spacing w:after="0"/>
              <w:rPr>
                <w:sz w:val="20"/>
                <w:szCs w:val="20"/>
                <w:color w:val="auto"/>
              </w:rPr>
            </w:pPr>
            <w:r>
              <w:rPr>
                <w:rFonts w:ascii="Courier New" w:cs="Courier New" w:eastAsia="Courier New" w:hAnsi="Courier New"/>
                <w:sz w:val="13"/>
                <w:szCs w:val="13"/>
                <w:b w:val="1"/>
                <w:bCs w:val="1"/>
                <w:color w:val="auto"/>
              </w:rPr>
              <w:t>average exercise</w:t>
            </w:r>
          </w:p>
        </w:tc>
      </w:tr>
      <w:tr>
        <w:trPr>
          <w:trHeight w:val="154"/>
        </w:trPr>
        <w:tc>
          <w:tcPr>
            <w:tcW w:w="2440" w:type="dxa"/>
            <w:vAlign w:val="bottom"/>
          </w:tcPr>
          <w:p>
            <w:pPr>
              <w:ind w:left="640"/>
              <w:spacing w:after="0"/>
              <w:rPr>
                <w:sz w:val="20"/>
                <w:szCs w:val="20"/>
                <w:color w:val="auto"/>
              </w:rPr>
            </w:pPr>
            <w:r>
              <w:rPr>
                <w:rFonts w:ascii="Courier New" w:cs="Courier New" w:eastAsia="Courier New" w:hAnsi="Courier New"/>
                <w:sz w:val="13"/>
                <w:szCs w:val="13"/>
                <w:b w:val="1"/>
                <w:bCs w:val="1"/>
                <w:color w:val="auto"/>
              </w:rPr>
              <w:t>Range of exercise</w:t>
            </w:r>
          </w:p>
        </w:tc>
        <w:tc>
          <w:tcPr>
            <w:tcW w:w="1580" w:type="dxa"/>
            <w:vAlign w:val="bottom"/>
            <w:gridSpan w:val="2"/>
          </w:tcPr>
          <w:p>
            <w:pPr>
              <w:jc w:val="center"/>
              <w:ind w:right="133"/>
              <w:spacing w:after="0"/>
              <w:rPr>
                <w:sz w:val="20"/>
                <w:szCs w:val="20"/>
                <w:color w:val="auto"/>
              </w:rPr>
            </w:pPr>
            <w:r>
              <w:rPr>
                <w:rFonts w:ascii="Courier New" w:cs="Courier New" w:eastAsia="Courier New" w:hAnsi="Courier New"/>
                <w:sz w:val="13"/>
                <w:szCs w:val="13"/>
                <w:b w:val="1"/>
                <w:bCs w:val="1"/>
                <w:color w:val="auto"/>
              </w:rPr>
              <w:t>outstanding at</w:t>
            </w:r>
          </w:p>
        </w:tc>
        <w:tc>
          <w:tcPr>
            <w:tcW w:w="1280" w:type="dxa"/>
            <w:vAlign w:val="bottom"/>
            <w:gridSpan w:val="2"/>
          </w:tcPr>
          <w:p>
            <w:pPr>
              <w:jc w:val="center"/>
              <w:ind w:right="13"/>
              <w:spacing w:after="0"/>
              <w:rPr>
                <w:sz w:val="20"/>
                <w:szCs w:val="20"/>
                <w:color w:val="auto"/>
              </w:rPr>
            </w:pPr>
            <w:r>
              <w:rPr>
                <w:rFonts w:ascii="Courier New" w:cs="Courier New" w:eastAsia="Courier New" w:hAnsi="Courier New"/>
                <w:sz w:val="13"/>
                <w:szCs w:val="13"/>
                <w:b w:val="1"/>
                <w:bCs w:val="1"/>
                <w:color w:val="auto"/>
              </w:rPr>
              <w:t>contractual</w:t>
            </w:r>
          </w:p>
        </w:tc>
        <w:tc>
          <w:tcPr>
            <w:tcW w:w="1360" w:type="dxa"/>
            <w:vAlign w:val="bottom"/>
            <w:gridSpan w:val="2"/>
          </w:tcPr>
          <w:p>
            <w:pPr>
              <w:jc w:val="right"/>
              <w:spacing w:after="0"/>
              <w:rPr>
                <w:sz w:val="20"/>
                <w:szCs w:val="20"/>
                <w:color w:val="auto"/>
              </w:rPr>
            </w:pPr>
            <w:r>
              <w:rPr>
                <w:rFonts w:ascii="Courier New" w:cs="Courier New" w:eastAsia="Courier New" w:hAnsi="Courier New"/>
                <w:sz w:val="13"/>
                <w:szCs w:val="13"/>
                <w:b w:val="1"/>
                <w:bCs w:val="1"/>
                <w:color w:val="auto"/>
              </w:rPr>
              <w:t>exercise price</w:t>
            </w:r>
          </w:p>
        </w:tc>
        <w:tc>
          <w:tcPr>
            <w:tcW w:w="1600" w:type="dxa"/>
            <w:vAlign w:val="bottom"/>
            <w:gridSpan w:val="2"/>
          </w:tcPr>
          <w:p>
            <w:pPr>
              <w:jc w:val="center"/>
              <w:ind w:left="173"/>
              <w:spacing w:after="0"/>
              <w:rPr>
                <w:sz w:val="20"/>
                <w:szCs w:val="20"/>
                <w:color w:val="auto"/>
              </w:rPr>
            </w:pPr>
            <w:r>
              <w:rPr>
                <w:rFonts w:ascii="Courier New" w:cs="Courier New" w:eastAsia="Courier New" w:hAnsi="Courier New"/>
                <w:sz w:val="13"/>
                <w:szCs w:val="13"/>
                <w:b w:val="1"/>
                <w:bCs w:val="1"/>
                <w:color w:val="auto"/>
              </w:rPr>
              <w:t>exercisable</w:t>
            </w:r>
          </w:p>
        </w:tc>
        <w:tc>
          <w:tcPr>
            <w:tcW w:w="36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b w:val="1"/>
                <w:bCs w:val="1"/>
                <w:color w:val="auto"/>
              </w:rPr>
              <w:t>price</w:t>
            </w:r>
          </w:p>
        </w:tc>
        <w:tc>
          <w:tcPr>
            <w:tcW w:w="560" w:type="dxa"/>
            <w:vAlign w:val="bottom"/>
          </w:tcPr>
          <w:p>
            <w:pPr>
              <w:spacing w:after="0"/>
              <w:rPr>
                <w:sz w:val="13"/>
                <w:szCs w:val="13"/>
                <w:color w:val="auto"/>
              </w:rPr>
            </w:pPr>
          </w:p>
        </w:tc>
      </w:tr>
      <w:tr>
        <w:trPr>
          <w:trHeight w:val="154"/>
        </w:trPr>
        <w:tc>
          <w:tcPr>
            <w:tcW w:w="2440" w:type="dxa"/>
            <w:vAlign w:val="bottom"/>
          </w:tcPr>
          <w:p>
            <w:pPr>
              <w:ind w:left="640"/>
              <w:spacing w:after="0"/>
              <w:rPr>
                <w:sz w:val="20"/>
                <w:szCs w:val="20"/>
                <w:color w:val="auto"/>
              </w:rPr>
            </w:pPr>
            <w:r>
              <w:rPr>
                <w:rFonts w:ascii="Courier New" w:cs="Courier New" w:eastAsia="Courier New" w:hAnsi="Courier New"/>
                <w:sz w:val="13"/>
                <w:szCs w:val="13"/>
                <w:b w:val="1"/>
                <w:bCs w:val="1"/>
                <w:color w:val="auto"/>
              </w:rPr>
              <w:t>prices per share</w:t>
            </w:r>
          </w:p>
        </w:tc>
        <w:tc>
          <w:tcPr>
            <w:tcW w:w="1100" w:type="dxa"/>
            <w:vAlign w:val="bottom"/>
          </w:tcPr>
          <w:p>
            <w:pPr>
              <w:jc w:val="center"/>
              <w:ind w:left="216"/>
              <w:spacing w:after="0"/>
              <w:rPr>
                <w:sz w:val="20"/>
                <w:szCs w:val="20"/>
                <w:color w:val="auto"/>
              </w:rPr>
            </w:pPr>
            <w:r>
              <w:rPr>
                <w:rFonts w:ascii="Courier New" w:cs="Courier New" w:eastAsia="Courier New" w:hAnsi="Courier New"/>
                <w:sz w:val="13"/>
                <w:szCs w:val="13"/>
                <w:b w:val="1"/>
                <w:bCs w:val="1"/>
                <w:color w:val="auto"/>
              </w:rPr>
              <w:t>12/31/2002</w:t>
            </w:r>
          </w:p>
        </w:tc>
        <w:tc>
          <w:tcPr>
            <w:tcW w:w="480" w:type="dxa"/>
            <w:vAlign w:val="bottom"/>
          </w:tcPr>
          <w:p>
            <w:pPr>
              <w:spacing w:after="0"/>
              <w:rPr>
                <w:sz w:val="13"/>
                <w:szCs w:val="13"/>
                <w:color w:val="auto"/>
              </w:rPr>
            </w:pPr>
          </w:p>
        </w:tc>
        <w:tc>
          <w:tcPr>
            <w:tcW w:w="960" w:type="dxa"/>
            <w:vAlign w:val="bottom"/>
          </w:tcPr>
          <w:p>
            <w:pPr>
              <w:ind w:left="400"/>
              <w:spacing w:after="0"/>
              <w:rPr>
                <w:sz w:val="20"/>
                <w:szCs w:val="20"/>
                <w:color w:val="auto"/>
              </w:rPr>
            </w:pPr>
            <w:r>
              <w:rPr>
                <w:rFonts w:ascii="Courier New" w:cs="Courier New" w:eastAsia="Courier New" w:hAnsi="Courier New"/>
                <w:sz w:val="13"/>
                <w:szCs w:val="13"/>
                <w:b w:val="1"/>
                <w:bCs w:val="1"/>
                <w:color w:val="auto"/>
              </w:rPr>
              <w:t>life</w:t>
            </w:r>
          </w:p>
        </w:tc>
        <w:tc>
          <w:tcPr>
            <w:tcW w:w="320" w:type="dxa"/>
            <w:vAlign w:val="bottom"/>
          </w:tcPr>
          <w:p>
            <w:pPr>
              <w:spacing w:after="0"/>
              <w:rPr>
                <w:sz w:val="13"/>
                <w:szCs w:val="13"/>
                <w:color w:val="auto"/>
              </w:rPr>
            </w:pPr>
          </w:p>
        </w:tc>
        <w:tc>
          <w:tcPr>
            <w:tcW w:w="1360" w:type="dxa"/>
            <w:vAlign w:val="bottom"/>
            <w:gridSpan w:val="2"/>
          </w:tcPr>
          <w:p>
            <w:pPr>
              <w:jc w:val="right"/>
              <w:ind w:right="173"/>
              <w:spacing w:after="0"/>
              <w:rPr>
                <w:sz w:val="20"/>
                <w:szCs w:val="20"/>
                <w:color w:val="auto"/>
              </w:rPr>
            </w:pPr>
            <w:r>
              <w:rPr>
                <w:rFonts w:ascii="Courier New" w:cs="Courier New" w:eastAsia="Courier New" w:hAnsi="Courier New"/>
                <w:sz w:val="13"/>
                <w:szCs w:val="13"/>
                <w:b w:val="1"/>
                <w:bCs w:val="1"/>
                <w:color w:val="auto"/>
              </w:rPr>
              <w:t>per share</w:t>
            </w:r>
          </w:p>
        </w:tc>
        <w:tc>
          <w:tcPr>
            <w:tcW w:w="1600" w:type="dxa"/>
            <w:vAlign w:val="bottom"/>
            <w:gridSpan w:val="2"/>
          </w:tcPr>
          <w:p>
            <w:pPr>
              <w:jc w:val="center"/>
              <w:ind w:left="173"/>
              <w:spacing w:after="0"/>
              <w:rPr>
                <w:sz w:val="20"/>
                <w:szCs w:val="20"/>
                <w:color w:val="auto"/>
              </w:rPr>
            </w:pPr>
            <w:r>
              <w:rPr>
                <w:rFonts w:ascii="Courier New" w:cs="Courier New" w:eastAsia="Courier New" w:hAnsi="Courier New"/>
                <w:sz w:val="13"/>
                <w:szCs w:val="13"/>
                <w:b w:val="1"/>
                <w:bCs w:val="1"/>
                <w:color w:val="auto"/>
              </w:rPr>
              <w:t>at 12/31/2002</w:t>
            </w:r>
          </w:p>
        </w:tc>
        <w:tc>
          <w:tcPr>
            <w:tcW w:w="3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per share</w:t>
            </w:r>
          </w:p>
        </w:tc>
        <w:tc>
          <w:tcPr>
            <w:tcW w:w="560" w:type="dxa"/>
            <w:vAlign w:val="bottom"/>
          </w:tcPr>
          <w:p>
            <w:pPr>
              <w:spacing w:after="0"/>
              <w:rPr>
                <w:sz w:val="13"/>
                <w:szCs w:val="13"/>
                <w:color w:val="auto"/>
              </w:rPr>
            </w:pPr>
          </w:p>
        </w:tc>
      </w:tr>
      <w:tr>
        <w:trPr>
          <w:trHeight w:val="154"/>
        </w:trPr>
        <w:tc>
          <w:tcPr>
            <w:tcW w:w="2440" w:type="dxa"/>
            <w:vAlign w:val="bottom"/>
          </w:tcPr>
          <w:p>
            <w:pPr>
              <w:spacing w:after="0"/>
              <w:rPr>
                <w:sz w:val="13"/>
                <w:szCs w:val="13"/>
                <w:color w:val="auto"/>
              </w:rPr>
            </w:pPr>
          </w:p>
        </w:tc>
        <w:tc>
          <w:tcPr>
            <w:tcW w:w="1580" w:type="dxa"/>
            <w:vAlign w:val="bottom"/>
            <w:gridSpan w:val="2"/>
          </w:tcPr>
          <w:p>
            <w:pPr>
              <w:jc w:val="right"/>
              <w:ind w:right="93"/>
              <w:spacing w:after="0"/>
              <w:rPr>
                <w:sz w:val="20"/>
                <w:szCs w:val="20"/>
                <w:color w:val="auto"/>
              </w:rPr>
            </w:pPr>
            <w:r>
              <w:rPr>
                <w:rFonts w:ascii="Courier New" w:cs="Courier New" w:eastAsia="Courier New" w:hAnsi="Courier New"/>
                <w:sz w:val="13"/>
                <w:szCs w:val="13"/>
                <w:b w:val="1"/>
                <w:bCs w:val="1"/>
                <w:color w:val="auto"/>
              </w:rPr>
              <w:t>-----------------</w:t>
            </w:r>
          </w:p>
        </w:tc>
        <w:tc>
          <w:tcPr>
            <w:tcW w:w="1280" w:type="dxa"/>
            <w:vAlign w:val="bottom"/>
            <w:gridSpan w:val="2"/>
          </w:tcPr>
          <w:p>
            <w:pPr>
              <w:spacing w:after="0"/>
              <w:rPr>
                <w:sz w:val="20"/>
                <w:szCs w:val="20"/>
                <w:color w:val="auto"/>
              </w:rPr>
            </w:pPr>
            <w:r>
              <w:rPr>
                <w:rFonts w:ascii="Courier New" w:cs="Courier New" w:eastAsia="Courier New" w:hAnsi="Courier New"/>
                <w:sz w:val="13"/>
                <w:szCs w:val="13"/>
                <w:b w:val="1"/>
                <w:bCs w:val="1"/>
                <w:color w:val="auto"/>
              </w:rPr>
              <w:t>----------------</w:t>
            </w:r>
          </w:p>
        </w:tc>
        <w:tc>
          <w:tcPr>
            <w:tcW w:w="2960" w:type="dxa"/>
            <w:vAlign w:val="bottom"/>
            <w:gridSpan w:val="4"/>
          </w:tcPr>
          <w:p>
            <w:pPr>
              <w:jc w:val="right"/>
              <w:spacing w:after="0"/>
              <w:rPr>
                <w:sz w:val="20"/>
                <w:szCs w:val="20"/>
                <w:color w:val="auto"/>
              </w:rPr>
            </w:pPr>
            <w:r>
              <w:rPr>
                <w:rFonts w:ascii="Courier New" w:cs="Courier New" w:eastAsia="Courier New" w:hAnsi="Courier New"/>
                <w:sz w:val="13"/>
                <w:szCs w:val="13"/>
                <w:b w:val="1"/>
                <w:bCs w:val="1"/>
                <w:color w:val="auto"/>
              </w:rPr>
              <w:t>-----------------   ---------------</w:t>
            </w:r>
          </w:p>
        </w:tc>
        <w:tc>
          <w:tcPr>
            <w:tcW w:w="1760" w:type="dxa"/>
            <w:vAlign w:val="bottom"/>
            <w:gridSpan w:val="3"/>
          </w:tcPr>
          <w:p>
            <w:pPr>
              <w:jc w:val="right"/>
              <w:ind w:right="93"/>
              <w:spacing w:after="0"/>
              <w:rPr>
                <w:sz w:val="20"/>
                <w:szCs w:val="20"/>
                <w:color w:val="auto"/>
              </w:rPr>
            </w:pPr>
            <w:r>
              <w:rPr>
                <w:rFonts w:ascii="Courier New" w:cs="Courier New" w:eastAsia="Courier New" w:hAnsi="Courier New"/>
                <w:sz w:val="13"/>
                <w:szCs w:val="13"/>
                <w:b w:val="1"/>
                <w:bCs w:val="1"/>
                <w:color w:val="auto"/>
              </w:rPr>
              <w:t>------------------</w:t>
            </w:r>
          </w:p>
        </w:tc>
      </w:tr>
      <w:tr>
        <w:trPr>
          <w:trHeight w:val="308"/>
        </w:trPr>
        <w:tc>
          <w:tcPr>
            <w:tcW w:w="2440" w:type="dxa"/>
            <w:vAlign w:val="bottom"/>
          </w:tcPr>
          <w:p>
            <w:pPr>
              <w:ind w:left="480"/>
              <w:spacing w:after="0"/>
              <w:rPr>
                <w:sz w:val="20"/>
                <w:szCs w:val="20"/>
                <w:color w:val="auto"/>
              </w:rPr>
            </w:pPr>
            <w:r>
              <w:rPr>
                <w:rFonts w:ascii="Courier New" w:cs="Courier New" w:eastAsia="Courier New" w:hAnsi="Courier New"/>
                <w:sz w:val="13"/>
                <w:szCs w:val="13"/>
                <w:color w:val="auto"/>
              </w:rPr>
              <w:t>$5.63 - $6.50</w:t>
            </w:r>
          </w:p>
        </w:tc>
        <w:tc>
          <w:tcPr>
            <w:tcW w:w="1100" w:type="dxa"/>
            <w:vAlign w:val="bottom"/>
          </w:tcPr>
          <w:p>
            <w:pPr>
              <w:spacing w:after="0"/>
              <w:rPr>
                <w:sz w:val="24"/>
                <w:szCs w:val="24"/>
                <w:color w:val="auto"/>
              </w:rPr>
            </w:pPr>
          </w:p>
        </w:tc>
        <w:tc>
          <w:tcPr>
            <w:tcW w:w="48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3"/>
              </w:rPr>
              <w:t>382</w:t>
            </w:r>
          </w:p>
        </w:tc>
        <w:tc>
          <w:tcPr>
            <w:tcW w:w="96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6.5 years</w:t>
            </w:r>
          </w:p>
        </w:tc>
        <w:tc>
          <w:tcPr>
            <w:tcW w:w="68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jc w:val="right"/>
              <w:ind w:right="253"/>
              <w:spacing w:after="0"/>
              <w:rPr>
                <w:sz w:val="20"/>
                <w:szCs w:val="20"/>
                <w:color w:val="auto"/>
              </w:rPr>
            </w:pPr>
            <w:r>
              <w:rPr>
                <w:rFonts w:ascii="Courier New" w:cs="Courier New" w:eastAsia="Courier New" w:hAnsi="Courier New"/>
                <w:sz w:val="13"/>
                <w:szCs w:val="13"/>
                <w:color w:val="auto"/>
                <w:w w:val="95"/>
              </w:rPr>
              <w:t>5.98</w:t>
            </w:r>
          </w:p>
        </w:tc>
        <w:tc>
          <w:tcPr>
            <w:tcW w:w="1320" w:type="dxa"/>
            <w:vAlign w:val="bottom"/>
            <w:gridSpan w:val="2"/>
          </w:tcPr>
          <w:p>
            <w:pPr>
              <w:jc w:val="right"/>
              <w:ind w:right="213"/>
              <w:spacing w:after="0"/>
              <w:rPr>
                <w:sz w:val="20"/>
                <w:szCs w:val="20"/>
                <w:color w:val="auto"/>
              </w:rPr>
            </w:pPr>
            <w:r>
              <w:rPr>
                <w:rFonts w:ascii="Courier New" w:cs="Courier New" w:eastAsia="Courier New" w:hAnsi="Courier New"/>
                <w:sz w:val="13"/>
                <w:szCs w:val="13"/>
                <w:color w:val="auto"/>
              </w:rPr>
              <w:t>377</w:t>
            </w:r>
          </w:p>
        </w:tc>
        <w:tc>
          <w:tcPr>
            <w:tcW w:w="8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5.98</w:t>
            </w:r>
          </w:p>
        </w:tc>
      </w:tr>
      <w:tr>
        <w:trPr>
          <w:trHeight w:val="308"/>
        </w:trPr>
        <w:tc>
          <w:tcPr>
            <w:tcW w:w="2440" w:type="dxa"/>
            <w:vAlign w:val="bottom"/>
          </w:tcPr>
          <w:p>
            <w:pPr>
              <w:ind w:left="480"/>
              <w:spacing w:after="0"/>
              <w:rPr>
                <w:sz w:val="20"/>
                <w:szCs w:val="20"/>
                <w:color w:val="auto"/>
              </w:rPr>
            </w:pPr>
            <w:r>
              <w:rPr>
                <w:rFonts w:ascii="Courier New" w:cs="Courier New" w:eastAsia="Courier New" w:hAnsi="Courier New"/>
                <w:sz w:val="13"/>
                <w:szCs w:val="13"/>
                <w:color w:val="auto"/>
              </w:rPr>
              <w:t>$7.63 - $10.26</w:t>
            </w:r>
          </w:p>
        </w:tc>
        <w:tc>
          <w:tcPr>
            <w:tcW w:w="1100" w:type="dxa"/>
            <w:vAlign w:val="bottom"/>
          </w:tcPr>
          <w:p>
            <w:pPr>
              <w:spacing w:after="0"/>
              <w:rPr>
                <w:sz w:val="24"/>
                <w:szCs w:val="24"/>
                <w:color w:val="auto"/>
              </w:rPr>
            </w:pPr>
          </w:p>
        </w:tc>
        <w:tc>
          <w:tcPr>
            <w:tcW w:w="48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3"/>
              </w:rPr>
              <w:t>936</w:t>
            </w:r>
          </w:p>
        </w:tc>
        <w:tc>
          <w:tcPr>
            <w:tcW w:w="96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8.3 years</w:t>
            </w:r>
          </w:p>
        </w:tc>
        <w:tc>
          <w:tcPr>
            <w:tcW w:w="6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jc w:val="right"/>
              <w:ind w:right="253"/>
              <w:spacing w:after="0"/>
              <w:rPr>
                <w:sz w:val="20"/>
                <w:szCs w:val="20"/>
                <w:color w:val="auto"/>
              </w:rPr>
            </w:pPr>
            <w:r>
              <w:rPr>
                <w:rFonts w:ascii="Courier New" w:cs="Courier New" w:eastAsia="Courier New" w:hAnsi="Courier New"/>
                <w:sz w:val="13"/>
                <w:szCs w:val="13"/>
                <w:color w:val="auto"/>
                <w:w w:val="95"/>
              </w:rPr>
              <w:t>7.79</w:t>
            </w:r>
          </w:p>
        </w:tc>
        <w:tc>
          <w:tcPr>
            <w:tcW w:w="1320" w:type="dxa"/>
            <w:vAlign w:val="bottom"/>
            <w:gridSpan w:val="2"/>
          </w:tcPr>
          <w:p>
            <w:pPr>
              <w:jc w:val="right"/>
              <w:ind w:right="213"/>
              <w:spacing w:after="0"/>
              <w:rPr>
                <w:sz w:val="20"/>
                <w:szCs w:val="20"/>
                <w:color w:val="auto"/>
              </w:rPr>
            </w:pPr>
            <w:r>
              <w:rPr>
                <w:rFonts w:ascii="Courier New" w:cs="Courier New" w:eastAsia="Courier New" w:hAnsi="Courier New"/>
                <w:sz w:val="13"/>
                <w:szCs w:val="13"/>
                <w:color w:val="auto"/>
              </w:rPr>
              <w:t>510</w:t>
            </w:r>
          </w:p>
        </w:tc>
        <w:tc>
          <w:tcPr>
            <w:tcW w:w="8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7.79</w:t>
            </w:r>
          </w:p>
        </w:tc>
      </w:tr>
    </w:tbl>
    <w:p>
      <w:pPr>
        <w:spacing w:after="0" w:line="159" w:lineRule="exact"/>
        <w:rPr>
          <w:sz w:val="20"/>
          <w:szCs w:val="20"/>
          <w:color w:val="auto"/>
        </w:rPr>
      </w:pPr>
    </w:p>
    <w:p>
      <w:pPr>
        <w:ind w:left="400" w:right="3819"/>
        <w:spacing w:after="0" w:line="251" w:lineRule="auto"/>
        <w:rPr>
          <w:sz w:val="20"/>
          <w:szCs w:val="20"/>
          <w:color w:val="auto"/>
        </w:rPr>
      </w:pPr>
      <w:r>
        <w:rPr>
          <w:rFonts w:ascii="Courier New" w:cs="Courier New" w:eastAsia="Courier New" w:hAnsi="Courier New"/>
          <w:sz w:val="13"/>
          <w:szCs w:val="13"/>
          <w:color w:val="auto"/>
        </w:rPr>
        <w:t>All options granted in the period January 1, 1999 through December 31, 2002 vest ratably over three years, beginning one year from date of grant. The exercise price of each option equals the market price of the Company's stock on the date of grant, and an option's maximum term is 10 years. All options granted in the period January 1, 1995 through December 31, 1998, vest 20% - 33% annually beginning one year from date of grant. The exercise price of each option equals the market price of the Company's stock on the date of grant, and an option's maximum term is 10 years. Certain options granted in July 1999 were deemed to be repriced options under the applicable accounting</w:t>
      </w:r>
    </w:p>
    <w:p>
      <w:pPr>
        <w:spacing w:after="0" w:line="310" w:lineRule="exact"/>
        <w:rPr>
          <w:sz w:val="20"/>
          <w:szCs w:val="20"/>
          <w:color w:val="auto"/>
        </w:rPr>
      </w:pPr>
    </w:p>
    <w:p>
      <w:pPr>
        <w:ind w:left="5700"/>
        <w:spacing w:after="0"/>
        <w:rPr>
          <w:sz w:val="20"/>
          <w:szCs w:val="20"/>
          <w:color w:val="auto"/>
        </w:rPr>
      </w:pPr>
      <w:r>
        <w:rPr>
          <w:rFonts w:ascii="Courier New" w:cs="Courier New" w:eastAsia="Courier New" w:hAnsi="Courier New"/>
          <w:sz w:val="13"/>
          <w:szCs w:val="13"/>
          <w:color w:val="auto"/>
        </w:rPr>
        <w:t>Continued</w:t>
      </w:r>
    </w:p>
    <w:p>
      <w:pPr>
        <w:spacing w:after="0" w:line="161"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3"/>
          <w:szCs w:val="13"/>
          <w:b w:val="1"/>
          <w:bCs w:val="1"/>
          <w:color w:val="auto"/>
        </w:rPr>
        <w:t>NN, Inc.</w:t>
      </w:r>
    </w:p>
    <w:p>
      <w:pPr>
        <w:spacing w:after="0" w:line="7"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3"/>
          <w:szCs w:val="13"/>
          <w:b w:val="1"/>
          <w:bCs w:val="1"/>
          <w:color w:val="auto"/>
        </w:rPr>
        <w:t>Notes to Consolidated Financial Statements</w:t>
      </w:r>
    </w:p>
    <w:p>
      <w:pPr>
        <w:spacing w:after="0" w:line="7" w:lineRule="exact"/>
        <w:rPr>
          <w:sz w:val="20"/>
          <w:szCs w:val="20"/>
          <w:color w:val="auto"/>
        </w:rPr>
      </w:pPr>
    </w:p>
    <w:p>
      <w:pPr>
        <w:ind w:left="1920"/>
        <w:spacing w:after="0"/>
        <w:rPr>
          <w:sz w:val="20"/>
          <w:szCs w:val="20"/>
          <w:color w:val="auto"/>
        </w:rPr>
      </w:pPr>
      <w:r>
        <w:rPr>
          <w:rFonts w:ascii="Courier New" w:cs="Courier New" w:eastAsia="Courier New" w:hAnsi="Courier New"/>
          <w:sz w:val="13"/>
          <w:szCs w:val="13"/>
          <w:b w:val="1"/>
          <w:bCs w:val="1"/>
          <w:color w:val="auto"/>
        </w:rPr>
        <w:t>December 31, 2002, 2001 and 2000</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3"/>
          <w:szCs w:val="13"/>
          <w:b w:val="1"/>
          <w:bCs w:val="1"/>
          <w:color w:val="auto"/>
        </w:rPr>
        <w:t>(In thousands, except per share data)</w:t>
      </w:r>
    </w:p>
    <w:p>
      <w:pPr>
        <w:spacing w:after="0" w:line="315" w:lineRule="exact"/>
        <w:rPr>
          <w:sz w:val="20"/>
          <w:szCs w:val="20"/>
          <w:color w:val="auto"/>
        </w:rPr>
      </w:pPr>
    </w:p>
    <w:p>
      <w:pPr>
        <w:ind w:left="560" w:right="3739"/>
        <w:spacing w:after="0" w:line="252" w:lineRule="auto"/>
        <w:rPr>
          <w:sz w:val="20"/>
          <w:szCs w:val="20"/>
          <w:color w:val="auto"/>
        </w:rPr>
      </w:pPr>
      <w:r>
        <w:rPr>
          <w:rFonts w:ascii="Courier New" w:cs="Courier New" w:eastAsia="Courier New" w:hAnsi="Courier New"/>
          <w:sz w:val="13"/>
          <w:szCs w:val="13"/>
          <w:color w:val="auto"/>
        </w:rPr>
        <w:t>requirements. These options, which were fully vested as of the effective date of FASB Interpretation No. 44, are treated under variable accounting. Accordingly, compensation expense will be recognized, to the extent the market price of the Company's stock exceeds $10.50. The Company recognized a reduction of compensation expense of $108 during 2002 and an increase to</w:t>
      </w:r>
    </w:p>
    <w:p>
      <w:pPr>
        <w:sectPr>
          <w:pgSz w:w="11900" w:h="16838" w:orient="portrait"/>
          <w:cols w:equalWidth="0" w:num="1">
            <w:col w:w="10239"/>
          </w:cols>
          <w:pgMar w:left="220" w:top="295" w:right="1440" w:bottom="0" w:gutter="0" w:footer="0" w:header="0"/>
        </w:sectPr>
      </w:pPr>
    </w:p>
    <w:bookmarkStart w:id="33" w:name="page34"/>
    <w:bookmarkEnd w:id="33"/>
    <w:p>
      <w:pPr>
        <w:ind w:left="560"/>
        <w:spacing w:after="0"/>
        <w:rPr>
          <w:sz w:val="20"/>
          <w:szCs w:val="20"/>
          <w:color w:val="auto"/>
        </w:rPr>
      </w:pPr>
      <w:r>
        <w:rPr>
          <w:rFonts w:ascii="Courier New" w:cs="Courier New" w:eastAsia="Courier New" w:hAnsi="Courier New"/>
          <w:sz w:val="13"/>
          <w:szCs w:val="13"/>
          <w:color w:val="auto"/>
        </w:rPr>
        <w:t>compensation expense of $108 during 2001 related to these options.</w:t>
      </w:r>
    </w:p>
    <w:p>
      <w:pPr>
        <w:spacing w:after="0" w:line="161" w:lineRule="exact"/>
        <w:rPr>
          <w:sz w:val="20"/>
          <w:szCs w:val="20"/>
          <w:color w:val="auto"/>
        </w:rPr>
      </w:pPr>
    </w:p>
    <w:p>
      <w:pPr>
        <w:ind w:left="560" w:right="3819"/>
        <w:spacing w:after="0" w:line="251" w:lineRule="auto"/>
        <w:rPr>
          <w:sz w:val="20"/>
          <w:szCs w:val="20"/>
          <w:color w:val="auto"/>
        </w:rPr>
      </w:pPr>
      <w:r>
        <w:rPr>
          <w:rFonts w:ascii="Courier New" w:cs="Courier New" w:eastAsia="Courier New" w:hAnsi="Courier New"/>
          <w:sz w:val="13"/>
          <w:szCs w:val="13"/>
          <w:color w:val="auto"/>
        </w:rPr>
        <w:t>On August 4, 1998 the Company's Board of Directors authorized the repurchase of up to 740 shares of its Common Stock, equaling 5% of the company's issued and outstanding shares as of August 4, 1998. The program may be extended or discontinued at any time, and there is no assurance that the Company will purchase any or all of the full amount authorized. The Company has not repurchased any shares under this program through December 31, 2002.</w:t>
      </w:r>
    </w:p>
    <w:p>
      <w:pPr>
        <w:spacing w:after="0" w:line="156" w:lineRule="exact"/>
        <w:rPr>
          <w:sz w:val="20"/>
          <w:szCs w:val="20"/>
          <w:color w:val="auto"/>
        </w:rPr>
      </w:pPr>
    </w:p>
    <w:p>
      <w:pPr>
        <w:ind w:left="560" w:hanging="558"/>
        <w:spacing w:after="0"/>
        <w:tabs>
          <w:tab w:leader="none" w:pos="560" w:val="left"/>
        </w:tabs>
        <w:numPr>
          <w:ilvl w:val="0"/>
          <w:numId w:val="18"/>
        </w:numPr>
        <w:rPr>
          <w:rFonts w:ascii="Courier New" w:cs="Courier New" w:eastAsia="Courier New" w:hAnsi="Courier New"/>
          <w:sz w:val="13"/>
          <w:szCs w:val="13"/>
          <w:b w:val="1"/>
          <w:bCs w:val="1"/>
          <w:color w:val="auto"/>
        </w:rPr>
      </w:pPr>
      <w:r>
        <w:rPr>
          <w:rFonts w:ascii="Courier New" w:cs="Courier New" w:eastAsia="Courier New" w:hAnsi="Courier New"/>
          <w:sz w:val="13"/>
          <w:szCs w:val="13"/>
          <w:b w:val="1"/>
          <w:bCs w:val="1"/>
          <w:color w:val="auto"/>
        </w:rPr>
        <w:t>Segment Information</w:t>
      </w:r>
    </w:p>
    <w:p>
      <w:pPr>
        <w:spacing w:after="0" w:line="161" w:lineRule="exact"/>
        <w:rPr>
          <w:rFonts w:ascii="Courier New" w:cs="Courier New" w:eastAsia="Courier New" w:hAnsi="Courier New"/>
          <w:sz w:val="13"/>
          <w:szCs w:val="13"/>
          <w:b w:val="1"/>
          <w:bCs w:val="1"/>
          <w:color w:val="auto"/>
        </w:rPr>
      </w:pPr>
    </w:p>
    <w:p>
      <w:pPr>
        <w:ind w:left="560" w:right="3819"/>
        <w:spacing w:after="0" w:line="251" w:lineRule="auto"/>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The Company determined its reportable segments under the provisions of SFAS No. 131, "Disclosures about Segments of an Enterprise and Related Information". The Company's reportable segments are based on differences in product lines and geographic locations and are divided among Domestic Ball and Roller, Euroball and Plastics. The Domestic Ball and Roller Segment is comprised of two manufacturing facilities in the eastern United States. The Euroball Segment acquired in July 2000, is comprised of manufacturing facilities located in Kilkenny, Ireland, Eltmann, Germany and Pinerolo, Italy. All of the facilities in the Domestic Ball and Roller and Euroball Segments are engaged in the production of precision balls and rollers used primarily in the bearing industry. The Plastics Segment is comprised of five facilities: two located in Lubbock, Texas, which represents the IMC business acquired in July 1999; two facilities located in Danielson, Connecticut, which represents the Delta business acquired in February 2001, and one facility located in Guadalajara, Mexico, which represents the NN-Arte business. These facilities are engaged in the production of plastic injection molded products for the bearing, automotive, instrumentation and fiber optic markets and precision rubber bearing seals for the bearing, automotive, industrial, agricultural and aerospace markets.</w:t>
      </w:r>
    </w:p>
    <w:p>
      <w:pPr>
        <w:spacing w:after="0" w:line="312" w:lineRule="exact"/>
        <w:rPr>
          <w:sz w:val="20"/>
          <w:szCs w:val="20"/>
          <w:color w:val="auto"/>
        </w:rPr>
      </w:pPr>
    </w:p>
    <w:p>
      <w:pPr>
        <w:ind w:left="560" w:right="3899"/>
        <w:spacing w:after="0" w:line="251" w:lineRule="auto"/>
        <w:rPr>
          <w:sz w:val="20"/>
          <w:szCs w:val="20"/>
          <w:color w:val="auto"/>
        </w:rPr>
      </w:pPr>
      <w:r>
        <w:rPr>
          <w:rFonts w:ascii="Courier New" w:cs="Courier New" w:eastAsia="Courier New" w:hAnsi="Courier New"/>
          <w:sz w:val="13"/>
          <w:szCs w:val="13"/>
          <w:color w:val="auto"/>
        </w:rPr>
        <w:t>The accounting policies of the segments are the same as those described in the summary of significant accounting policies. The Company evaluates segment performance based on profit or loss from operations after income taxes not including nonrecurring gains and losses. The Company accounts for intersegment sales and transfers at current market prices; however, the Company did not have any material intersegment transactions during 2002, 2001 or 2000.</w:t>
      </w:r>
    </w:p>
    <w:p>
      <w:pPr>
        <w:spacing w:after="0" w:line="156"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1320" w:type="dxa"/>
            <w:vAlign w:val="bottom"/>
          </w:tcPr>
          <w:p>
            <w:pPr>
              <w:spacing w:after="0"/>
              <w:rPr>
                <w:sz w:val="12"/>
                <w:szCs w:val="12"/>
                <w:color w:val="auto"/>
              </w:rPr>
            </w:pPr>
          </w:p>
        </w:tc>
        <w:tc>
          <w:tcPr>
            <w:tcW w:w="2660" w:type="dxa"/>
            <w:vAlign w:val="bottom"/>
            <w:gridSpan w:val="3"/>
          </w:tcPr>
          <w:p>
            <w:pPr>
              <w:jc w:val="right"/>
              <w:ind w:right="613"/>
              <w:spacing w:after="0"/>
              <w:rPr>
                <w:sz w:val="20"/>
                <w:szCs w:val="20"/>
                <w:color w:val="auto"/>
              </w:rPr>
            </w:pPr>
            <w:r>
              <w:rPr>
                <w:rFonts w:ascii="Courier New" w:cs="Courier New" w:eastAsia="Courier New" w:hAnsi="Courier New"/>
                <w:sz w:val="13"/>
                <w:szCs w:val="13"/>
                <w:color w:val="auto"/>
              </w:rPr>
              <w:t>December 31, 2002</w:t>
            </w:r>
          </w:p>
        </w:tc>
        <w:tc>
          <w:tcPr>
            <w:tcW w:w="2720" w:type="dxa"/>
            <w:vAlign w:val="bottom"/>
            <w:gridSpan w:val="3"/>
          </w:tcPr>
          <w:p>
            <w:pPr>
              <w:jc w:val="right"/>
              <w:ind w:right="613"/>
              <w:spacing w:after="0"/>
              <w:rPr>
                <w:sz w:val="20"/>
                <w:szCs w:val="20"/>
                <w:color w:val="auto"/>
              </w:rPr>
            </w:pPr>
            <w:r>
              <w:rPr>
                <w:rFonts w:ascii="Courier New" w:cs="Courier New" w:eastAsia="Courier New" w:hAnsi="Courier New"/>
                <w:sz w:val="13"/>
                <w:szCs w:val="13"/>
                <w:color w:val="auto"/>
              </w:rPr>
              <w:t>December 31, 2001</w:t>
            </w:r>
          </w:p>
        </w:tc>
        <w:tc>
          <w:tcPr>
            <w:tcW w:w="20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December 31, 2000</w:t>
            </w:r>
          </w:p>
        </w:tc>
        <w:tc>
          <w:tcPr>
            <w:tcW w:w="800" w:type="dxa"/>
            <w:vAlign w:val="bottom"/>
          </w:tcPr>
          <w:p>
            <w:pPr>
              <w:spacing w:after="0"/>
              <w:rPr>
                <w:sz w:val="12"/>
                <w:szCs w:val="12"/>
                <w:color w:val="auto"/>
              </w:rPr>
            </w:pPr>
          </w:p>
        </w:tc>
      </w:tr>
      <w:tr>
        <w:trPr>
          <w:trHeight w:val="154"/>
        </w:trPr>
        <w:tc>
          <w:tcPr>
            <w:tcW w:w="1320" w:type="dxa"/>
            <w:vAlign w:val="bottom"/>
          </w:tcPr>
          <w:p>
            <w:pPr>
              <w:spacing w:after="0"/>
              <w:rPr>
                <w:sz w:val="13"/>
                <w:szCs w:val="13"/>
                <w:color w:val="auto"/>
              </w:rPr>
            </w:pPr>
          </w:p>
        </w:tc>
        <w:tc>
          <w:tcPr>
            <w:tcW w:w="8220" w:type="dxa"/>
            <w:vAlign w:val="bottom"/>
            <w:gridSpan w:val="9"/>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1320" w:type="dxa"/>
            <w:vAlign w:val="bottom"/>
          </w:tcPr>
          <w:p>
            <w:pPr>
              <w:spacing w:after="0"/>
              <w:rPr>
                <w:sz w:val="13"/>
                <w:szCs w:val="13"/>
                <w:color w:val="auto"/>
              </w:rPr>
            </w:pPr>
          </w:p>
        </w:tc>
        <w:tc>
          <w:tcPr>
            <w:tcW w:w="960" w:type="dxa"/>
            <w:vAlign w:val="bottom"/>
          </w:tcPr>
          <w:p>
            <w:pPr>
              <w:jc w:val="center"/>
              <w:ind w:right="13"/>
              <w:spacing w:after="0"/>
              <w:rPr>
                <w:sz w:val="20"/>
                <w:szCs w:val="20"/>
                <w:color w:val="auto"/>
              </w:rPr>
            </w:pPr>
            <w:r>
              <w:rPr>
                <w:rFonts w:ascii="Courier New" w:cs="Courier New" w:eastAsia="Courier New" w:hAnsi="Courier New"/>
                <w:sz w:val="13"/>
                <w:szCs w:val="13"/>
                <w:color w:val="auto"/>
              </w:rPr>
              <w:t>Domestic</w:t>
            </w: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jc w:val="center"/>
              <w:ind w:right="93"/>
              <w:spacing w:after="0"/>
              <w:rPr>
                <w:sz w:val="20"/>
                <w:szCs w:val="20"/>
                <w:color w:val="auto"/>
              </w:rPr>
            </w:pPr>
            <w:r>
              <w:rPr>
                <w:rFonts w:ascii="Courier New" w:cs="Courier New" w:eastAsia="Courier New" w:hAnsi="Courier New"/>
                <w:sz w:val="13"/>
                <w:szCs w:val="13"/>
                <w:color w:val="auto"/>
              </w:rPr>
              <w:t>Domestic</w:t>
            </w: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jc w:val="center"/>
              <w:ind w:right="53"/>
              <w:spacing w:after="0"/>
              <w:rPr>
                <w:sz w:val="20"/>
                <w:szCs w:val="20"/>
                <w:color w:val="auto"/>
              </w:rPr>
            </w:pPr>
            <w:r>
              <w:rPr>
                <w:rFonts w:ascii="Courier New" w:cs="Courier New" w:eastAsia="Courier New" w:hAnsi="Courier New"/>
                <w:sz w:val="13"/>
                <w:szCs w:val="13"/>
                <w:color w:val="auto"/>
              </w:rPr>
              <w:t>Domestic</w:t>
            </w:r>
          </w:p>
        </w:tc>
        <w:tc>
          <w:tcPr>
            <w:tcW w:w="10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4"/>
        </w:trPr>
        <w:tc>
          <w:tcPr>
            <w:tcW w:w="1320" w:type="dxa"/>
            <w:vAlign w:val="bottom"/>
          </w:tcPr>
          <w:p>
            <w:pPr>
              <w:spacing w:after="0"/>
              <w:rPr>
                <w:sz w:val="13"/>
                <w:szCs w:val="13"/>
                <w:color w:val="auto"/>
              </w:rPr>
            </w:pPr>
          </w:p>
        </w:tc>
        <w:tc>
          <w:tcPr>
            <w:tcW w:w="960" w:type="dxa"/>
            <w:vAlign w:val="bottom"/>
          </w:tcPr>
          <w:p>
            <w:pPr>
              <w:jc w:val="center"/>
              <w:ind w:right="13"/>
              <w:spacing w:after="0"/>
              <w:rPr>
                <w:sz w:val="20"/>
                <w:szCs w:val="20"/>
                <w:color w:val="auto"/>
              </w:rPr>
            </w:pPr>
            <w:r>
              <w:rPr>
                <w:rFonts w:ascii="Courier New" w:cs="Courier New" w:eastAsia="Courier New" w:hAnsi="Courier New"/>
                <w:sz w:val="13"/>
                <w:szCs w:val="13"/>
                <w:color w:val="auto"/>
              </w:rPr>
              <w:t>Ball and</w:t>
            </w: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jc w:val="center"/>
              <w:ind w:right="93"/>
              <w:spacing w:after="0"/>
              <w:rPr>
                <w:sz w:val="20"/>
                <w:szCs w:val="20"/>
                <w:color w:val="auto"/>
              </w:rPr>
            </w:pPr>
            <w:r>
              <w:rPr>
                <w:rFonts w:ascii="Courier New" w:cs="Courier New" w:eastAsia="Courier New" w:hAnsi="Courier New"/>
                <w:sz w:val="13"/>
                <w:szCs w:val="13"/>
                <w:color w:val="auto"/>
              </w:rPr>
              <w:t>Ball and</w:t>
            </w: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jc w:val="center"/>
              <w:ind w:right="53"/>
              <w:spacing w:after="0"/>
              <w:rPr>
                <w:sz w:val="20"/>
                <w:szCs w:val="20"/>
                <w:color w:val="auto"/>
              </w:rPr>
            </w:pPr>
            <w:r>
              <w:rPr>
                <w:rFonts w:ascii="Courier New" w:cs="Courier New" w:eastAsia="Courier New" w:hAnsi="Courier New"/>
                <w:sz w:val="13"/>
                <w:szCs w:val="13"/>
                <w:color w:val="auto"/>
              </w:rPr>
              <w:t>Ball and</w:t>
            </w:r>
          </w:p>
        </w:tc>
        <w:tc>
          <w:tcPr>
            <w:tcW w:w="10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4"/>
        </w:trPr>
        <w:tc>
          <w:tcPr>
            <w:tcW w:w="1320" w:type="dxa"/>
            <w:vAlign w:val="bottom"/>
          </w:tcPr>
          <w:p>
            <w:pPr>
              <w:spacing w:after="0"/>
              <w:rPr>
                <w:sz w:val="13"/>
                <w:szCs w:val="13"/>
                <w:color w:val="auto"/>
              </w:rPr>
            </w:pPr>
          </w:p>
        </w:tc>
        <w:tc>
          <w:tcPr>
            <w:tcW w:w="960" w:type="dxa"/>
            <w:vAlign w:val="bottom"/>
          </w:tcPr>
          <w:p>
            <w:pPr>
              <w:jc w:val="center"/>
              <w:ind w:right="13"/>
              <w:spacing w:after="0"/>
              <w:rPr>
                <w:sz w:val="20"/>
                <w:szCs w:val="20"/>
                <w:color w:val="auto"/>
              </w:rPr>
            </w:pPr>
            <w:r>
              <w:rPr>
                <w:rFonts w:ascii="Courier New" w:cs="Courier New" w:eastAsia="Courier New" w:hAnsi="Courier New"/>
                <w:sz w:val="13"/>
                <w:szCs w:val="13"/>
                <w:color w:val="auto"/>
              </w:rPr>
              <w:t>Roller</w:t>
            </w:r>
          </w:p>
        </w:tc>
        <w:tc>
          <w:tcPr>
            <w:tcW w:w="860" w:type="dxa"/>
            <w:vAlign w:val="bottom"/>
          </w:tcPr>
          <w:p>
            <w:pPr>
              <w:jc w:val="right"/>
              <w:ind w:right="93"/>
              <w:spacing w:after="0"/>
              <w:rPr>
                <w:sz w:val="20"/>
                <w:szCs w:val="20"/>
                <w:color w:val="auto"/>
              </w:rPr>
            </w:pPr>
            <w:r>
              <w:rPr>
                <w:rFonts w:ascii="Courier New" w:cs="Courier New" w:eastAsia="Courier New" w:hAnsi="Courier New"/>
                <w:sz w:val="13"/>
                <w:szCs w:val="13"/>
                <w:color w:val="auto"/>
              </w:rPr>
              <w:t>Euroball</w:t>
            </w:r>
          </w:p>
        </w:tc>
        <w:tc>
          <w:tcPr>
            <w:tcW w:w="8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Plastics</w:t>
            </w:r>
          </w:p>
        </w:tc>
        <w:tc>
          <w:tcPr>
            <w:tcW w:w="880" w:type="dxa"/>
            <w:vAlign w:val="bottom"/>
          </w:tcPr>
          <w:p>
            <w:pPr>
              <w:jc w:val="center"/>
              <w:ind w:right="93"/>
              <w:spacing w:after="0"/>
              <w:rPr>
                <w:sz w:val="20"/>
                <w:szCs w:val="20"/>
                <w:color w:val="auto"/>
              </w:rPr>
            </w:pPr>
            <w:r>
              <w:rPr>
                <w:rFonts w:ascii="Courier New" w:cs="Courier New" w:eastAsia="Courier New" w:hAnsi="Courier New"/>
                <w:sz w:val="13"/>
                <w:szCs w:val="13"/>
                <w:color w:val="auto"/>
              </w:rPr>
              <w:t>Roller</w:t>
            </w:r>
          </w:p>
        </w:tc>
        <w:tc>
          <w:tcPr>
            <w:tcW w:w="9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Euroball</w:t>
            </w:r>
          </w:p>
        </w:tc>
        <w:tc>
          <w:tcPr>
            <w:tcW w:w="92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Plastics</w:t>
            </w:r>
          </w:p>
        </w:tc>
        <w:tc>
          <w:tcPr>
            <w:tcW w:w="1000" w:type="dxa"/>
            <w:vAlign w:val="bottom"/>
          </w:tcPr>
          <w:p>
            <w:pPr>
              <w:jc w:val="center"/>
              <w:ind w:right="53"/>
              <w:spacing w:after="0"/>
              <w:rPr>
                <w:sz w:val="20"/>
                <w:szCs w:val="20"/>
                <w:color w:val="auto"/>
              </w:rPr>
            </w:pPr>
            <w:r>
              <w:rPr>
                <w:rFonts w:ascii="Courier New" w:cs="Courier New" w:eastAsia="Courier New" w:hAnsi="Courier New"/>
                <w:sz w:val="13"/>
                <w:szCs w:val="13"/>
                <w:color w:val="auto"/>
              </w:rPr>
              <w:t>Roller</w:t>
            </w:r>
          </w:p>
        </w:tc>
        <w:tc>
          <w:tcPr>
            <w:tcW w:w="104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Euroball</w:t>
            </w:r>
          </w:p>
        </w:tc>
        <w:tc>
          <w:tcPr>
            <w:tcW w:w="800" w:type="dxa"/>
            <w:vAlign w:val="bottom"/>
          </w:tcPr>
          <w:p>
            <w:pPr>
              <w:jc w:val="right"/>
              <w:ind w:right="93"/>
              <w:spacing w:after="0"/>
              <w:rPr>
                <w:sz w:val="20"/>
                <w:szCs w:val="20"/>
                <w:color w:val="auto"/>
              </w:rPr>
            </w:pPr>
            <w:r>
              <w:rPr>
                <w:rFonts w:ascii="Courier New" w:cs="Courier New" w:eastAsia="Courier New" w:hAnsi="Courier New"/>
                <w:sz w:val="13"/>
                <w:szCs w:val="13"/>
                <w:color w:val="auto"/>
                <w:w w:val="99"/>
              </w:rPr>
              <w:t>Plastics</w:t>
            </w:r>
          </w:p>
        </w:tc>
      </w:tr>
      <w:tr>
        <w:trPr>
          <w:trHeight w:val="154"/>
        </w:trPr>
        <w:tc>
          <w:tcPr>
            <w:tcW w:w="1320" w:type="dxa"/>
            <w:vAlign w:val="bottom"/>
          </w:tcPr>
          <w:p>
            <w:pPr>
              <w:spacing w:after="0"/>
              <w:rPr>
                <w:sz w:val="13"/>
                <w:szCs w:val="13"/>
                <w:color w:val="auto"/>
              </w:rPr>
            </w:pPr>
          </w:p>
        </w:tc>
        <w:tc>
          <w:tcPr>
            <w:tcW w:w="8220" w:type="dxa"/>
            <w:vAlign w:val="bottom"/>
            <w:gridSpan w:val="9"/>
          </w:tcPr>
          <w:p>
            <w:pPr>
              <w:jc w:val="right"/>
              <w:spacing w:after="0"/>
              <w:rPr>
                <w:sz w:val="20"/>
                <w:szCs w:val="20"/>
                <w:color w:val="auto"/>
              </w:rPr>
            </w:pPr>
            <w:r>
              <w:rPr>
                <w:rFonts w:ascii="Courier New" w:cs="Courier New" w:eastAsia="Courier New" w:hAnsi="Courier New"/>
                <w:sz w:val="13"/>
                <w:szCs w:val="13"/>
                <w:color w:val="auto"/>
              </w:rPr>
              <w:t>---------- ----------- --------- ---------- ---------- ---------- ------------ ----------- -----------</w:t>
            </w:r>
          </w:p>
        </w:tc>
      </w:tr>
      <w:tr>
        <w:trPr>
          <w:trHeight w:val="154"/>
        </w:trPr>
        <w:tc>
          <w:tcPr>
            <w:tcW w:w="1320" w:type="dxa"/>
            <w:vAlign w:val="bottom"/>
          </w:tcPr>
          <w:p>
            <w:pPr>
              <w:spacing w:after="0"/>
              <w:rPr>
                <w:sz w:val="20"/>
                <w:szCs w:val="20"/>
                <w:color w:val="auto"/>
              </w:rPr>
            </w:pPr>
            <w:r>
              <w:rPr>
                <w:rFonts w:ascii="Courier New" w:cs="Courier New" w:eastAsia="Courier New" w:hAnsi="Courier New"/>
                <w:sz w:val="13"/>
                <w:szCs w:val="13"/>
                <w:color w:val="auto"/>
              </w:rPr>
              <w:t>Net sales</w:t>
            </w:r>
          </w:p>
        </w:tc>
        <w:tc>
          <w:tcPr>
            <w:tcW w:w="960" w:type="dxa"/>
            <w:vAlign w:val="bottom"/>
          </w:tcPr>
          <w:p>
            <w:pPr>
              <w:jc w:val="right"/>
              <w:spacing w:after="0"/>
              <w:rPr>
                <w:sz w:val="20"/>
                <w:szCs w:val="20"/>
                <w:color w:val="auto"/>
              </w:rPr>
            </w:pPr>
            <w:r>
              <w:rPr>
                <w:rFonts w:ascii="Courier New" w:cs="Courier New" w:eastAsia="Courier New" w:hAnsi="Courier New"/>
                <w:sz w:val="13"/>
                <w:szCs w:val="13"/>
                <w:color w:val="auto"/>
              </w:rPr>
              <w:t>$52,634</w:t>
            </w:r>
          </w:p>
        </w:tc>
        <w:tc>
          <w:tcPr>
            <w:tcW w:w="8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$90,653</w:t>
            </w:r>
          </w:p>
        </w:tc>
        <w:tc>
          <w:tcPr>
            <w:tcW w:w="840" w:type="dxa"/>
            <w:vAlign w:val="bottom"/>
          </w:tcPr>
          <w:p>
            <w:pPr>
              <w:jc w:val="right"/>
              <w:spacing w:after="0"/>
              <w:rPr>
                <w:sz w:val="20"/>
                <w:szCs w:val="20"/>
                <w:color w:val="auto"/>
              </w:rPr>
            </w:pPr>
            <w:r>
              <w:rPr>
                <w:rFonts w:ascii="Courier New" w:cs="Courier New" w:eastAsia="Courier New" w:hAnsi="Courier New"/>
                <w:sz w:val="13"/>
                <w:szCs w:val="13"/>
                <w:color w:val="auto"/>
              </w:rPr>
              <w:t>$49,569</w:t>
            </w:r>
          </w:p>
        </w:tc>
        <w:tc>
          <w:tcPr>
            <w:tcW w:w="880" w:type="dxa"/>
            <w:vAlign w:val="bottom"/>
          </w:tcPr>
          <w:p>
            <w:pPr>
              <w:jc w:val="right"/>
              <w:ind w:right="53"/>
              <w:spacing w:after="0"/>
              <w:rPr>
                <w:sz w:val="20"/>
                <w:szCs w:val="20"/>
                <w:color w:val="auto"/>
              </w:rPr>
            </w:pPr>
            <w:r>
              <w:rPr>
                <w:rFonts w:ascii="Courier New" w:cs="Courier New" w:eastAsia="Courier New" w:hAnsi="Courier New"/>
                <w:sz w:val="13"/>
                <w:szCs w:val="13"/>
                <w:color w:val="auto"/>
              </w:rPr>
              <w:t>$52,692</w:t>
            </w:r>
          </w:p>
        </w:tc>
        <w:tc>
          <w:tcPr>
            <w:tcW w:w="9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$86,719</w:t>
            </w:r>
          </w:p>
        </w:tc>
        <w:tc>
          <w:tcPr>
            <w:tcW w:w="9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$40,740</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$67,637</w:t>
            </w:r>
          </w:p>
        </w:tc>
        <w:tc>
          <w:tcPr>
            <w:tcW w:w="10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$33,988</w:t>
            </w:r>
          </w:p>
        </w:tc>
        <w:tc>
          <w:tcPr>
            <w:tcW w:w="800" w:type="dxa"/>
            <w:vAlign w:val="bottom"/>
          </w:tcPr>
          <w:p>
            <w:pPr>
              <w:jc w:val="right"/>
              <w:spacing w:after="0"/>
              <w:rPr>
                <w:sz w:val="20"/>
                <w:szCs w:val="20"/>
                <w:color w:val="auto"/>
              </w:rPr>
            </w:pPr>
            <w:r>
              <w:rPr>
                <w:rFonts w:ascii="Courier New" w:cs="Courier New" w:eastAsia="Courier New" w:hAnsi="Courier New"/>
                <w:sz w:val="13"/>
                <w:szCs w:val="13"/>
                <w:color w:val="auto"/>
              </w:rPr>
              <w:t>$30,504</w:t>
            </w:r>
          </w:p>
        </w:tc>
      </w:tr>
      <w:tr>
        <w:trPr>
          <w:trHeight w:val="154"/>
        </w:trPr>
        <w:tc>
          <w:tcPr>
            <w:tcW w:w="1320" w:type="dxa"/>
            <w:vAlign w:val="bottom"/>
          </w:tcPr>
          <w:p>
            <w:pPr>
              <w:spacing w:after="0"/>
              <w:rPr>
                <w:sz w:val="20"/>
                <w:szCs w:val="20"/>
                <w:color w:val="auto"/>
              </w:rPr>
            </w:pPr>
            <w:r>
              <w:rPr>
                <w:rFonts w:ascii="Courier New" w:cs="Courier New" w:eastAsia="Courier New" w:hAnsi="Courier New"/>
                <w:sz w:val="13"/>
                <w:szCs w:val="13"/>
                <w:color w:val="auto"/>
              </w:rPr>
              <w:t>Interest expense</w:t>
            </w:r>
          </w:p>
        </w:tc>
        <w:tc>
          <w:tcPr>
            <w:tcW w:w="960" w:type="dxa"/>
            <w:vAlign w:val="bottom"/>
          </w:tcPr>
          <w:p>
            <w:pPr>
              <w:jc w:val="right"/>
              <w:spacing w:after="0"/>
              <w:rPr>
                <w:sz w:val="20"/>
                <w:szCs w:val="20"/>
                <w:color w:val="auto"/>
              </w:rPr>
            </w:pPr>
            <w:r>
              <w:rPr>
                <w:rFonts w:ascii="Courier New" w:cs="Courier New" w:eastAsia="Courier New" w:hAnsi="Courier New"/>
                <w:sz w:val="13"/>
                <w:szCs w:val="13"/>
                <w:color w:val="auto"/>
              </w:rPr>
              <w:t>109</w:t>
            </w:r>
          </w:p>
        </w:tc>
        <w:tc>
          <w:tcPr>
            <w:tcW w:w="8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923</w:t>
            </w:r>
          </w:p>
        </w:tc>
        <w:tc>
          <w:tcPr>
            <w:tcW w:w="840" w:type="dxa"/>
            <w:vAlign w:val="bottom"/>
          </w:tcPr>
          <w:p>
            <w:pPr>
              <w:jc w:val="right"/>
              <w:spacing w:after="0"/>
              <w:rPr>
                <w:sz w:val="20"/>
                <w:szCs w:val="20"/>
                <w:color w:val="auto"/>
              </w:rPr>
            </w:pPr>
            <w:r>
              <w:rPr>
                <w:rFonts w:ascii="Courier New" w:cs="Courier New" w:eastAsia="Courier New" w:hAnsi="Courier New"/>
                <w:sz w:val="13"/>
                <w:szCs w:val="13"/>
                <w:color w:val="auto"/>
              </w:rPr>
              <w:t>1,419</w:t>
            </w:r>
          </w:p>
        </w:tc>
        <w:tc>
          <w:tcPr>
            <w:tcW w:w="880" w:type="dxa"/>
            <w:vAlign w:val="bottom"/>
          </w:tcPr>
          <w:p>
            <w:pPr>
              <w:jc w:val="right"/>
              <w:ind w:right="53"/>
              <w:spacing w:after="0"/>
              <w:rPr>
                <w:sz w:val="20"/>
                <w:szCs w:val="20"/>
                <w:color w:val="auto"/>
              </w:rPr>
            </w:pPr>
            <w:r>
              <w:rPr>
                <w:rFonts w:ascii="Courier New" w:cs="Courier New" w:eastAsia="Courier New" w:hAnsi="Courier New"/>
                <w:sz w:val="13"/>
                <w:szCs w:val="13"/>
                <w:color w:val="auto"/>
              </w:rPr>
              <w:t>237</w:t>
            </w:r>
          </w:p>
        </w:tc>
        <w:tc>
          <w:tcPr>
            <w:tcW w:w="9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1,764</w:t>
            </w:r>
          </w:p>
        </w:tc>
        <w:tc>
          <w:tcPr>
            <w:tcW w:w="9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2,194</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385</w:t>
            </w:r>
          </w:p>
        </w:tc>
        <w:tc>
          <w:tcPr>
            <w:tcW w:w="10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622</w:t>
            </w:r>
          </w:p>
        </w:tc>
        <w:tc>
          <w:tcPr>
            <w:tcW w:w="800" w:type="dxa"/>
            <w:vAlign w:val="bottom"/>
          </w:tcPr>
          <w:p>
            <w:pPr>
              <w:jc w:val="right"/>
              <w:spacing w:after="0"/>
              <w:rPr>
                <w:sz w:val="20"/>
                <w:szCs w:val="20"/>
                <w:color w:val="auto"/>
              </w:rPr>
            </w:pPr>
            <w:r>
              <w:rPr>
                <w:rFonts w:ascii="Courier New" w:cs="Courier New" w:eastAsia="Courier New" w:hAnsi="Courier New"/>
                <w:sz w:val="13"/>
                <w:szCs w:val="13"/>
                <w:color w:val="auto"/>
              </w:rPr>
              <w:t>766</w:t>
            </w:r>
          </w:p>
        </w:tc>
      </w:tr>
      <w:tr>
        <w:trPr>
          <w:trHeight w:val="154"/>
        </w:trPr>
        <w:tc>
          <w:tcPr>
            <w:tcW w:w="1320" w:type="dxa"/>
            <w:vAlign w:val="bottom"/>
          </w:tcPr>
          <w:p>
            <w:pPr>
              <w:spacing w:after="0"/>
              <w:rPr>
                <w:sz w:val="20"/>
                <w:szCs w:val="20"/>
                <w:color w:val="auto"/>
              </w:rPr>
            </w:pPr>
            <w:r>
              <w:rPr>
                <w:rFonts w:ascii="Courier New" w:cs="Courier New" w:eastAsia="Courier New" w:hAnsi="Courier New"/>
                <w:sz w:val="13"/>
                <w:szCs w:val="13"/>
                <w:color w:val="auto"/>
              </w:rPr>
              <w:t>Depreciation &amp;</w:t>
            </w: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4"/>
        </w:trPr>
        <w:tc>
          <w:tcPr>
            <w:tcW w:w="1320" w:type="dxa"/>
            <w:vAlign w:val="bottom"/>
          </w:tcPr>
          <w:p>
            <w:pPr>
              <w:ind w:left="320"/>
              <w:spacing w:after="0"/>
              <w:rPr>
                <w:sz w:val="20"/>
                <w:szCs w:val="20"/>
                <w:color w:val="auto"/>
              </w:rPr>
            </w:pPr>
            <w:r>
              <w:rPr>
                <w:rFonts w:ascii="Courier New" w:cs="Courier New" w:eastAsia="Courier New" w:hAnsi="Courier New"/>
                <w:sz w:val="13"/>
                <w:szCs w:val="13"/>
                <w:color w:val="auto"/>
              </w:rPr>
              <w:t>amortization</w:t>
            </w:r>
          </w:p>
        </w:tc>
        <w:tc>
          <w:tcPr>
            <w:tcW w:w="960" w:type="dxa"/>
            <w:vAlign w:val="bottom"/>
          </w:tcPr>
          <w:p>
            <w:pPr>
              <w:jc w:val="right"/>
              <w:spacing w:after="0"/>
              <w:rPr>
                <w:sz w:val="20"/>
                <w:szCs w:val="20"/>
                <w:color w:val="auto"/>
              </w:rPr>
            </w:pPr>
            <w:r>
              <w:rPr>
                <w:rFonts w:ascii="Courier New" w:cs="Courier New" w:eastAsia="Courier New" w:hAnsi="Courier New"/>
                <w:sz w:val="13"/>
                <w:szCs w:val="13"/>
                <w:color w:val="auto"/>
              </w:rPr>
              <w:t>3,732</w:t>
            </w:r>
          </w:p>
        </w:tc>
        <w:tc>
          <w:tcPr>
            <w:tcW w:w="8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4,780</w:t>
            </w:r>
          </w:p>
        </w:tc>
        <w:tc>
          <w:tcPr>
            <w:tcW w:w="840" w:type="dxa"/>
            <w:vAlign w:val="bottom"/>
          </w:tcPr>
          <w:p>
            <w:pPr>
              <w:jc w:val="right"/>
              <w:spacing w:after="0"/>
              <w:rPr>
                <w:sz w:val="20"/>
                <w:szCs w:val="20"/>
                <w:color w:val="auto"/>
              </w:rPr>
            </w:pPr>
            <w:r>
              <w:rPr>
                <w:rFonts w:ascii="Courier New" w:cs="Courier New" w:eastAsia="Courier New" w:hAnsi="Courier New"/>
                <w:sz w:val="13"/>
                <w:szCs w:val="13"/>
                <w:color w:val="auto"/>
              </w:rPr>
              <w:t>2,700</w:t>
            </w:r>
          </w:p>
        </w:tc>
        <w:tc>
          <w:tcPr>
            <w:tcW w:w="880" w:type="dxa"/>
            <w:vAlign w:val="bottom"/>
          </w:tcPr>
          <w:p>
            <w:pPr>
              <w:jc w:val="right"/>
              <w:ind w:right="53"/>
              <w:spacing w:after="0"/>
              <w:rPr>
                <w:sz w:val="20"/>
                <w:szCs w:val="20"/>
                <w:color w:val="auto"/>
              </w:rPr>
            </w:pPr>
            <w:r>
              <w:rPr>
                <w:rFonts w:ascii="Courier New" w:cs="Courier New" w:eastAsia="Courier New" w:hAnsi="Courier New"/>
                <w:sz w:val="13"/>
                <w:szCs w:val="13"/>
                <w:color w:val="auto"/>
              </w:rPr>
              <w:t>4,439</w:t>
            </w:r>
          </w:p>
        </w:tc>
        <w:tc>
          <w:tcPr>
            <w:tcW w:w="9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5,236</w:t>
            </w:r>
          </w:p>
        </w:tc>
        <w:tc>
          <w:tcPr>
            <w:tcW w:w="9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3,475</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4,796</w:t>
            </w:r>
          </w:p>
        </w:tc>
        <w:tc>
          <w:tcPr>
            <w:tcW w:w="10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2,123</w:t>
            </w:r>
          </w:p>
        </w:tc>
        <w:tc>
          <w:tcPr>
            <w:tcW w:w="800" w:type="dxa"/>
            <w:vAlign w:val="bottom"/>
          </w:tcPr>
          <w:p>
            <w:pPr>
              <w:jc w:val="right"/>
              <w:spacing w:after="0"/>
              <w:rPr>
                <w:sz w:val="20"/>
                <w:szCs w:val="20"/>
                <w:color w:val="auto"/>
              </w:rPr>
            </w:pPr>
            <w:r>
              <w:rPr>
                <w:rFonts w:ascii="Courier New" w:cs="Courier New" w:eastAsia="Courier New" w:hAnsi="Courier New"/>
                <w:sz w:val="13"/>
                <w:szCs w:val="13"/>
                <w:color w:val="auto"/>
              </w:rPr>
              <w:t>2,246</w:t>
            </w:r>
          </w:p>
        </w:tc>
      </w:tr>
      <w:tr>
        <w:trPr>
          <w:trHeight w:val="154"/>
        </w:trPr>
        <w:tc>
          <w:tcPr>
            <w:tcW w:w="1320" w:type="dxa"/>
            <w:vAlign w:val="bottom"/>
          </w:tcPr>
          <w:p>
            <w:pPr>
              <w:spacing w:after="0"/>
              <w:rPr>
                <w:sz w:val="20"/>
                <w:szCs w:val="20"/>
                <w:color w:val="auto"/>
              </w:rPr>
            </w:pPr>
            <w:r>
              <w:rPr>
                <w:rFonts w:ascii="Courier New" w:cs="Courier New" w:eastAsia="Courier New" w:hAnsi="Courier New"/>
                <w:sz w:val="13"/>
                <w:szCs w:val="13"/>
                <w:color w:val="auto"/>
              </w:rPr>
              <w:t>Income tax</w:t>
            </w: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4"/>
        </w:trPr>
        <w:tc>
          <w:tcPr>
            <w:tcW w:w="1320" w:type="dxa"/>
            <w:vAlign w:val="bottom"/>
          </w:tcPr>
          <w:p>
            <w:pPr>
              <w:ind w:left="320"/>
              <w:spacing w:after="0"/>
              <w:rPr>
                <w:sz w:val="20"/>
                <w:szCs w:val="20"/>
                <w:color w:val="auto"/>
              </w:rPr>
            </w:pPr>
            <w:r>
              <w:rPr>
                <w:rFonts w:ascii="Courier New" w:cs="Courier New" w:eastAsia="Courier New" w:hAnsi="Courier New"/>
                <w:sz w:val="13"/>
                <w:szCs w:val="13"/>
                <w:color w:val="auto"/>
              </w:rPr>
              <w:t>expense</w:t>
            </w:r>
          </w:p>
        </w:tc>
        <w:tc>
          <w:tcPr>
            <w:tcW w:w="960" w:type="dxa"/>
            <w:vAlign w:val="bottom"/>
          </w:tcPr>
          <w:p>
            <w:pPr>
              <w:jc w:val="right"/>
              <w:spacing w:after="0"/>
              <w:rPr>
                <w:sz w:val="20"/>
                <w:szCs w:val="20"/>
                <w:color w:val="auto"/>
              </w:rPr>
            </w:pPr>
            <w:r>
              <w:rPr>
                <w:rFonts w:ascii="Courier New" w:cs="Courier New" w:eastAsia="Courier New" w:hAnsi="Courier New"/>
                <w:sz w:val="13"/>
                <w:szCs w:val="13"/>
                <w:color w:val="auto"/>
              </w:rPr>
              <w:t>2,595</w:t>
            </w:r>
          </w:p>
        </w:tc>
        <w:tc>
          <w:tcPr>
            <w:tcW w:w="8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3,855</w:t>
            </w:r>
          </w:p>
        </w:tc>
        <w:tc>
          <w:tcPr>
            <w:tcW w:w="840" w:type="dxa"/>
            <w:vAlign w:val="bottom"/>
          </w:tcPr>
          <w:p>
            <w:pPr>
              <w:jc w:val="right"/>
              <w:spacing w:after="0"/>
              <w:rPr>
                <w:sz w:val="20"/>
                <w:szCs w:val="20"/>
                <w:color w:val="auto"/>
              </w:rPr>
            </w:pPr>
            <w:r>
              <w:rPr>
                <w:rFonts w:ascii="Courier New" w:cs="Courier New" w:eastAsia="Courier New" w:hAnsi="Courier New"/>
                <w:sz w:val="13"/>
                <w:szCs w:val="13"/>
                <w:color w:val="auto"/>
              </w:rPr>
              <w:t>7</w:t>
            </w:r>
          </w:p>
        </w:tc>
        <w:tc>
          <w:tcPr>
            <w:tcW w:w="880" w:type="dxa"/>
            <w:vAlign w:val="bottom"/>
          </w:tcPr>
          <w:p>
            <w:pPr>
              <w:jc w:val="right"/>
              <w:ind w:right="53"/>
              <w:spacing w:after="0"/>
              <w:rPr>
                <w:sz w:val="20"/>
                <w:szCs w:val="20"/>
                <w:color w:val="auto"/>
              </w:rPr>
            </w:pPr>
            <w:r>
              <w:rPr>
                <w:rFonts w:ascii="Courier New" w:cs="Courier New" w:eastAsia="Courier New" w:hAnsi="Courier New"/>
                <w:sz w:val="13"/>
                <w:szCs w:val="13"/>
                <w:color w:val="auto"/>
              </w:rPr>
              <w:t>2,435</w:t>
            </w:r>
          </w:p>
        </w:tc>
        <w:tc>
          <w:tcPr>
            <w:tcW w:w="9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2,474</w:t>
            </w:r>
          </w:p>
        </w:tc>
        <w:tc>
          <w:tcPr>
            <w:tcW w:w="9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(815)</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4,284</w:t>
            </w:r>
          </w:p>
        </w:tc>
        <w:tc>
          <w:tcPr>
            <w:tcW w:w="10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1,408</w:t>
            </w:r>
          </w:p>
        </w:tc>
        <w:tc>
          <w:tcPr>
            <w:tcW w:w="800" w:type="dxa"/>
            <w:vAlign w:val="bottom"/>
          </w:tcPr>
          <w:p>
            <w:pPr>
              <w:jc w:val="right"/>
              <w:spacing w:after="0"/>
              <w:rPr>
                <w:sz w:val="20"/>
                <w:szCs w:val="20"/>
                <w:color w:val="auto"/>
              </w:rPr>
            </w:pPr>
            <w:r>
              <w:rPr>
                <w:rFonts w:ascii="Courier New" w:cs="Courier New" w:eastAsia="Courier New" w:hAnsi="Courier New"/>
                <w:sz w:val="13"/>
                <w:szCs w:val="13"/>
                <w:color w:val="auto"/>
              </w:rPr>
              <w:t>267</w:t>
            </w:r>
          </w:p>
        </w:tc>
      </w:tr>
      <w:tr>
        <w:trPr>
          <w:trHeight w:val="154"/>
        </w:trPr>
        <w:tc>
          <w:tcPr>
            <w:tcW w:w="1320" w:type="dxa"/>
            <w:vAlign w:val="bottom"/>
          </w:tcPr>
          <w:p>
            <w:pPr>
              <w:spacing w:after="0"/>
              <w:rPr>
                <w:sz w:val="20"/>
                <w:szCs w:val="20"/>
                <w:color w:val="auto"/>
              </w:rPr>
            </w:pPr>
            <w:r>
              <w:rPr>
                <w:rFonts w:ascii="Courier New" w:cs="Courier New" w:eastAsia="Courier New" w:hAnsi="Courier New"/>
                <w:sz w:val="13"/>
                <w:szCs w:val="13"/>
                <w:color w:val="auto"/>
              </w:rPr>
              <w:t>Segment profit</w:t>
            </w: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4"/>
        </w:trPr>
        <w:tc>
          <w:tcPr>
            <w:tcW w:w="1320" w:type="dxa"/>
            <w:vAlign w:val="bottom"/>
          </w:tcPr>
          <w:p>
            <w:pPr>
              <w:ind w:left="320"/>
              <w:spacing w:after="0"/>
              <w:rPr>
                <w:sz w:val="20"/>
                <w:szCs w:val="20"/>
                <w:color w:val="auto"/>
              </w:rPr>
            </w:pPr>
            <w:r>
              <w:rPr>
                <w:rFonts w:ascii="Courier New" w:cs="Courier New" w:eastAsia="Courier New" w:hAnsi="Courier New"/>
                <w:sz w:val="13"/>
                <w:szCs w:val="13"/>
                <w:color w:val="auto"/>
              </w:rPr>
              <w:t>(loss)</w:t>
            </w:r>
          </w:p>
        </w:tc>
        <w:tc>
          <w:tcPr>
            <w:tcW w:w="960" w:type="dxa"/>
            <w:vAlign w:val="bottom"/>
          </w:tcPr>
          <w:p>
            <w:pPr>
              <w:jc w:val="right"/>
              <w:spacing w:after="0"/>
              <w:rPr>
                <w:sz w:val="20"/>
                <w:szCs w:val="20"/>
                <w:color w:val="auto"/>
              </w:rPr>
            </w:pPr>
            <w:r>
              <w:rPr>
                <w:rFonts w:ascii="Courier New" w:cs="Courier New" w:eastAsia="Courier New" w:hAnsi="Courier New"/>
                <w:sz w:val="13"/>
                <w:szCs w:val="13"/>
                <w:color w:val="auto"/>
              </w:rPr>
              <w:t>8,176</w:t>
            </w:r>
          </w:p>
        </w:tc>
        <w:tc>
          <w:tcPr>
            <w:tcW w:w="8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3,313</w:t>
            </w:r>
          </w:p>
        </w:tc>
        <w:tc>
          <w:tcPr>
            <w:tcW w:w="840" w:type="dxa"/>
            <w:vAlign w:val="bottom"/>
          </w:tcPr>
          <w:p>
            <w:pPr>
              <w:jc w:val="right"/>
              <w:spacing w:after="0"/>
              <w:rPr>
                <w:sz w:val="20"/>
                <w:szCs w:val="20"/>
                <w:color w:val="auto"/>
              </w:rPr>
            </w:pPr>
            <w:r>
              <w:rPr>
                <w:rFonts w:ascii="Courier New" w:cs="Courier New" w:eastAsia="Courier New" w:hAnsi="Courier New"/>
                <w:sz w:val="13"/>
                <w:szCs w:val="13"/>
                <w:color w:val="auto"/>
              </w:rPr>
              <w:t>2,175</w:t>
            </w:r>
          </w:p>
        </w:tc>
        <w:tc>
          <w:tcPr>
            <w:tcW w:w="880" w:type="dxa"/>
            <w:vAlign w:val="bottom"/>
          </w:tcPr>
          <w:p>
            <w:pPr>
              <w:jc w:val="right"/>
              <w:ind w:right="53"/>
              <w:spacing w:after="0"/>
              <w:rPr>
                <w:sz w:val="20"/>
                <w:szCs w:val="20"/>
                <w:color w:val="auto"/>
              </w:rPr>
            </w:pPr>
            <w:r>
              <w:rPr>
                <w:rFonts w:ascii="Courier New" w:cs="Courier New" w:eastAsia="Courier New" w:hAnsi="Courier New"/>
                <w:sz w:val="13"/>
                <w:szCs w:val="13"/>
                <w:color w:val="auto"/>
              </w:rPr>
              <w:t>4,498</w:t>
            </w:r>
          </w:p>
        </w:tc>
        <w:tc>
          <w:tcPr>
            <w:tcW w:w="9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1,962</w:t>
            </w:r>
          </w:p>
        </w:tc>
        <w:tc>
          <w:tcPr>
            <w:tcW w:w="9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(1,798)</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8,314</w:t>
            </w:r>
          </w:p>
        </w:tc>
        <w:tc>
          <w:tcPr>
            <w:tcW w:w="10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775</w:t>
            </w:r>
          </w:p>
        </w:tc>
        <w:tc>
          <w:tcPr>
            <w:tcW w:w="800" w:type="dxa"/>
            <w:vAlign w:val="bottom"/>
          </w:tcPr>
          <w:p>
            <w:pPr>
              <w:jc w:val="right"/>
              <w:spacing w:after="0"/>
              <w:rPr>
                <w:sz w:val="20"/>
                <w:szCs w:val="20"/>
                <w:color w:val="auto"/>
              </w:rPr>
            </w:pPr>
            <w:r>
              <w:rPr>
                <w:rFonts w:ascii="Courier New" w:cs="Courier New" w:eastAsia="Courier New" w:hAnsi="Courier New"/>
                <w:sz w:val="13"/>
                <w:szCs w:val="13"/>
                <w:color w:val="auto"/>
              </w:rPr>
              <w:t>898</w:t>
            </w:r>
          </w:p>
        </w:tc>
      </w:tr>
      <w:tr>
        <w:trPr>
          <w:trHeight w:val="154"/>
        </w:trPr>
        <w:tc>
          <w:tcPr>
            <w:tcW w:w="1320" w:type="dxa"/>
            <w:vAlign w:val="bottom"/>
          </w:tcPr>
          <w:p>
            <w:pPr>
              <w:spacing w:after="0"/>
              <w:rPr>
                <w:sz w:val="20"/>
                <w:szCs w:val="20"/>
                <w:color w:val="auto"/>
              </w:rPr>
            </w:pPr>
            <w:r>
              <w:rPr>
                <w:rFonts w:ascii="Courier New" w:cs="Courier New" w:eastAsia="Courier New" w:hAnsi="Courier New"/>
                <w:sz w:val="13"/>
                <w:szCs w:val="13"/>
                <w:color w:val="auto"/>
              </w:rPr>
              <w:t>Segment assets</w:t>
            </w:r>
          </w:p>
        </w:tc>
        <w:tc>
          <w:tcPr>
            <w:tcW w:w="960" w:type="dxa"/>
            <w:vAlign w:val="bottom"/>
          </w:tcPr>
          <w:p>
            <w:pPr>
              <w:jc w:val="right"/>
              <w:spacing w:after="0"/>
              <w:rPr>
                <w:sz w:val="20"/>
                <w:szCs w:val="20"/>
                <w:color w:val="auto"/>
              </w:rPr>
            </w:pPr>
            <w:r>
              <w:rPr>
                <w:rFonts w:ascii="Courier New" w:cs="Courier New" w:eastAsia="Courier New" w:hAnsi="Courier New"/>
                <w:sz w:val="13"/>
                <w:szCs w:val="13"/>
                <w:color w:val="auto"/>
              </w:rPr>
              <w:t>58,825</w:t>
            </w:r>
          </w:p>
        </w:tc>
        <w:tc>
          <w:tcPr>
            <w:tcW w:w="8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82,095</w:t>
            </w:r>
          </w:p>
        </w:tc>
        <w:tc>
          <w:tcPr>
            <w:tcW w:w="840" w:type="dxa"/>
            <w:vAlign w:val="bottom"/>
          </w:tcPr>
          <w:p>
            <w:pPr>
              <w:jc w:val="right"/>
              <w:spacing w:after="0"/>
              <w:rPr>
                <w:sz w:val="20"/>
                <w:szCs w:val="20"/>
                <w:color w:val="auto"/>
              </w:rPr>
            </w:pPr>
            <w:r>
              <w:rPr>
                <w:rFonts w:ascii="Courier New" w:cs="Courier New" w:eastAsia="Courier New" w:hAnsi="Courier New"/>
                <w:sz w:val="13"/>
                <w:szCs w:val="13"/>
                <w:color w:val="auto"/>
              </w:rPr>
              <w:t>57,544</w:t>
            </w:r>
          </w:p>
        </w:tc>
        <w:tc>
          <w:tcPr>
            <w:tcW w:w="880" w:type="dxa"/>
            <w:vAlign w:val="bottom"/>
          </w:tcPr>
          <w:p>
            <w:pPr>
              <w:jc w:val="right"/>
              <w:ind w:right="53"/>
              <w:spacing w:after="0"/>
              <w:rPr>
                <w:sz w:val="20"/>
                <w:szCs w:val="20"/>
                <w:color w:val="auto"/>
              </w:rPr>
            </w:pPr>
            <w:r>
              <w:rPr>
                <w:rFonts w:ascii="Courier New" w:cs="Courier New" w:eastAsia="Courier New" w:hAnsi="Courier New"/>
                <w:sz w:val="13"/>
                <w:szCs w:val="13"/>
                <w:color w:val="auto"/>
              </w:rPr>
              <w:t>62,978</w:t>
            </w:r>
          </w:p>
        </w:tc>
        <w:tc>
          <w:tcPr>
            <w:tcW w:w="9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68,288</w:t>
            </w:r>
          </w:p>
        </w:tc>
        <w:tc>
          <w:tcPr>
            <w:tcW w:w="9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55,721</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62,574</w:t>
            </w:r>
          </w:p>
        </w:tc>
        <w:tc>
          <w:tcPr>
            <w:tcW w:w="10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91,392</w:t>
            </w:r>
          </w:p>
        </w:tc>
        <w:tc>
          <w:tcPr>
            <w:tcW w:w="800" w:type="dxa"/>
            <w:vAlign w:val="bottom"/>
          </w:tcPr>
          <w:p>
            <w:pPr>
              <w:jc w:val="right"/>
              <w:spacing w:after="0"/>
              <w:rPr>
                <w:sz w:val="20"/>
                <w:szCs w:val="20"/>
                <w:color w:val="auto"/>
              </w:rPr>
            </w:pPr>
            <w:r>
              <w:rPr>
                <w:rFonts w:ascii="Courier New" w:cs="Courier New" w:eastAsia="Courier New" w:hAnsi="Courier New"/>
                <w:sz w:val="13"/>
                <w:szCs w:val="13"/>
                <w:color w:val="auto"/>
              </w:rPr>
              <w:t>33,842</w:t>
            </w:r>
          </w:p>
        </w:tc>
      </w:tr>
      <w:tr>
        <w:trPr>
          <w:trHeight w:val="154"/>
        </w:trPr>
        <w:tc>
          <w:tcPr>
            <w:tcW w:w="1320" w:type="dxa"/>
            <w:vAlign w:val="bottom"/>
          </w:tcPr>
          <w:p>
            <w:pPr>
              <w:spacing w:after="0"/>
              <w:rPr>
                <w:sz w:val="20"/>
                <w:szCs w:val="20"/>
                <w:color w:val="auto"/>
              </w:rPr>
            </w:pPr>
            <w:r>
              <w:rPr>
                <w:rFonts w:ascii="Courier New" w:cs="Courier New" w:eastAsia="Courier New" w:hAnsi="Courier New"/>
                <w:sz w:val="13"/>
                <w:szCs w:val="13"/>
                <w:color w:val="auto"/>
              </w:rPr>
              <w:t>Expenditures for</w:t>
            </w: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4"/>
        </w:trPr>
        <w:tc>
          <w:tcPr>
            <w:tcW w:w="1320" w:type="dxa"/>
            <w:vAlign w:val="bottom"/>
          </w:tcPr>
          <w:p>
            <w:pPr>
              <w:ind w:left="320"/>
              <w:spacing w:after="0"/>
              <w:rPr>
                <w:sz w:val="20"/>
                <w:szCs w:val="20"/>
                <w:color w:val="auto"/>
              </w:rPr>
            </w:pPr>
            <w:r>
              <w:rPr>
                <w:rFonts w:ascii="Courier New" w:cs="Courier New" w:eastAsia="Courier New" w:hAnsi="Courier New"/>
                <w:sz w:val="13"/>
                <w:szCs w:val="13"/>
                <w:color w:val="auto"/>
              </w:rPr>
              <w:t>long- lived</w:t>
            </w: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4"/>
        </w:trPr>
        <w:tc>
          <w:tcPr>
            <w:tcW w:w="1320" w:type="dxa"/>
            <w:vAlign w:val="bottom"/>
          </w:tcPr>
          <w:p>
            <w:pPr>
              <w:ind w:left="320"/>
              <w:spacing w:after="0"/>
              <w:rPr>
                <w:sz w:val="20"/>
                <w:szCs w:val="20"/>
                <w:color w:val="auto"/>
              </w:rPr>
            </w:pPr>
            <w:r>
              <w:rPr>
                <w:rFonts w:ascii="Courier New" w:cs="Courier New" w:eastAsia="Courier New" w:hAnsi="Courier New"/>
                <w:sz w:val="13"/>
                <w:szCs w:val="13"/>
                <w:color w:val="auto"/>
              </w:rPr>
              <w:t>assets</w:t>
            </w:r>
          </w:p>
        </w:tc>
        <w:tc>
          <w:tcPr>
            <w:tcW w:w="960" w:type="dxa"/>
            <w:vAlign w:val="bottom"/>
          </w:tcPr>
          <w:p>
            <w:pPr>
              <w:jc w:val="right"/>
              <w:spacing w:after="0"/>
              <w:rPr>
                <w:sz w:val="20"/>
                <w:szCs w:val="20"/>
                <w:color w:val="auto"/>
              </w:rPr>
            </w:pPr>
            <w:r>
              <w:rPr>
                <w:rFonts w:ascii="Courier New" w:cs="Courier New" w:eastAsia="Courier New" w:hAnsi="Courier New"/>
                <w:sz w:val="13"/>
                <w:szCs w:val="13"/>
                <w:color w:val="auto"/>
              </w:rPr>
              <w:t>1,778</w:t>
            </w:r>
          </w:p>
        </w:tc>
        <w:tc>
          <w:tcPr>
            <w:tcW w:w="8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3,452</w:t>
            </w:r>
          </w:p>
        </w:tc>
        <w:tc>
          <w:tcPr>
            <w:tcW w:w="840" w:type="dxa"/>
            <w:vAlign w:val="bottom"/>
          </w:tcPr>
          <w:p>
            <w:pPr>
              <w:jc w:val="right"/>
              <w:spacing w:after="0"/>
              <w:rPr>
                <w:sz w:val="20"/>
                <w:szCs w:val="20"/>
                <w:color w:val="auto"/>
              </w:rPr>
            </w:pPr>
            <w:r>
              <w:rPr>
                <w:rFonts w:ascii="Courier New" w:cs="Courier New" w:eastAsia="Courier New" w:hAnsi="Courier New"/>
                <w:sz w:val="13"/>
                <w:szCs w:val="13"/>
                <w:color w:val="auto"/>
              </w:rPr>
              <w:t>2,361</w:t>
            </w:r>
          </w:p>
        </w:tc>
        <w:tc>
          <w:tcPr>
            <w:tcW w:w="880" w:type="dxa"/>
            <w:vAlign w:val="bottom"/>
          </w:tcPr>
          <w:p>
            <w:pPr>
              <w:jc w:val="right"/>
              <w:ind w:right="53"/>
              <w:spacing w:after="0"/>
              <w:rPr>
                <w:sz w:val="20"/>
                <w:szCs w:val="20"/>
                <w:color w:val="auto"/>
              </w:rPr>
            </w:pPr>
            <w:r>
              <w:rPr>
                <w:rFonts w:ascii="Courier New" w:cs="Courier New" w:eastAsia="Courier New" w:hAnsi="Courier New"/>
                <w:sz w:val="13"/>
                <w:szCs w:val="13"/>
                <w:color w:val="auto"/>
              </w:rPr>
              <w:t>1,117</w:t>
            </w:r>
          </w:p>
        </w:tc>
        <w:tc>
          <w:tcPr>
            <w:tcW w:w="9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3,537</w:t>
            </w:r>
          </w:p>
        </w:tc>
        <w:tc>
          <w:tcPr>
            <w:tcW w:w="9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1,660</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9,319</w:t>
            </w:r>
          </w:p>
        </w:tc>
        <w:tc>
          <w:tcPr>
            <w:tcW w:w="10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3,737</w:t>
            </w:r>
          </w:p>
        </w:tc>
        <w:tc>
          <w:tcPr>
            <w:tcW w:w="800" w:type="dxa"/>
            <w:vAlign w:val="bottom"/>
          </w:tcPr>
          <w:p>
            <w:pPr>
              <w:jc w:val="right"/>
              <w:spacing w:after="0"/>
              <w:rPr>
                <w:sz w:val="20"/>
                <w:szCs w:val="20"/>
                <w:color w:val="auto"/>
              </w:rPr>
            </w:pPr>
            <w:r>
              <w:rPr>
                <w:rFonts w:ascii="Courier New" w:cs="Courier New" w:eastAsia="Courier New" w:hAnsi="Courier New"/>
                <w:sz w:val="13"/>
                <w:szCs w:val="13"/>
                <w:color w:val="auto"/>
              </w:rPr>
              <w:t>4,854</w:t>
            </w:r>
          </w:p>
        </w:tc>
      </w:tr>
    </w:tbl>
    <w:p>
      <w:pPr>
        <w:spacing w:after="0" w:line="313" w:lineRule="exact"/>
        <w:rPr>
          <w:sz w:val="20"/>
          <w:szCs w:val="20"/>
          <w:color w:val="auto"/>
        </w:rPr>
      </w:pPr>
    </w:p>
    <w:p>
      <w:pPr>
        <w:jc w:val="right"/>
        <w:ind w:right="3819"/>
        <w:spacing w:after="0"/>
        <w:rPr>
          <w:sz w:val="20"/>
          <w:szCs w:val="20"/>
          <w:color w:val="auto"/>
        </w:rPr>
      </w:pPr>
      <w:r>
        <w:rPr>
          <w:rFonts w:ascii="Courier New" w:cs="Courier New" w:eastAsia="Courier New" w:hAnsi="Courier New"/>
          <w:sz w:val="13"/>
          <w:szCs w:val="13"/>
          <w:color w:val="auto"/>
        </w:rPr>
        <w:t>Continued</w:t>
      </w:r>
    </w:p>
    <w:p>
      <w:pPr>
        <w:spacing w:after="0" w:line="315"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3"/>
          <w:szCs w:val="13"/>
          <w:b w:val="1"/>
          <w:bCs w:val="1"/>
          <w:color w:val="auto"/>
        </w:rPr>
        <w:t>NN, Inc.</w:t>
      </w:r>
    </w:p>
    <w:p>
      <w:pPr>
        <w:spacing w:after="0" w:line="7"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3"/>
          <w:szCs w:val="13"/>
          <w:b w:val="1"/>
          <w:bCs w:val="1"/>
          <w:color w:val="auto"/>
        </w:rPr>
        <w:t>Notes to Consolidated Financial Statements</w:t>
      </w:r>
    </w:p>
    <w:p>
      <w:pPr>
        <w:spacing w:after="0" w:line="7"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3"/>
          <w:szCs w:val="13"/>
          <w:b w:val="1"/>
          <w:bCs w:val="1"/>
          <w:color w:val="auto"/>
        </w:rPr>
        <w:t>December 31, 2002, 2001 and 2000</w:t>
      </w:r>
    </w:p>
    <w:p>
      <w:pPr>
        <w:spacing w:after="0" w:line="7" w:lineRule="exact"/>
        <w:rPr>
          <w:sz w:val="20"/>
          <w:szCs w:val="20"/>
          <w:color w:val="auto"/>
        </w:rPr>
      </w:pPr>
    </w:p>
    <w:tbl>
      <w:tblPr>
        <w:tblLayout w:type="fixed"/>
        <w:tblInd w:w="480" w:type="dxa"/>
        <w:tblCellMar>
          <w:top w:w="0" w:type="dxa"/>
          <w:left w:w="0" w:type="dxa"/>
          <w:bottom w:w="0" w:type="dxa"/>
          <w:right w:w="0" w:type="dxa"/>
        </w:tblCellMar>
      </w:tblPr>
      <w:tr>
        <w:trPr>
          <w:trHeight w:val="149"/>
        </w:trPr>
        <w:tc>
          <w:tcPr>
            <w:tcW w:w="4780" w:type="dxa"/>
            <w:vAlign w:val="bottom"/>
            <w:gridSpan w:val="3"/>
          </w:tcPr>
          <w:p>
            <w:pPr>
              <w:jc w:val="right"/>
              <w:ind w:right="453"/>
              <w:spacing w:after="0"/>
              <w:rPr>
                <w:sz w:val="20"/>
                <w:szCs w:val="20"/>
                <w:color w:val="auto"/>
              </w:rPr>
            </w:pPr>
            <w:r>
              <w:rPr>
                <w:rFonts w:ascii="Courier New" w:cs="Courier New" w:eastAsia="Courier New" w:hAnsi="Courier New"/>
                <w:sz w:val="13"/>
                <w:szCs w:val="13"/>
                <w:b w:val="1"/>
                <w:bCs w:val="1"/>
                <w:color w:val="auto"/>
              </w:rPr>
              <w:t>(In thousands, except per share data)</w:t>
            </w:r>
          </w:p>
        </w:tc>
        <w:tc>
          <w:tcPr>
            <w:tcW w:w="1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308"/>
        </w:trPr>
        <w:tc>
          <w:tcPr>
            <w:tcW w:w="6100" w:type="dxa"/>
            <w:vAlign w:val="bottom"/>
            <w:gridSpan w:val="4"/>
          </w:tcPr>
          <w:p>
            <w:pPr>
              <w:ind w:left="80"/>
              <w:spacing w:after="0"/>
              <w:rPr>
                <w:sz w:val="20"/>
                <w:szCs w:val="20"/>
                <w:color w:val="auto"/>
              </w:rPr>
            </w:pPr>
            <w:r>
              <w:rPr>
                <w:rFonts w:ascii="Courier New" w:cs="Courier New" w:eastAsia="Courier New" w:hAnsi="Courier New"/>
                <w:sz w:val="13"/>
                <w:szCs w:val="13"/>
                <w:color w:val="auto"/>
              </w:rPr>
              <w:t>Sales to external customers and long-lived assets utilized by the Company</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54"/>
        </w:trPr>
        <w:tc>
          <w:tcPr>
            <w:tcW w:w="4780" w:type="dxa"/>
            <w:vAlign w:val="bottom"/>
            <w:gridSpan w:val="3"/>
          </w:tcPr>
          <w:p>
            <w:pPr>
              <w:ind w:left="80"/>
              <w:spacing w:after="0"/>
              <w:rPr>
                <w:sz w:val="20"/>
                <w:szCs w:val="20"/>
                <w:color w:val="auto"/>
              </w:rPr>
            </w:pPr>
            <w:r>
              <w:rPr>
                <w:rFonts w:ascii="Courier New" w:cs="Courier New" w:eastAsia="Courier New" w:hAnsi="Courier New"/>
                <w:sz w:val="13"/>
                <w:szCs w:val="13"/>
                <w:color w:val="auto"/>
              </w:rPr>
              <w:t>were concentrated in the following geographical regions:</w:t>
            </w:r>
          </w:p>
        </w:tc>
        <w:tc>
          <w:tcPr>
            <w:tcW w:w="1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308"/>
        </w:trPr>
        <w:tc>
          <w:tcPr>
            <w:tcW w:w="1920" w:type="dxa"/>
            <w:vAlign w:val="bottom"/>
          </w:tcPr>
          <w:p>
            <w:pPr>
              <w:spacing w:after="0"/>
              <w:rPr>
                <w:sz w:val="24"/>
                <w:szCs w:val="24"/>
                <w:color w:val="auto"/>
              </w:rPr>
            </w:pPr>
          </w:p>
        </w:tc>
        <w:tc>
          <w:tcPr>
            <w:tcW w:w="2860" w:type="dxa"/>
            <w:vAlign w:val="bottom"/>
            <w:gridSpan w:val="2"/>
          </w:tcPr>
          <w:p>
            <w:pPr>
              <w:jc w:val="right"/>
              <w:ind w:right="693"/>
              <w:spacing w:after="0"/>
              <w:rPr>
                <w:sz w:val="20"/>
                <w:szCs w:val="20"/>
                <w:color w:val="auto"/>
              </w:rPr>
            </w:pPr>
            <w:r>
              <w:rPr>
                <w:rFonts w:ascii="Courier New" w:cs="Courier New" w:eastAsia="Courier New" w:hAnsi="Courier New"/>
                <w:sz w:val="13"/>
                <w:szCs w:val="13"/>
                <w:b w:val="1"/>
                <w:bCs w:val="1"/>
                <w:color w:val="auto"/>
              </w:rPr>
              <w:t>December 31, 2002</w:t>
            </w:r>
          </w:p>
        </w:tc>
        <w:tc>
          <w:tcPr>
            <w:tcW w:w="2520" w:type="dxa"/>
            <w:vAlign w:val="bottom"/>
            <w:gridSpan w:val="2"/>
          </w:tcPr>
          <w:p>
            <w:pPr>
              <w:jc w:val="right"/>
              <w:ind w:right="573"/>
              <w:spacing w:after="0"/>
              <w:rPr>
                <w:sz w:val="20"/>
                <w:szCs w:val="20"/>
                <w:color w:val="auto"/>
              </w:rPr>
            </w:pPr>
            <w:r>
              <w:rPr>
                <w:rFonts w:ascii="Courier New" w:cs="Courier New" w:eastAsia="Courier New" w:hAnsi="Courier New"/>
                <w:sz w:val="13"/>
                <w:szCs w:val="13"/>
                <w:b w:val="1"/>
                <w:bCs w:val="1"/>
                <w:color w:val="auto"/>
              </w:rPr>
              <w:t>December 31, 2001</w:t>
            </w:r>
          </w:p>
        </w:tc>
        <w:tc>
          <w:tcPr>
            <w:tcW w:w="2320" w:type="dxa"/>
            <w:vAlign w:val="bottom"/>
            <w:gridSpan w:val="2"/>
          </w:tcPr>
          <w:p>
            <w:pPr>
              <w:ind w:left="480"/>
              <w:spacing w:after="0"/>
              <w:rPr>
                <w:sz w:val="20"/>
                <w:szCs w:val="20"/>
                <w:color w:val="auto"/>
              </w:rPr>
            </w:pPr>
            <w:r>
              <w:rPr>
                <w:rFonts w:ascii="Courier New" w:cs="Courier New" w:eastAsia="Courier New" w:hAnsi="Courier New"/>
                <w:sz w:val="13"/>
                <w:szCs w:val="13"/>
                <w:b w:val="1"/>
                <w:bCs w:val="1"/>
                <w:color w:val="auto"/>
              </w:rPr>
              <w:t>December 31, 2000</w:t>
            </w:r>
          </w:p>
        </w:tc>
      </w:tr>
      <w:tr>
        <w:trPr>
          <w:trHeight w:val="154"/>
        </w:trPr>
        <w:tc>
          <w:tcPr>
            <w:tcW w:w="1920" w:type="dxa"/>
            <w:vAlign w:val="bottom"/>
          </w:tcPr>
          <w:p>
            <w:pPr>
              <w:spacing w:after="0"/>
              <w:rPr>
                <w:sz w:val="13"/>
                <w:szCs w:val="13"/>
                <w:color w:val="auto"/>
              </w:rPr>
            </w:pPr>
          </w:p>
        </w:tc>
        <w:tc>
          <w:tcPr>
            <w:tcW w:w="2860" w:type="dxa"/>
            <w:vAlign w:val="bottom"/>
            <w:gridSpan w:val="2"/>
          </w:tcPr>
          <w:p>
            <w:pPr>
              <w:jc w:val="right"/>
              <w:ind w:right="53"/>
              <w:spacing w:after="0"/>
              <w:rPr>
                <w:sz w:val="20"/>
                <w:szCs w:val="20"/>
                <w:color w:val="auto"/>
              </w:rPr>
            </w:pPr>
            <w:r>
              <w:rPr>
                <w:rFonts w:ascii="Courier New" w:cs="Courier New" w:eastAsia="Courier New" w:hAnsi="Courier New"/>
                <w:sz w:val="13"/>
                <w:szCs w:val="13"/>
                <w:b w:val="1"/>
                <w:bCs w:val="1"/>
                <w:color w:val="auto"/>
              </w:rPr>
              <w:t>-------------------------------</w:t>
            </w:r>
          </w:p>
        </w:tc>
        <w:tc>
          <w:tcPr>
            <w:tcW w:w="2520" w:type="dxa"/>
            <w:vAlign w:val="bottom"/>
            <w:gridSpan w:val="2"/>
          </w:tcPr>
          <w:p>
            <w:pPr>
              <w:jc w:val="right"/>
              <w:ind w:right="13"/>
              <w:spacing w:after="0"/>
              <w:rPr>
                <w:sz w:val="20"/>
                <w:szCs w:val="20"/>
                <w:color w:val="auto"/>
              </w:rPr>
            </w:pPr>
            <w:r>
              <w:rPr>
                <w:rFonts w:ascii="Courier New" w:cs="Courier New" w:eastAsia="Courier New" w:hAnsi="Courier New"/>
                <w:sz w:val="13"/>
                <w:szCs w:val="13"/>
                <w:b w:val="1"/>
                <w:bCs w:val="1"/>
                <w:color w:val="auto"/>
              </w:rPr>
              <w:t>-----------------------------</w:t>
            </w:r>
          </w:p>
        </w:tc>
        <w:tc>
          <w:tcPr>
            <w:tcW w:w="2320" w:type="dxa"/>
            <w:vAlign w:val="bottom"/>
            <w:gridSpan w:val="2"/>
          </w:tcPr>
          <w:p>
            <w:pPr>
              <w:jc w:val="right"/>
              <w:spacing w:after="0"/>
              <w:rPr>
                <w:sz w:val="20"/>
                <w:szCs w:val="20"/>
                <w:color w:val="auto"/>
              </w:rPr>
            </w:pPr>
            <w:r>
              <w:rPr>
                <w:rFonts w:ascii="Courier New" w:cs="Courier New" w:eastAsia="Courier New" w:hAnsi="Courier New"/>
                <w:sz w:val="13"/>
                <w:szCs w:val="13"/>
                <w:b w:val="1"/>
                <w:bCs w:val="1"/>
                <w:color w:val="auto"/>
              </w:rPr>
              <w:t>----------------------------</w:t>
            </w:r>
          </w:p>
        </w:tc>
      </w:tr>
      <w:tr>
        <w:trPr>
          <w:trHeight w:val="154"/>
        </w:trPr>
        <w:tc>
          <w:tcPr>
            <w:tcW w:w="19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160" w:type="dxa"/>
            <w:vAlign w:val="bottom"/>
          </w:tcPr>
          <w:p>
            <w:pPr>
              <w:jc w:val="right"/>
              <w:ind w:right="213"/>
              <w:spacing w:after="0"/>
              <w:rPr>
                <w:sz w:val="20"/>
                <w:szCs w:val="20"/>
                <w:color w:val="auto"/>
              </w:rPr>
            </w:pPr>
            <w:r>
              <w:rPr>
                <w:rFonts w:ascii="Courier New" w:cs="Courier New" w:eastAsia="Courier New" w:hAnsi="Courier New"/>
                <w:sz w:val="13"/>
                <w:szCs w:val="13"/>
                <w:b w:val="1"/>
                <w:bCs w:val="1"/>
                <w:color w:val="auto"/>
              </w:rPr>
              <w:t>Long-lived</w:t>
            </w:r>
          </w:p>
        </w:tc>
        <w:tc>
          <w:tcPr>
            <w:tcW w:w="1320" w:type="dxa"/>
            <w:vAlign w:val="bottom"/>
          </w:tcPr>
          <w:p>
            <w:pPr>
              <w:spacing w:after="0"/>
              <w:rPr>
                <w:sz w:val="13"/>
                <w:szCs w:val="13"/>
                <w:color w:val="auto"/>
              </w:rPr>
            </w:pPr>
          </w:p>
        </w:tc>
        <w:tc>
          <w:tcPr>
            <w:tcW w:w="1200" w:type="dxa"/>
            <w:vAlign w:val="bottom"/>
          </w:tcPr>
          <w:p>
            <w:pPr>
              <w:jc w:val="right"/>
              <w:ind w:right="173"/>
              <w:spacing w:after="0"/>
              <w:rPr>
                <w:sz w:val="20"/>
                <w:szCs w:val="20"/>
                <w:color w:val="auto"/>
              </w:rPr>
            </w:pPr>
            <w:r>
              <w:rPr>
                <w:rFonts w:ascii="Courier New" w:cs="Courier New" w:eastAsia="Courier New" w:hAnsi="Courier New"/>
                <w:sz w:val="13"/>
                <w:szCs w:val="13"/>
                <w:b w:val="1"/>
                <w:bCs w:val="1"/>
                <w:color w:val="auto"/>
              </w:rPr>
              <w:t>Long-lived</w:t>
            </w:r>
          </w:p>
        </w:tc>
        <w:tc>
          <w:tcPr>
            <w:tcW w:w="1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Long-lived</w:t>
            </w:r>
          </w:p>
        </w:tc>
      </w:tr>
      <w:tr>
        <w:trPr>
          <w:trHeight w:val="154"/>
        </w:trPr>
        <w:tc>
          <w:tcPr>
            <w:tcW w:w="1920" w:type="dxa"/>
            <w:vAlign w:val="bottom"/>
          </w:tcPr>
          <w:p>
            <w:pPr>
              <w:spacing w:after="0"/>
              <w:rPr>
                <w:sz w:val="13"/>
                <w:szCs w:val="13"/>
                <w:color w:val="auto"/>
              </w:rPr>
            </w:pPr>
          </w:p>
        </w:tc>
        <w:tc>
          <w:tcPr>
            <w:tcW w:w="1700" w:type="dxa"/>
            <w:vAlign w:val="bottom"/>
          </w:tcPr>
          <w:p>
            <w:pPr>
              <w:jc w:val="right"/>
              <w:ind w:right="573"/>
              <w:spacing w:after="0"/>
              <w:rPr>
                <w:sz w:val="20"/>
                <w:szCs w:val="20"/>
                <w:color w:val="auto"/>
              </w:rPr>
            </w:pPr>
            <w:r>
              <w:rPr>
                <w:rFonts w:ascii="Courier New" w:cs="Courier New" w:eastAsia="Courier New" w:hAnsi="Courier New"/>
                <w:sz w:val="13"/>
                <w:szCs w:val="13"/>
                <w:b w:val="1"/>
                <w:bCs w:val="1"/>
                <w:color w:val="auto"/>
              </w:rPr>
              <w:t>Sales</w:t>
            </w:r>
          </w:p>
        </w:tc>
        <w:tc>
          <w:tcPr>
            <w:tcW w:w="1160" w:type="dxa"/>
            <w:vAlign w:val="bottom"/>
          </w:tcPr>
          <w:p>
            <w:pPr>
              <w:jc w:val="right"/>
              <w:ind w:right="373"/>
              <w:spacing w:after="0"/>
              <w:rPr>
                <w:sz w:val="20"/>
                <w:szCs w:val="20"/>
                <w:color w:val="auto"/>
              </w:rPr>
            </w:pPr>
            <w:r>
              <w:rPr>
                <w:rFonts w:ascii="Courier New" w:cs="Courier New" w:eastAsia="Courier New" w:hAnsi="Courier New"/>
                <w:sz w:val="13"/>
                <w:szCs w:val="13"/>
                <w:b w:val="1"/>
                <w:bCs w:val="1"/>
                <w:color w:val="auto"/>
              </w:rPr>
              <w:t>assets</w:t>
            </w:r>
          </w:p>
        </w:tc>
        <w:tc>
          <w:tcPr>
            <w:tcW w:w="1320" w:type="dxa"/>
            <w:vAlign w:val="bottom"/>
          </w:tcPr>
          <w:p>
            <w:pPr>
              <w:jc w:val="right"/>
              <w:ind w:right="413"/>
              <w:spacing w:after="0"/>
              <w:rPr>
                <w:sz w:val="20"/>
                <w:szCs w:val="20"/>
                <w:color w:val="auto"/>
              </w:rPr>
            </w:pPr>
            <w:r>
              <w:rPr>
                <w:rFonts w:ascii="Courier New" w:cs="Courier New" w:eastAsia="Courier New" w:hAnsi="Courier New"/>
                <w:sz w:val="13"/>
                <w:szCs w:val="13"/>
                <w:b w:val="1"/>
                <w:bCs w:val="1"/>
                <w:color w:val="auto"/>
              </w:rPr>
              <w:t>Sales</w:t>
            </w:r>
          </w:p>
        </w:tc>
        <w:tc>
          <w:tcPr>
            <w:tcW w:w="1200" w:type="dxa"/>
            <w:vAlign w:val="bottom"/>
          </w:tcPr>
          <w:p>
            <w:pPr>
              <w:jc w:val="right"/>
              <w:ind w:right="333"/>
              <w:spacing w:after="0"/>
              <w:rPr>
                <w:sz w:val="20"/>
                <w:szCs w:val="20"/>
                <w:color w:val="auto"/>
              </w:rPr>
            </w:pPr>
            <w:r>
              <w:rPr>
                <w:rFonts w:ascii="Courier New" w:cs="Courier New" w:eastAsia="Courier New" w:hAnsi="Courier New"/>
                <w:sz w:val="13"/>
                <w:szCs w:val="13"/>
                <w:b w:val="1"/>
                <w:bCs w:val="1"/>
                <w:color w:val="auto"/>
              </w:rPr>
              <w:t>assets</w:t>
            </w:r>
          </w:p>
        </w:tc>
        <w:tc>
          <w:tcPr>
            <w:tcW w:w="1200" w:type="dxa"/>
            <w:vAlign w:val="bottom"/>
          </w:tcPr>
          <w:p>
            <w:pPr>
              <w:ind w:left="480"/>
              <w:spacing w:after="0"/>
              <w:rPr>
                <w:sz w:val="20"/>
                <w:szCs w:val="20"/>
                <w:color w:val="auto"/>
              </w:rPr>
            </w:pPr>
            <w:r>
              <w:rPr>
                <w:rFonts w:ascii="Courier New" w:cs="Courier New" w:eastAsia="Courier New" w:hAnsi="Courier New"/>
                <w:sz w:val="13"/>
                <w:szCs w:val="13"/>
                <w:b w:val="1"/>
                <w:bCs w:val="1"/>
                <w:color w:val="auto"/>
              </w:rPr>
              <w:t>Sales</w:t>
            </w:r>
          </w:p>
        </w:tc>
        <w:tc>
          <w:tcPr>
            <w:tcW w:w="1120" w:type="dxa"/>
            <w:vAlign w:val="bottom"/>
          </w:tcPr>
          <w:p>
            <w:pPr>
              <w:jc w:val="right"/>
              <w:ind w:right="93"/>
              <w:spacing w:after="0"/>
              <w:rPr>
                <w:sz w:val="20"/>
                <w:szCs w:val="20"/>
                <w:color w:val="auto"/>
              </w:rPr>
            </w:pPr>
            <w:r>
              <w:rPr>
                <w:rFonts w:ascii="Courier New" w:cs="Courier New" w:eastAsia="Courier New" w:hAnsi="Courier New"/>
                <w:sz w:val="13"/>
                <w:szCs w:val="13"/>
                <w:b w:val="1"/>
                <w:bCs w:val="1"/>
                <w:color w:val="auto"/>
              </w:rPr>
              <w:t>assets</w:t>
            </w:r>
          </w:p>
        </w:tc>
      </w:tr>
      <w:tr>
        <w:trPr>
          <w:trHeight w:val="154"/>
        </w:trPr>
        <w:tc>
          <w:tcPr>
            <w:tcW w:w="1920" w:type="dxa"/>
            <w:vAlign w:val="bottom"/>
          </w:tcPr>
          <w:p>
            <w:pPr>
              <w:spacing w:after="0"/>
              <w:rPr>
                <w:sz w:val="13"/>
                <w:szCs w:val="13"/>
                <w:color w:val="auto"/>
              </w:rPr>
            </w:pPr>
          </w:p>
        </w:tc>
        <w:tc>
          <w:tcPr>
            <w:tcW w:w="1700" w:type="dxa"/>
            <w:vAlign w:val="bottom"/>
          </w:tcPr>
          <w:p>
            <w:pPr>
              <w:jc w:val="right"/>
              <w:ind w:right="93"/>
              <w:spacing w:after="0"/>
              <w:rPr>
                <w:sz w:val="20"/>
                <w:szCs w:val="20"/>
                <w:color w:val="auto"/>
              </w:rPr>
            </w:pPr>
            <w:r>
              <w:rPr>
                <w:rFonts w:ascii="Courier New" w:cs="Courier New" w:eastAsia="Courier New" w:hAnsi="Courier New"/>
                <w:sz w:val="13"/>
                <w:szCs w:val="13"/>
                <w:b w:val="1"/>
                <w:bCs w:val="1"/>
                <w:color w:val="auto"/>
              </w:rPr>
              <w:t>----------------</w:t>
            </w:r>
          </w:p>
        </w:tc>
        <w:tc>
          <w:tcPr>
            <w:tcW w:w="1160" w:type="dxa"/>
            <w:vAlign w:val="bottom"/>
          </w:tcPr>
          <w:p>
            <w:pPr>
              <w:jc w:val="right"/>
              <w:ind w:right="53"/>
              <w:spacing w:after="0"/>
              <w:rPr>
                <w:sz w:val="20"/>
                <w:szCs w:val="20"/>
                <w:color w:val="auto"/>
              </w:rPr>
            </w:pPr>
            <w:r>
              <w:rPr>
                <w:rFonts w:ascii="Courier New" w:cs="Courier New" w:eastAsia="Courier New" w:hAnsi="Courier New"/>
                <w:sz w:val="13"/>
                <w:szCs w:val="13"/>
                <w:b w:val="1"/>
                <w:bCs w:val="1"/>
                <w:color w:val="auto"/>
              </w:rPr>
              <w:t>-------------</w:t>
            </w:r>
          </w:p>
        </w:tc>
        <w:tc>
          <w:tcPr>
            <w:tcW w:w="1320" w:type="dxa"/>
            <w:vAlign w:val="bottom"/>
          </w:tcPr>
          <w:p>
            <w:pPr>
              <w:jc w:val="right"/>
              <w:ind w:right="13"/>
              <w:spacing w:after="0"/>
              <w:rPr>
                <w:sz w:val="20"/>
                <w:szCs w:val="20"/>
                <w:color w:val="auto"/>
              </w:rPr>
            </w:pPr>
            <w:r>
              <w:rPr>
                <w:rFonts w:ascii="Courier New" w:cs="Courier New" w:eastAsia="Courier New" w:hAnsi="Courier New"/>
                <w:sz w:val="13"/>
                <w:szCs w:val="13"/>
                <w:b w:val="1"/>
                <w:bCs w:val="1"/>
                <w:color w:val="auto"/>
              </w:rPr>
              <w:t>--------------</w:t>
            </w:r>
          </w:p>
        </w:tc>
        <w:tc>
          <w:tcPr>
            <w:tcW w:w="1200" w:type="dxa"/>
            <w:vAlign w:val="bottom"/>
          </w:tcPr>
          <w:p>
            <w:pPr>
              <w:jc w:val="right"/>
              <w:ind w:right="13"/>
              <w:spacing w:after="0"/>
              <w:rPr>
                <w:sz w:val="20"/>
                <w:szCs w:val="20"/>
                <w:color w:val="auto"/>
              </w:rPr>
            </w:pPr>
            <w:r>
              <w:rPr>
                <w:rFonts w:ascii="Courier New" w:cs="Courier New" w:eastAsia="Courier New" w:hAnsi="Courier New"/>
                <w:sz w:val="13"/>
                <w:szCs w:val="13"/>
                <w:b w:val="1"/>
                <w:bCs w:val="1"/>
                <w:color w:val="auto"/>
              </w:rPr>
              <w:t>-------------</w:t>
            </w:r>
          </w:p>
        </w:tc>
        <w:tc>
          <w:tcPr>
            <w:tcW w:w="1200" w:type="dxa"/>
            <w:vAlign w:val="bottom"/>
          </w:tcPr>
          <w:p>
            <w:pPr>
              <w:jc w:val="right"/>
              <w:ind w:right="13"/>
              <w:spacing w:after="0"/>
              <w:rPr>
                <w:sz w:val="20"/>
                <w:szCs w:val="20"/>
                <w:color w:val="auto"/>
              </w:rPr>
            </w:pPr>
            <w:r>
              <w:rPr>
                <w:rFonts w:ascii="Courier New" w:cs="Courier New" w:eastAsia="Courier New" w:hAnsi="Courier New"/>
                <w:sz w:val="13"/>
                <w:szCs w:val="13"/>
                <w:b w:val="1"/>
                <w:bCs w:val="1"/>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w:t>
            </w:r>
          </w:p>
        </w:tc>
      </w:tr>
      <w:tr>
        <w:trPr>
          <w:trHeight w:val="308"/>
        </w:trPr>
        <w:tc>
          <w:tcPr>
            <w:tcW w:w="1920" w:type="dxa"/>
            <w:vAlign w:val="bottom"/>
          </w:tcPr>
          <w:p>
            <w:pPr>
              <w:spacing w:after="0"/>
              <w:rPr>
                <w:sz w:val="20"/>
                <w:szCs w:val="20"/>
                <w:color w:val="auto"/>
              </w:rPr>
            </w:pPr>
            <w:r>
              <w:rPr>
                <w:rFonts w:ascii="Courier New" w:cs="Courier New" w:eastAsia="Courier New" w:hAnsi="Courier New"/>
                <w:sz w:val="13"/>
                <w:szCs w:val="13"/>
                <w:color w:val="auto"/>
              </w:rPr>
              <w:t>United States</w:t>
            </w:r>
          </w:p>
        </w:tc>
        <w:tc>
          <w:tcPr>
            <w:tcW w:w="17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$68,485</w:t>
            </w:r>
          </w:p>
        </w:tc>
        <w:tc>
          <w:tcPr>
            <w:tcW w:w="116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$35,582</w:t>
            </w:r>
          </w:p>
        </w:tc>
        <w:tc>
          <w:tcPr>
            <w:tcW w:w="132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  59,813</w:t>
            </w:r>
          </w:p>
        </w:tc>
        <w:tc>
          <w:tcPr>
            <w:tcW w:w="12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$38,900</w:t>
            </w:r>
          </w:p>
        </w:tc>
        <w:tc>
          <w:tcPr>
            <w:tcW w:w="12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$62,094</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$44,137</w:t>
            </w:r>
          </w:p>
        </w:tc>
      </w:tr>
      <w:tr>
        <w:trPr>
          <w:trHeight w:val="308"/>
        </w:trPr>
        <w:tc>
          <w:tcPr>
            <w:tcW w:w="1920" w:type="dxa"/>
            <w:vAlign w:val="bottom"/>
          </w:tcPr>
          <w:p>
            <w:pPr>
              <w:spacing w:after="0"/>
              <w:rPr>
                <w:sz w:val="20"/>
                <w:szCs w:val="20"/>
                <w:color w:val="auto"/>
              </w:rPr>
            </w:pPr>
            <w:r>
              <w:rPr>
                <w:rFonts w:ascii="Courier New" w:cs="Courier New" w:eastAsia="Courier New" w:hAnsi="Courier New"/>
                <w:sz w:val="13"/>
                <w:szCs w:val="13"/>
                <w:color w:val="auto"/>
              </w:rPr>
              <w:t>Europe</w:t>
            </w:r>
          </w:p>
        </w:tc>
        <w:tc>
          <w:tcPr>
            <w:tcW w:w="17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89,750</w:t>
            </w:r>
          </w:p>
        </w:tc>
        <w:tc>
          <w:tcPr>
            <w:tcW w:w="116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51,674</w:t>
            </w:r>
          </w:p>
        </w:tc>
        <w:tc>
          <w:tcPr>
            <w:tcW w:w="132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88,649</w:t>
            </w:r>
          </w:p>
        </w:tc>
        <w:tc>
          <w:tcPr>
            <w:tcW w:w="12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42,799</w:t>
            </w:r>
          </w:p>
        </w:tc>
        <w:tc>
          <w:tcPr>
            <w:tcW w:w="12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46,697</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46,216</w:t>
            </w:r>
          </w:p>
        </w:tc>
      </w:tr>
      <w:tr>
        <w:trPr>
          <w:trHeight w:val="463"/>
        </w:trPr>
        <w:tc>
          <w:tcPr>
            <w:tcW w:w="1920" w:type="dxa"/>
            <w:vAlign w:val="bottom"/>
          </w:tcPr>
          <w:p>
            <w:pPr>
              <w:spacing w:after="0"/>
              <w:rPr>
                <w:sz w:val="20"/>
                <w:szCs w:val="20"/>
                <w:color w:val="auto"/>
              </w:rPr>
            </w:pPr>
            <w:r>
              <w:rPr>
                <w:rFonts w:ascii="Courier New" w:cs="Courier New" w:eastAsia="Courier New" w:hAnsi="Courier New"/>
                <w:sz w:val="13"/>
                <w:szCs w:val="13"/>
                <w:color w:val="auto"/>
              </w:rPr>
              <w:t>Canada</w:t>
            </w:r>
          </w:p>
        </w:tc>
        <w:tc>
          <w:tcPr>
            <w:tcW w:w="17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10,598</w:t>
            </w:r>
          </w:p>
        </w:tc>
        <w:tc>
          <w:tcPr>
            <w:tcW w:w="116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132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8,278</w:t>
            </w:r>
          </w:p>
        </w:tc>
        <w:tc>
          <w:tcPr>
            <w:tcW w:w="12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2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6,449</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r>
      <w:tr>
        <w:trPr>
          <w:trHeight w:val="308"/>
        </w:trPr>
        <w:tc>
          <w:tcPr>
            <w:tcW w:w="1920" w:type="dxa"/>
            <w:vAlign w:val="bottom"/>
          </w:tcPr>
          <w:p>
            <w:pPr>
              <w:spacing w:after="0"/>
              <w:rPr>
                <w:sz w:val="20"/>
                <w:szCs w:val="20"/>
                <w:color w:val="auto"/>
              </w:rPr>
            </w:pPr>
            <w:r>
              <w:rPr>
                <w:rFonts w:ascii="Courier New" w:cs="Courier New" w:eastAsia="Courier New" w:hAnsi="Courier New"/>
                <w:sz w:val="13"/>
                <w:szCs w:val="13"/>
                <w:color w:val="auto"/>
              </w:rPr>
              <w:t>Latin/S.America</w:t>
            </w:r>
          </w:p>
        </w:tc>
        <w:tc>
          <w:tcPr>
            <w:tcW w:w="17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8,450</w:t>
            </w:r>
          </w:p>
        </w:tc>
        <w:tc>
          <w:tcPr>
            <w:tcW w:w="116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943</w:t>
            </w:r>
          </w:p>
        </w:tc>
        <w:tc>
          <w:tcPr>
            <w:tcW w:w="132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8,157</w:t>
            </w:r>
          </w:p>
        </w:tc>
        <w:tc>
          <w:tcPr>
            <w:tcW w:w="12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1,071</w:t>
            </w:r>
          </w:p>
        </w:tc>
        <w:tc>
          <w:tcPr>
            <w:tcW w:w="12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6,100</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1,340</w:t>
            </w:r>
          </w:p>
        </w:tc>
      </w:tr>
      <w:tr>
        <w:trPr>
          <w:trHeight w:val="308"/>
        </w:trPr>
        <w:tc>
          <w:tcPr>
            <w:tcW w:w="1920" w:type="dxa"/>
            <w:vAlign w:val="bottom"/>
          </w:tcPr>
          <w:p>
            <w:pPr>
              <w:spacing w:after="0"/>
              <w:rPr>
                <w:sz w:val="20"/>
                <w:szCs w:val="20"/>
                <w:color w:val="auto"/>
              </w:rPr>
            </w:pPr>
            <w:r>
              <w:rPr>
                <w:rFonts w:ascii="Courier New" w:cs="Courier New" w:eastAsia="Courier New" w:hAnsi="Courier New"/>
                <w:sz w:val="13"/>
                <w:szCs w:val="13"/>
                <w:color w:val="auto"/>
              </w:rPr>
              <w:t>Other export</w:t>
            </w:r>
          </w:p>
        </w:tc>
        <w:tc>
          <w:tcPr>
            <w:tcW w:w="17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15,573</w:t>
            </w:r>
          </w:p>
        </w:tc>
        <w:tc>
          <w:tcPr>
            <w:tcW w:w="116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132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15,254</w:t>
            </w:r>
          </w:p>
        </w:tc>
        <w:tc>
          <w:tcPr>
            <w:tcW w:w="12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2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10,789</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r>
      <w:tr>
        <w:trPr>
          <w:trHeight w:val="154"/>
        </w:trPr>
        <w:tc>
          <w:tcPr>
            <w:tcW w:w="1920" w:type="dxa"/>
            <w:vAlign w:val="bottom"/>
          </w:tcPr>
          <w:p>
            <w:pPr>
              <w:spacing w:after="0"/>
              <w:rPr>
                <w:sz w:val="13"/>
                <w:szCs w:val="13"/>
                <w:color w:val="auto"/>
              </w:rPr>
            </w:pPr>
          </w:p>
        </w:tc>
        <w:tc>
          <w:tcPr>
            <w:tcW w:w="17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16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13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2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2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308"/>
        </w:trPr>
        <w:tc>
          <w:tcPr>
            <w:tcW w:w="1920" w:type="dxa"/>
            <w:vAlign w:val="bottom"/>
          </w:tcPr>
          <w:p>
            <w:pPr>
              <w:spacing w:after="0"/>
              <w:rPr>
                <w:sz w:val="20"/>
                <w:szCs w:val="20"/>
                <w:color w:val="auto"/>
              </w:rPr>
            </w:pPr>
            <w:r>
              <w:rPr>
                <w:rFonts w:ascii="Courier New" w:cs="Courier New" w:eastAsia="Courier New" w:hAnsi="Courier New"/>
                <w:sz w:val="13"/>
                <w:szCs w:val="13"/>
                <w:color w:val="auto"/>
              </w:rPr>
              <w:t>All foreign countries</w:t>
            </w:r>
          </w:p>
        </w:tc>
        <w:tc>
          <w:tcPr>
            <w:tcW w:w="17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124,371</w:t>
            </w:r>
          </w:p>
        </w:tc>
        <w:tc>
          <w:tcPr>
            <w:tcW w:w="116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52,617</w:t>
            </w:r>
          </w:p>
        </w:tc>
        <w:tc>
          <w:tcPr>
            <w:tcW w:w="132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120,338</w:t>
            </w:r>
          </w:p>
        </w:tc>
        <w:tc>
          <w:tcPr>
            <w:tcW w:w="12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43,870</w:t>
            </w:r>
          </w:p>
        </w:tc>
        <w:tc>
          <w:tcPr>
            <w:tcW w:w="12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70,035</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47,556</w:t>
            </w:r>
          </w:p>
        </w:tc>
      </w:tr>
      <w:tr>
        <w:trPr>
          <w:trHeight w:val="154"/>
        </w:trPr>
        <w:tc>
          <w:tcPr>
            <w:tcW w:w="1920" w:type="dxa"/>
            <w:vAlign w:val="bottom"/>
          </w:tcPr>
          <w:p>
            <w:pPr>
              <w:spacing w:after="0"/>
              <w:rPr>
                <w:sz w:val="13"/>
                <w:szCs w:val="13"/>
                <w:color w:val="auto"/>
              </w:rPr>
            </w:pPr>
          </w:p>
        </w:tc>
        <w:tc>
          <w:tcPr>
            <w:tcW w:w="17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16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13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2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2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308"/>
        </w:trPr>
        <w:tc>
          <w:tcPr>
            <w:tcW w:w="1920" w:type="dxa"/>
            <w:vAlign w:val="bottom"/>
          </w:tcPr>
          <w:p>
            <w:pPr>
              <w:spacing w:after="0"/>
              <w:rPr>
                <w:sz w:val="20"/>
                <w:szCs w:val="20"/>
                <w:color w:val="auto"/>
              </w:rPr>
            </w:pPr>
            <w:r>
              <w:rPr>
                <w:rFonts w:ascii="Courier New" w:cs="Courier New" w:eastAsia="Courier New" w:hAnsi="Courier New"/>
                <w:sz w:val="13"/>
                <w:szCs w:val="13"/>
                <w:color w:val="auto"/>
              </w:rPr>
              <w:t>Total</w:t>
            </w:r>
          </w:p>
        </w:tc>
        <w:tc>
          <w:tcPr>
            <w:tcW w:w="17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$ 192,856</w:t>
            </w:r>
          </w:p>
        </w:tc>
        <w:tc>
          <w:tcPr>
            <w:tcW w:w="116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$88,199</w:t>
            </w:r>
          </w:p>
        </w:tc>
        <w:tc>
          <w:tcPr>
            <w:tcW w:w="132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$ 180,151</w:t>
            </w:r>
          </w:p>
        </w:tc>
        <w:tc>
          <w:tcPr>
            <w:tcW w:w="12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$82,770</w:t>
            </w:r>
          </w:p>
        </w:tc>
        <w:tc>
          <w:tcPr>
            <w:tcW w:w="12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$ 132,129</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$91,693</w:t>
            </w:r>
          </w:p>
        </w:tc>
      </w:tr>
      <w:tr>
        <w:trPr>
          <w:trHeight w:val="154"/>
        </w:trPr>
        <w:tc>
          <w:tcPr>
            <w:tcW w:w="1920" w:type="dxa"/>
            <w:vAlign w:val="bottom"/>
          </w:tcPr>
          <w:p>
            <w:pPr>
              <w:spacing w:after="0"/>
              <w:rPr>
                <w:sz w:val="13"/>
                <w:szCs w:val="13"/>
                <w:color w:val="auto"/>
              </w:rPr>
            </w:pPr>
          </w:p>
        </w:tc>
        <w:tc>
          <w:tcPr>
            <w:tcW w:w="17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16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13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2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2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bl>
    <w:p>
      <w:pPr>
        <w:spacing w:after="0" w:line="159" w:lineRule="exact"/>
        <w:rPr>
          <w:sz w:val="20"/>
          <w:szCs w:val="20"/>
          <w:color w:val="auto"/>
        </w:rPr>
      </w:pPr>
    </w:p>
    <w:p>
      <w:pPr>
        <w:ind w:left="560" w:right="3979"/>
        <w:spacing w:after="0" w:line="252" w:lineRule="auto"/>
        <w:rPr>
          <w:sz w:val="20"/>
          <w:szCs w:val="20"/>
          <w:color w:val="auto"/>
        </w:rPr>
      </w:pPr>
      <w:r>
        <w:rPr>
          <w:rFonts w:ascii="Courier New" w:cs="Courier New" w:eastAsia="Courier New" w:hAnsi="Courier New"/>
          <w:sz w:val="13"/>
          <w:szCs w:val="13"/>
          <w:color w:val="auto"/>
        </w:rPr>
        <w:t>For the years ended December 31, 2002, 2001 and 2000 sales to SKF amounted to $64,235, $62,539 and $73,232, respectively, or 33.3%, 34.7% and 55.4% of consolidated revenues, respectively. For the years ended December 31, 2002, 2001 and 2000, sales to INA/FAG amounted to $36,502, $36,436 and $40,161, respectively or 18.9%, 20.2% and 30.4% of</w:t>
      </w:r>
    </w:p>
    <w:p>
      <w:pPr>
        <w:sectPr>
          <w:pgSz w:w="11900" w:h="16838" w:orient="portrait"/>
          <w:cols w:equalWidth="0" w:num="1">
            <w:col w:w="10239"/>
          </w:cols>
          <w:pgMar w:left="220" w:top="141" w:right="1440" w:bottom="0" w:gutter="0" w:footer="0" w:header="0"/>
        </w:sectPr>
      </w:pPr>
    </w:p>
    <w:bookmarkStart w:id="34" w:name="page35"/>
    <w:bookmarkEnd w:id="34"/>
    <w:p>
      <w:pPr>
        <w:ind w:left="560" w:right="3899"/>
        <w:spacing w:after="0" w:line="252" w:lineRule="auto"/>
        <w:rPr>
          <w:sz w:val="20"/>
          <w:szCs w:val="20"/>
          <w:color w:val="auto"/>
        </w:rPr>
      </w:pPr>
      <w:r>
        <w:rPr>
          <w:rFonts w:ascii="Courier New" w:cs="Courier New" w:eastAsia="Courier New" w:hAnsi="Courier New"/>
          <w:sz w:val="13"/>
          <w:szCs w:val="13"/>
          <w:color w:val="auto"/>
        </w:rPr>
        <w:t>consolidated revenues, respectively. None of the Company's other customers accounted for more than 5% of its net sales in 2002. Accounts receivable concentrations as of December 31, 2002 and 2001 are generally reflective of sales concentrations during the years then ended.</w:t>
      </w:r>
    </w:p>
    <w:p>
      <w:pPr>
        <w:spacing w:after="0" w:line="153" w:lineRule="exact"/>
        <w:rPr>
          <w:sz w:val="20"/>
          <w:szCs w:val="20"/>
          <w:color w:val="auto"/>
        </w:rPr>
      </w:pPr>
    </w:p>
    <w:p>
      <w:pPr>
        <w:ind w:left="560" w:hanging="558"/>
        <w:spacing w:after="0"/>
        <w:tabs>
          <w:tab w:leader="none" w:pos="560" w:val="left"/>
        </w:tabs>
        <w:numPr>
          <w:ilvl w:val="0"/>
          <w:numId w:val="19"/>
        </w:numPr>
        <w:rPr>
          <w:rFonts w:ascii="Courier New" w:cs="Courier New" w:eastAsia="Courier New" w:hAnsi="Courier New"/>
          <w:sz w:val="13"/>
          <w:szCs w:val="13"/>
          <w:b w:val="1"/>
          <w:bCs w:val="1"/>
          <w:color w:val="auto"/>
        </w:rPr>
      </w:pPr>
      <w:r>
        <w:rPr>
          <w:rFonts w:ascii="Courier New" w:cs="Courier New" w:eastAsia="Courier New" w:hAnsi="Courier New"/>
          <w:sz w:val="13"/>
          <w:szCs w:val="13"/>
          <w:b w:val="1"/>
          <w:bCs w:val="1"/>
          <w:color w:val="auto"/>
        </w:rPr>
        <w:t>Income Taxes</w:t>
      </w:r>
    </w:p>
    <w:p>
      <w:pPr>
        <w:spacing w:after="0" w:line="161" w:lineRule="exact"/>
        <w:rPr>
          <w:rFonts w:ascii="Courier New" w:cs="Courier New" w:eastAsia="Courier New" w:hAnsi="Courier New"/>
          <w:sz w:val="13"/>
          <w:szCs w:val="13"/>
          <w:b w:val="1"/>
          <w:bCs w:val="1"/>
          <w:color w:val="auto"/>
        </w:rPr>
      </w:pPr>
    </w:p>
    <w:p>
      <w:pPr>
        <w:ind w:left="560" w:right="4219"/>
        <w:spacing w:after="0" w:line="254" w:lineRule="auto"/>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Total income taxes (benefits) for the years ended December 31, 2002, 2001, and 2000 are allocated as follows:</w:t>
      </w:r>
    </w:p>
    <w:p>
      <w:pPr>
        <w:spacing w:after="0" w:line="151" w:lineRule="exact"/>
        <w:rPr>
          <w:sz w:val="20"/>
          <w:szCs w:val="20"/>
          <w:color w:val="auto"/>
        </w:rPr>
      </w:pPr>
    </w:p>
    <w:tbl>
      <w:tblPr>
        <w:tblLayout w:type="fixed"/>
        <w:tblInd w:w="480" w:type="dxa"/>
        <w:tblCellMar>
          <w:top w:w="0" w:type="dxa"/>
          <w:left w:w="0" w:type="dxa"/>
          <w:bottom w:w="0" w:type="dxa"/>
          <w:right w:w="0" w:type="dxa"/>
        </w:tblCellMar>
      </w:tblPr>
      <w:tr>
        <w:trPr>
          <w:trHeight w:val="149"/>
        </w:trPr>
        <w:tc>
          <w:tcPr>
            <w:tcW w:w="3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0" w:type="dxa"/>
            <w:vAlign w:val="bottom"/>
            <w:gridSpan w:val="2"/>
          </w:tcPr>
          <w:p>
            <w:pPr>
              <w:jc w:val="center"/>
              <w:ind w:right="13"/>
              <w:spacing w:after="0"/>
              <w:rPr>
                <w:sz w:val="20"/>
                <w:szCs w:val="20"/>
                <w:color w:val="auto"/>
              </w:rPr>
            </w:pPr>
            <w:r>
              <w:rPr>
                <w:rFonts w:ascii="Courier New" w:cs="Courier New" w:eastAsia="Courier New" w:hAnsi="Courier New"/>
                <w:sz w:val="13"/>
                <w:szCs w:val="13"/>
                <w:b w:val="1"/>
                <w:bCs w:val="1"/>
                <w:color w:val="auto"/>
              </w:rPr>
              <w:t>Year ended December 31,</w:t>
            </w:r>
          </w:p>
        </w:tc>
        <w:tc>
          <w:tcPr>
            <w:tcW w:w="10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4"/>
        </w:trPr>
        <w:tc>
          <w:tcPr>
            <w:tcW w:w="34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2002</w:t>
            </w:r>
          </w:p>
        </w:tc>
        <w:tc>
          <w:tcPr>
            <w:tcW w:w="6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2001</w:t>
            </w:r>
          </w:p>
        </w:tc>
        <w:tc>
          <w:tcPr>
            <w:tcW w:w="8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2000</w:t>
            </w:r>
          </w:p>
        </w:tc>
        <w:tc>
          <w:tcPr>
            <w:tcW w:w="640" w:type="dxa"/>
            <w:vAlign w:val="bottom"/>
          </w:tcPr>
          <w:p>
            <w:pPr>
              <w:spacing w:after="0"/>
              <w:rPr>
                <w:sz w:val="13"/>
                <w:szCs w:val="13"/>
                <w:color w:val="auto"/>
              </w:rPr>
            </w:pPr>
          </w:p>
        </w:tc>
      </w:tr>
      <w:tr>
        <w:trPr>
          <w:trHeight w:val="154"/>
        </w:trPr>
        <w:tc>
          <w:tcPr>
            <w:tcW w:w="3420" w:type="dxa"/>
            <w:vAlign w:val="bottom"/>
          </w:tcPr>
          <w:p>
            <w:pPr>
              <w:spacing w:after="0"/>
              <w:rPr>
                <w:sz w:val="13"/>
                <w:szCs w:val="13"/>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3"/>
                <w:szCs w:val="13"/>
                <w:b w:val="1"/>
                <w:bCs w:val="1"/>
                <w:color w:val="auto"/>
              </w:rPr>
              <w:t>-------------------</w:t>
            </w:r>
          </w:p>
        </w:tc>
        <w:tc>
          <w:tcPr>
            <w:tcW w:w="2000" w:type="dxa"/>
            <w:vAlign w:val="bottom"/>
            <w:gridSpan w:val="2"/>
          </w:tcPr>
          <w:p>
            <w:pPr>
              <w:jc w:val="right"/>
              <w:ind w:right="133"/>
              <w:spacing w:after="0"/>
              <w:rPr>
                <w:sz w:val="20"/>
                <w:szCs w:val="20"/>
                <w:color w:val="auto"/>
              </w:rPr>
            </w:pPr>
            <w:r>
              <w:rPr>
                <w:rFonts w:ascii="Courier New" w:cs="Courier New" w:eastAsia="Courier New" w:hAnsi="Courier New"/>
                <w:sz w:val="13"/>
                <w:szCs w:val="13"/>
                <w:b w:val="1"/>
                <w:bCs w:val="1"/>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3"/>
                <w:szCs w:val="13"/>
                <w:b w:val="1"/>
                <w:bCs w:val="1"/>
                <w:color w:val="auto"/>
              </w:rPr>
              <w:t>-------------------</w:t>
            </w:r>
          </w:p>
        </w:tc>
      </w:tr>
      <w:tr>
        <w:trPr>
          <w:trHeight w:val="154"/>
        </w:trPr>
        <w:tc>
          <w:tcPr>
            <w:tcW w:w="3420" w:type="dxa"/>
            <w:vAlign w:val="bottom"/>
          </w:tcPr>
          <w:p>
            <w:pPr>
              <w:spacing w:after="0"/>
              <w:rPr>
                <w:sz w:val="20"/>
                <w:szCs w:val="20"/>
                <w:color w:val="auto"/>
              </w:rPr>
            </w:pPr>
            <w:r>
              <w:rPr>
                <w:rFonts w:ascii="Courier New" w:cs="Courier New" w:eastAsia="Courier New" w:hAnsi="Courier New"/>
                <w:sz w:val="13"/>
                <w:szCs w:val="13"/>
                <w:color w:val="auto"/>
              </w:rPr>
              <w:t>Income from continuing operations:</w:t>
            </w:r>
          </w:p>
        </w:tc>
        <w:tc>
          <w:tcPr>
            <w:tcW w:w="10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jc w:val="right"/>
              <w:ind w:right="213"/>
              <w:spacing w:after="0"/>
              <w:rPr>
                <w:sz w:val="20"/>
                <w:szCs w:val="20"/>
                <w:color w:val="auto"/>
              </w:rPr>
            </w:pPr>
            <w:r>
              <w:rPr>
                <w:rFonts w:ascii="Courier New" w:cs="Courier New" w:eastAsia="Courier New" w:hAnsi="Courier New"/>
                <w:sz w:val="13"/>
                <w:szCs w:val="13"/>
                <w:color w:val="auto"/>
                <w:w w:val="97"/>
              </w:rPr>
              <w:t>6,457</w:t>
            </w:r>
          </w:p>
        </w:tc>
        <w:tc>
          <w:tcPr>
            <w:tcW w:w="1160" w:type="dxa"/>
            <w:vAlign w:val="bottom"/>
          </w:tcPr>
          <w:p>
            <w:pPr>
              <w:jc w:val="center"/>
              <w:ind w:left="693"/>
              <w:spacing w:after="0"/>
              <w:rPr>
                <w:sz w:val="20"/>
                <w:szCs w:val="20"/>
                <w:color w:val="auto"/>
              </w:rPr>
            </w:pPr>
            <w:r>
              <w:rPr>
                <w:rFonts w:ascii="Courier New" w:cs="Courier New" w:eastAsia="Courier New" w:hAnsi="Courier New"/>
                <w:sz w:val="13"/>
                <w:szCs w:val="13"/>
                <w:color w:val="auto"/>
              </w:rPr>
              <w:t>$</w:t>
            </w:r>
          </w:p>
        </w:tc>
        <w:tc>
          <w:tcPr>
            <w:tcW w:w="840" w:type="dxa"/>
            <w:vAlign w:val="bottom"/>
          </w:tcPr>
          <w:p>
            <w:pPr>
              <w:jc w:val="right"/>
              <w:ind w:right="373"/>
              <w:spacing w:after="0"/>
              <w:rPr>
                <w:sz w:val="20"/>
                <w:szCs w:val="20"/>
                <w:color w:val="auto"/>
              </w:rPr>
            </w:pPr>
            <w:r>
              <w:rPr>
                <w:rFonts w:ascii="Courier New" w:cs="Courier New" w:eastAsia="Courier New" w:hAnsi="Courier New"/>
                <w:sz w:val="13"/>
                <w:szCs w:val="13"/>
                <w:color w:val="auto"/>
                <w:w w:val="97"/>
              </w:rPr>
              <w:t>4,094</w:t>
            </w:r>
          </w:p>
        </w:tc>
        <w:tc>
          <w:tcPr>
            <w:tcW w:w="10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7"/>
              </w:rPr>
              <w:t>5,959</w:t>
            </w:r>
          </w:p>
        </w:tc>
      </w:tr>
      <w:tr>
        <w:trPr>
          <w:trHeight w:val="154"/>
        </w:trPr>
        <w:tc>
          <w:tcPr>
            <w:tcW w:w="3420" w:type="dxa"/>
            <w:vAlign w:val="bottom"/>
          </w:tcPr>
          <w:p>
            <w:pPr>
              <w:spacing w:after="0"/>
              <w:rPr>
                <w:sz w:val="20"/>
                <w:szCs w:val="20"/>
                <w:color w:val="auto"/>
              </w:rPr>
            </w:pPr>
            <w:r>
              <w:rPr>
                <w:rFonts w:ascii="Courier New" w:cs="Courier New" w:eastAsia="Courier New" w:hAnsi="Courier New"/>
                <w:sz w:val="13"/>
                <w:szCs w:val="13"/>
                <w:color w:val="auto"/>
              </w:rPr>
              <w:t>Cumulative effect of change in accounting</w:t>
            </w:r>
          </w:p>
        </w:tc>
        <w:tc>
          <w:tcPr>
            <w:tcW w:w="10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4"/>
        </w:trPr>
        <w:tc>
          <w:tcPr>
            <w:tcW w:w="3420" w:type="dxa"/>
            <w:vAlign w:val="bottom"/>
          </w:tcPr>
          <w:p>
            <w:pPr>
              <w:ind w:left="320"/>
              <w:spacing w:after="0"/>
              <w:rPr>
                <w:sz w:val="20"/>
                <w:szCs w:val="20"/>
                <w:color w:val="auto"/>
              </w:rPr>
            </w:pPr>
            <w:r>
              <w:rPr>
                <w:rFonts w:ascii="Courier New" w:cs="Courier New" w:eastAsia="Courier New" w:hAnsi="Courier New"/>
                <w:sz w:val="13"/>
                <w:szCs w:val="13"/>
                <w:color w:val="auto"/>
              </w:rPr>
              <w:t>principle</w:t>
            </w:r>
          </w:p>
        </w:tc>
        <w:tc>
          <w:tcPr>
            <w:tcW w:w="1000" w:type="dxa"/>
            <w:vAlign w:val="bottom"/>
          </w:tcPr>
          <w:p>
            <w:pPr>
              <w:spacing w:after="0"/>
              <w:rPr>
                <w:sz w:val="13"/>
                <w:szCs w:val="13"/>
                <w:color w:val="auto"/>
              </w:rPr>
            </w:pPr>
          </w:p>
        </w:tc>
        <w:tc>
          <w:tcPr>
            <w:tcW w:w="68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160" w:type="dxa"/>
            <w:vAlign w:val="bottom"/>
          </w:tcPr>
          <w:p>
            <w:pPr>
              <w:spacing w:after="0"/>
              <w:rPr>
                <w:sz w:val="13"/>
                <w:szCs w:val="13"/>
                <w:color w:val="auto"/>
              </w:rPr>
            </w:pPr>
          </w:p>
        </w:tc>
        <w:tc>
          <w:tcPr>
            <w:tcW w:w="84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(112)</w:t>
            </w:r>
          </w:p>
        </w:tc>
        <w:tc>
          <w:tcPr>
            <w:tcW w:w="1000" w:type="dxa"/>
            <w:vAlign w:val="bottom"/>
          </w:tcPr>
          <w:p>
            <w:pPr>
              <w:spacing w:after="0"/>
              <w:rPr>
                <w:sz w:val="13"/>
                <w:szCs w:val="13"/>
                <w:color w:val="auto"/>
              </w:rPr>
            </w:pPr>
          </w:p>
        </w:tc>
        <w:tc>
          <w:tcPr>
            <w:tcW w:w="64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r>
      <w:tr>
        <w:trPr>
          <w:trHeight w:val="154"/>
        </w:trPr>
        <w:tc>
          <w:tcPr>
            <w:tcW w:w="3420" w:type="dxa"/>
            <w:vAlign w:val="bottom"/>
          </w:tcPr>
          <w:p>
            <w:pPr>
              <w:spacing w:after="0"/>
              <w:rPr>
                <w:sz w:val="20"/>
                <w:szCs w:val="20"/>
                <w:color w:val="auto"/>
              </w:rPr>
            </w:pPr>
            <w:r>
              <w:rPr>
                <w:rFonts w:ascii="Courier New" w:cs="Courier New" w:eastAsia="Courier New" w:hAnsi="Courier New"/>
                <w:sz w:val="13"/>
                <w:szCs w:val="13"/>
                <w:color w:val="auto"/>
              </w:rPr>
              <w:t>Accumulated other comprehensive income</w:t>
            </w:r>
          </w:p>
        </w:tc>
        <w:tc>
          <w:tcPr>
            <w:tcW w:w="1000" w:type="dxa"/>
            <w:vAlign w:val="bottom"/>
          </w:tcPr>
          <w:p>
            <w:pPr>
              <w:spacing w:after="0"/>
              <w:rPr>
                <w:sz w:val="13"/>
                <w:szCs w:val="13"/>
                <w:color w:val="auto"/>
              </w:rPr>
            </w:pPr>
          </w:p>
        </w:tc>
        <w:tc>
          <w:tcPr>
            <w:tcW w:w="68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(16)</w:t>
            </w:r>
          </w:p>
        </w:tc>
        <w:tc>
          <w:tcPr>
            <w:tcW w:w="1160" w:type="dxa"/>
            <w:vAlign w:val="bottom"/>
          </w:tcPr>
          <w:p>
            <w:pPr>
              <w:spacing w:after="0"/>
              <w:rPr>
                <w:sz w:val="13"/>
                <w:szCs w:val="13"/>
                <w:color w:val="auto"/>
              </w:rPr>
            </w:pPr>
          </w:p>
        </w:tc>
        <w:tc>
          <w:tcPr>
            <w:tcW w:w="84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(31)</w:t>
            </w:r>
          </w:p>
        </w:tc>
        <w:tc>
          <w:tcPr>
            <w:tcW w:w="1000" w:type="dxa"/>
            <w:vAlign w:val="bottom"/>
          </w:tcPr>
          <w:p>
            <w:pPr>
              <w:spacing w:after="0"/>
              <w:rPr>
                <w:sz w:val="13"/>
                <w:szCs w:val="13"/>
                <w:color w:val="auto"/>
              </w:rPr>
            </w:pPr>
          </w:p>
        </w:tc>
        <w:tc>
          <w:tcPr>
            <w:tcW w:w="64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r>
      <w:tr>
        <w:trPr>
          <w:trHeight w:val="154"/>
        </w:trPr>
        <w:tc>
          <w:tcPr>
            <w:tcW w:w="3420" w:type="dxa"/>
            <w:vAlign w:val="bottom"/>
          </w:tcPr>
          <w:p>
            <w:pPr>
              <w:spacing w:after="0"/>
              <w:rPr>
                <w:sz w:val="13"/>
                <w:szCs w:val="13"/>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2000" w:type="dxa"/>
            <w:vAlign w:val="bottom"/>
            <w:gridSpan w:val="2"/>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3420" w:type="dxa"/>
            <w:vAlign w:val="bottom"/>
          </w:tcPr>
          <w:p>
            <w:pPr>
              <w:spacing w:after="0"/>
              <w:rPr>
                <w:sz w:val="13"/>
                <w:szCs w:val="13"/>
                <w:color w:val="auto"/>
              </w:rPr>
            </w:pPr>
          </w:p>
        </w:tc>
        <w:tc>
          <w:tcPr>
            <w:tcW w:w="10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jc w:val="right"/>
              <w:ind w:right="213"/>
              <w:spacing w:after="0"/>
              <w:rPr>
                <w:sz w:val="20"/>
                <w:szCs w:val="20"/>
                <w:color w:val="auto"/>
              </w:rPr>
            </w:pPr>
            <w:r>
              <w:rPr>
                <w:rFonts w:ascii="Courier New" w:cs="Courier New" w:eastAsia="Courier New" w:hAnsi="Courier New"/>
                <w:sz w:val="13"/>
                <w:szCs w:val="13"/>
                <w:color w:val="auto"/>
                <w:w w:val="97"/>
              </w:rPr>
              <w:t>6,441</w:t>
            </w:r>
          </w:p>
        </w:tc>
        <w:tc>
          <w:tcPr>
            <w:tcW w:w="1160" w:type="dxa"/>
            <w:vAlign w:val="bottom"/>
          </w:tcPr>
          <w:p>
            <w:pPr>
              <w:jc w:val="center"/>
              <w:ind w:left="693"/>
              <w:spacing w:after="0"/>
              <w:rPr>
                <w:sz w:val="20"/>
                <w:szCs w:val="20"/>
                <w:color w:val="auto"/>
              </w:rPr>
            </w:pPr>
            <w:r>
              <w:rPr>
                <w:rFonts w:ascii="Courier New" w:cs="Courier New" w:eastAsia="Courier New" w:hAnsi="Courier New"/>
                <w:sz w:val="13"/>
                <w:szCs w:val="13"/>
                <w:color w:val="auto"/>
              </w:rPr>
              <w:t>$</w:t>
            </w:r>
          </w:p>
        </w:tc>
        <w:tc>
          <w:tcPr>
            <w:tcW w:w="840" w:type="dxa"/>
            <w:vAlign w:val="bottom"/>
          </w:tcPr>
          <w:p>
            <w:pPr>
              <w:jc w:val="right"/>
              <w:ind w:right="373"/>
              <w:spacing w:after="0"/>
              <w:rPr>
                <w:sz w:val="20"/>
                <w:szCs w:val="20"/>
                <w:color w:val="auto"/>
              </w:rPr>
            </w:pPr>
            <w:r>
              <w:rPr>
                <w:rFonts w:ascii="Courier New" w:cs="Courier New" w:eastAsia="Courier New" w:hAnsi="Courier New"/>
                <w:sz w:val="13"/>
                <w:szCs w:val="13"/>
                <w:color w:val="auto"/>
                <w:w w:val="97"/>
              </w:rPr>
              <w:t>3,951</w:t>
            </w:r>
          </w:p>
        </w:tc>
        <w:tc>
          <w:tcPr>
            <w:tcW w:w="10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7"/>
              </w:rPr>
              <w:t>5,959</w:t>
            </w:r>
          </w:p>
        </w:tc>
      </w:tr>
      <w:tr>
        <w:trPr>
          <w:trHeight w:val="154"/>
        </w:trPr>
        <w:tc>
          <w:tcPr>
            <w:tcW w:w="3420" w:type="dxa"/>
            <w:vAlign w:val="bottom"/>
          </w:tcPr>
          <w:p>
            <w:pPr>
              <w:spacing w:after="0"/>
              <w:rPr>
                <w:sz w:val="13"/>
                <w:szCs w:val="13"/>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2000" w:type="dxa"/>
            <w:vAlign w:val="bottom"/>
            <w:gridSpan w:val="2"/>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r>
    </w:tbl>
    <w:p>
      <w:pPr>
        <w:spacing w:after="0" w:line="159" w:lineRule="exact"/>
        <w:rPr>
          <w:sz w:val="20"/>
          <w:szCs w:val="20"/>
          <w:color w:val="auto"/>
        </w:rPr>
      </w:pPr>
    </w:p>
    <w:p>
      <w:pPr>
        <w:ind w:left="5700"/>
        <w:spacing w:after="0"/>
        <w:rPr>
          <w:sz w:val="20"/>
          <w:szCs w:val="20"/>
          <w:color w:val="auto"/>
        </w:rPr>
      </w:pPr>
      <w:r>
        <w:rPr>
          <w:rFonts w:ascii="Courier New" w:cs="Courier New" w:eastAsia="Courier New" w:hAnsi="Courier New"/>
          <w:sz w:val="13"/>
          <w:szCs w:val="13"/>
          <w:color w:val="auto"/>
        </w:rPr>
        <w:t>Continued</w:t>
      </w:r>
    </w:p>
    <w:p>
      <w:pPr>
        <w:spacing w:after="0" w:line="315"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3"/>
          <w:szCs w:val="13"/>
          <w:b w:val="1"/>
          <w:bCs w:val="1"/>
          <w:color w:val="auto"/>
        </w:rPr>
        <w:t>NN, Inc.</w:t>
      </w:r>
    </w:p>
    <w:p>
      <w:pPr>
        <w:spacing w:after="0" w:line="7"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3"/>
          <w:szCs w:val="13"/>
          <w:b w:val="1"/>
          <w:bCs w:val="1"/>
          <w:color w:val="auto"/>
        </w:rPr>
        <w:t>Notes to Consolidated Financial Statements</w:t>
      </w:r>
    </w:p>
    <w:p>
      <w:pPr>
        <w:spacing w:after="0" w:line="7" w:lineRule="exact"/>
        <w:rPr>
          <w:sz w:val="20"/>
          <w:szCs w:val="20"/>
          <w:color w:val="auto"/>
        </w:rPr>
      </w:pPr>
    </w:p>
    <w:p>
      <w:pPr>
        <w:ind w:left="1920"/>
        <w:spacing w:after="0"/>
        <w:rPr>
          <w:sz w:val="20"/>
          <w:szCs w:val="20"/>
          <w:color w:val="auto"/>
        </w:rPr>
      </w:pPr>
      <w:r>
        <w:rPr>
          <w:rFonts w:ascii="Courier New" w:cs="Courier New" w:eastAsia="Courier New" w:hAnsi="Courier New"/>
          <w:sz w:val="13"/>
          <w:szCs w:val="13"/>
          <w:b w:val="1"/>
          <w:bCs w:val="1"/>
          <w:color w:val="auto"/>
        </w:rPr>
        <w:t>December 31, 2002, 2001 and 2000</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3"/>
          <w:szCs w:val="13"/>
          <w:b w:val="1"/>
          <w:bCs w:val="1"/>
          <w:color w:val="auto"/>
        </w:rPr>
        <w:t>(In thousands, except per share data)</w:t>
      </w:r>
    </w:p>
    <w:p>
      <w:pPr>
        <w:spacing w:after="0" w:line="315" w:lineRule="exact"/>
        <w:rPr>
          <w:sz w:val="20"/>
          <w:szCs w:val="20"/>
          <w:color w:val="auto"/>
        </w:rPr>
      </w:pPr>
    </w:p>
    <w:p>
      <w:pPr>
        <w:ind w:right="4219" w:firstLine="561"/>
        <w:spacing w:after="0" w:line="254" w:lineRule="auto"/>
        <w:rPr>
          <w:sz w:val="20"/>
          <w:szCs w:val="20"/>
          <w:color w:val="auto"/>
        </w:rPr>
      </w:pPr>
      <w:r>
        <w:rPr>
          <w:rFonts w:ascii="Courier New" w:cs="Courier New" w:eastAsia="Courier New" w:hAnsi="Courier New"/>
          <w:sz w:val="13"/>
          <w:szCs w:val="13"/>
          <w:color w:val="auto"/>
        </w:rPr>
        <w:t>Income tax expense attributable to income from continuing operations consists of:</w:t>
      </w:r>
    </w:p>
    <w:p>
      <w:pPr>
        <w:spacing w:after="0" w:line="151" w:lineRule="exact"/>
        <w:rPr>
          <w:sz w:val="20"/>
          <w:szCs w:val="20"/>
          <w:color w:val="auto"/>
        </w:rPr>
      </w:pPr>
    </w:p>
    <w:tbl>
      <w:tblPr>
        <w:tblLayout w:type="fixed"/>
        <w:tblInd w:w="480" w:type="dxa"/>
        <w:tblCellMar>
          <w:top w:w="0" w:type="dxa"/>
          <w:left w:w="0" w:type="dxa"/>
          <w:bottom w:w="0" w:type="dxa"/>
          <w:right w:w="0" w:type="dxa"/>
        </w:tblCellMar>
      </w:tblPr>
      <w:tr>
        <w:trPr>
          <w:trHeight w:val="149"/>
        </w:trPr>
        <w:tc>
          <w:tcPr>
            <w:tcW w:w="3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40" w:type="dxa"/>
            <w:vAlign w:val="bottom"/>
            <w:gridSpan w:val="4"/>
          </w:tcPr>
          <w:p>
            <w:pPr>
              <w:spacing w:after="0"/>
              <w:rPr>
                <w:sz w:val="20"/>
                <w:szCs w:val="20"/>
                <w:color w:val="auto"/>
              </w:rPr>
            </w:pPr>
            <w:r>
              <w:rPr>
                <w:rFonts w:ascii="Courier New" w:cs="Courier New" w:eastAsia="Courier New" w:hAnsi="Courier New"/>
                <w:sz w:val="13"/>
                <w:szCs w:val="13"/>
                <w:b w:val="1"/>
                <w:bCs w:val="1"/>
                <w:color w:val="auto"/>
              </w:rPr>
              <w:t>Year ended December 31,</w:t>
            </w:r>
          </w:p>
        </w:tc>
        <w:tc>
          <w:tcPr>
            <w:tcW w:w="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4"/>
        </w:trPr>
        <w:tc>
          <w:tcPr>
            <w:tcW w:w="37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3"/>
                <w:szCs w:val="13"/>
                <w:b w:val="1"/>
                <w:bCs w:val="1"/>
                <w:color w:val="auto"/>
                <w:w w:val="95"/>
              </w:rPr>
              <w:t>2002</w:t>
            </w: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2001</w:t>
            </w:r>
          </w:p>
        </w:tc>
        <w:tc>
          <w:tcPr>
            <w:tcW w:w="440" w:type="dxa"/>
            <w:vAlign w:val="bottom"/>
          </w:tcPr>
          <w:p>
            <w:pPr>
              <w:spacing w:after="0"/>
              <w:rPr>
                <w:sz w:val="13"/>
                <w:szCs w:val="13"/>
                <w:color w:val="auto"/>
              </w:rPr>
            </w:pPr>
          </w:p>
        </w:tc>
        <w:tc>
          <w:tcPr>
            <w:tcW w:w="1760" w:type="dxa"/>
            <w:vAlign w:val="bottom"/>
            <w:gridSpan w:val="2"/>
          </w:tcPr>
          <w:p>
            <w:pPr>
              <w:ind w:left="680"/>
              <w:spacing w:after="0"/>
              <w:rPr>
                <w:sz w:val="20"/>
                <w:szCs w:val="20"/>
                <w:color w:val="auto"/>
              </w:rPr>
            </w:pPr>
            <w:r>
              <w:rPr>
                <w:rFonts w:ascii="Courier New" w:cs="Courier New" w:eastAsia="Courier New" w:hAnsi="Courier New"/>
                <w:sz w:val="13"/>
                <w:szCs w:val="13"/>
                <w:b w:val="1"/>
                <w:bCs w:val="1"/>
                <w:color w:val="auto"/>
              </w:rPr>
              <w:t>2000</w:t>
            </w:r>
          </w:p>
        </w:tc>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4"/>
        </w:trPr>
        <w:tc>
          <w:tcPr>
            <w:tcW w:w="4100" w:type="dxa"/>
            <w:vAlign w:val="bottom"/>
            <w:gridSpan w:val="2"/>
          </w:tcPr>
          <w:p>
            <w:pPr>
              <w:jc w:val="right"/>
              <w:spacing w:after="0"/>
              <w:rPr>
                <w:sz w:val="20"/>
                <w:szCs w:val="20"/>
                <w:color w:val="auto"/>
              </w:rPr>
            </w:pPr>
            <w:r>
              <w:rPr>
                <w:rFonts w:ascii="Courier New" w:cs="Courier New" w:eastAsia="Courier New" w:hAnsi="Courier New"/>
                <w:sz w:val="13"/>
                <w:szCs w:val="13"/>
                <w:b w:val="1"/>
                <w:bCs w:val="1"/>
                <w:color w:val="auto"/>
              </w:rPr>
              <w:t>----------------</w:t>
            </w:r>
          </w:p>
        </w:tc>
        <w:tc>
          <w:tcPr>
            <w:tcW w:w="720" w:type="dxa"/>
            <w:vAlign w:val="bottom"/>
          </w:tcPr>
          <w:p>
            <w:pPr>
              <w:spacing w:after="0"/>
              <w:rPr>
                <w:sz w:val="13"/>
                <w:szCs w:val="13"/>
                <w:color w:val="auto"/>
              </w:rPr>
            </w:pPr>
          </w:p>
        </w:tc>
        <w:tc>
          <w:tcPr>
            <w:tcW w:w="1320" w:type="dxa"/>
            <w:vAlign w:val="bottom"/>
            <w:gridSpan w:val="3"/>
          </w:tcPr>
          <w:p>
            <w:pPr>
              <w:jc w:val="right"/>
              <w:spacing w:after="0"/>
              <w:rPr>
                <w:sz w:val="20"/>
                <w:szCs w:val="20"/>
                <w:color w:val="auto"/>
              </w:rPr>
            </w:pPr>
            <w:r>
              <w:rPr>
                <w:rFonts w:ascii="Courier New" w:cs="Courier New" w:eastAsia="Courier New" w:hAnsi="Courier New"/>
                <w:sz w:val="13"/>
                <w:szCs w:val="13"/>
                <w:b w:val="1"/>
                <w:bCs w:val="1"/>
                <w:color w:val="auto"/>
              </w:rPr>
              <w:t>----------------</w:t>
            </w:r>
          </w:p>
        </w:tc>
        <w:tc>
          <w:tcPr>
            <w:tcW w:w="1760" w:type="dxa"/>
            <w:vAlign w:val="bottom"/>
            <w:gridSpan w:val="2"/>
          </w:tcPr>
          <w:p>
            <w:pPr>
              <w:jc w:val="right"/>
              <w:ind w:right="53"/>
              <w:spacing w:after="0"/>
              <w:rPr>
                <w:sz w:val="20"/>
                <w:szCs w:val="20"/>
                <w:color w:val="auto"/>
              </w:rPr>
            </w:pPr>
            <w:r>
              <w:rPr>
                <w:rFonts w:ascii="Courier New" w:cs="Courier New" w:eastAsia="Courier New" w:hAnsi="Courier New"/>
                <w:sz w:val="13"/>
                <w:szCs w:val="13"/>
                <w:b w:val="1"/>
                <w:bCs w:val="1"/>
                <w:color w:val="auto"/>
              </w:rPr>
              <w:t>-------------------</w:t>
            </w:r>
          </w:p>
        </w:tc>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308"/>
        </w:trPr>
        <w:tc>
          <w:tcPr>
            <w:tcW w:w="3780" w:type="dxa"/>
            <w:vAlign w:val="bottom"/>
          </w:tcPr>
          <w:p>
            <w:pPr>
              <w:spacing w:after="0"/>
              <w:rPr>
                <w:sz w:val="20"/>
                <w:szCs w:val="20"/>
                <w:color w:val="auto"/>
              </w:rPr>
            </w:pPr>
            <w:r>
              <w:rPr>
                <w:rFonts w:ascii="Courier New" w:cs="Courier New" w:eastAsia="Courier New" w:hAnsi="Courier New"/>
                <w:sz w:val="13"/>
                <w:szCs w:val="13"/>
                <w:color w:val="auto"/>
              </w:rPr>
              <w:t>Current:</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54"/>
        </w:trPr>
        <w:tc>
          <w:tcPr>
            <w:tcW w:w="3780" w:type="dxa"/>
            <w:vAlign w:val="bottom"/>
          </w:tcPr>
          <w:p>
            <w:pPr>
              <w:ind w:left="320"/>
              <w:spacing w:after="0"/>
              <w:rPr>
                <w:sz w:val="20"/>
                <w:szCs w:val="20"/>
                <w:color w:val="auto"/>
              </w:rPr>
            </w:pPr>
            <w:r>
              <w:rPr>
                <w:rFonts w:ascii="Courier New" w:cs="Courier New" w:eastAsia="Courier New" w:hAnsi="Courier New"/>
                <w:sz w:val="13"/>
                <w:szCs w:val="13"/>
                <w:color w:val="auto"/>
              </w:rPr>
              <w:t>U.S. Federal</w:t>
            </w:r>
          </w:p>
        </w:tc>
        <w:tc>
          <w:tcPr>
            <w:tcW w:w="3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257"/>
              <w:spacing w:after="0"/>
              <w:rPr>
                <w:sz w:val="20"/>
                <w:szCs w:val="20"/>
                <w:color w:val="auto"/>
              </w:rPr>
            </w:pPr>
            <w:r>
              <w:rPr>
                <w:rFonts w:ascii="Courier New" w:cs="Courier New" w:eastAsia="Courier New" w:hAnsi="Courier New"/>
                <w:sz w:val="13"/>
                <w:szCs w:val="13"/>
                <w:color w:val="auto"/>
                <w:w w:val="97"/>
              </w:rPr>
              <w:t>1,753</w:t>
            </w:r>
          </w:p>
        </w:tc>
        <w:tc>
          <w:tcPr>
            <w:tcW w:w="280" w:type="dxa"/>
            <w:vAlign w:val="bottom"/>
          </w:tcPr>
          <w:p>
            <w:pPr>
              <w:spacing w:after="0"/>
              <w:rPr>
                <w:sz w:val="13"/>
                <w:szCs w:val="13"/>
                <w:color w:val="auto"/>
              </w:rPr>
            </w:pPr>
          </w:p>
        </w:tc>
        <w:tc>
          <w:tcPr>
            <w:tcW w:w="6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3"/>
                <w:szCs w:val="13"/>
                <w:color w:val="auto"/>
                <w:w w:val="97"/>
              </w:rPr>
              <w:t>1,025</w:t>
            </w:r>
          </w:p>
        </w:tc>
        <w:tc>
          <w:tcPr>
            <w:tcW w:w="920" w:type="dxa"/>
            <w:vAlign w:val="bottom"/>
          </w:tcPr>
          <w:p>
            <w:pPr>
              <w:jc w:val="center"/>
              <w:ind w:left="613"/>
              <w:spacing w:after="0"/>
              <w:rPr>
                <w:sz w:val="20"/>
                <w:szCs w:val="20"/>
                <w:color w:val="auto"/>
              </w:rPr>
            </w:pPr>
            <w:r>
              <w:rPr>
                <w:rFonts w:ascii="Courier New" w:cs="Courier New" w:eastAsia="Courier New" w:hAnsi="Courier New"/>
                <w:sz w:val="13"/>
                <w:szCs w:val="13"/>
                <w:color w:val="auto"/>
              </w:rPr>
              <w:t>$</w:t>
            </w:r>
          </w:p>
        </w:tc>
        <w:tc>
          <w:tcPr>
            <w:tcW w:w="84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3,496</w:t>
            </w:r>
          </w:p>
        </w:tc>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4"/>
        </w:trPr>
        <w:tc>
          <w:tcPr>
            <w:tcW w:w="3780" w:type="dxa"/>
            <w:vAlign w:val="bottom"/>
          </w:tcPr>
          <w:p>
            <w:pPr>
              <w:ind w:left="320"/>
              <w:spacing w:after="0"/>
              <w:rPr>
                <w:sz w:val="20"/>
                <w:szCs w:val="20"/>
                <w:color w:val="auto"/>
              </w:rPr>
            </w:pPr>
            <w:r>
              <w:rPr>
                <w:rFonts w:ascii="Courier New" w:cs="Courier New" w:eastAsia="Courier New" w:hAnsi="Courier New"/>
                <w:sz w:val="13"/>
                <w:szCs w:val="13"/>
                <w:color w:val="auto"/>
              </w:rPr>
              <w:t>State</w:t>
            </w:r>
          </w:p>
        </w:tc>
        <w:tc>
          <w:tcPr>
            <w:tcW w:w="320" w:type="dxa"/>
            <w:vAlign w:val="bottom"/>
          </w:tcPr>
          <w:p>
            <w:pPr>
              <w:spacing w:after="0"/>
              <w:rPr>
                <w:sz w:val="13"/>
                <w:szCs w:val="13"/>
                <w:color w:val="auto"/>
              </w:rPr>
            </w:pPr>
          </w:p>
        </w:tc>
        <w:tc>
          <w:tcPr>
            <w:tcW w:w="720" w:type="dxa"/>
            <w:vAlign w:val="bottom"/>
          </w:tcPr>
          <w:p>
            <w:pPr>
              <w:jc w:val="right"/>
              <w:ind w:right="257"/>
              <w:spacing w:after="0"/>
              <w:rPr>
                <w:sz w:val="20"/>
                <w:szCs w:val="20"/>
                <w:color w:val="auto"/>
              </w:rPr>
            </w:pPr>
            <w:r>
              <w:rPr>
                <w:rFonts w:ascii="Courier New" w:cs="Courier New" w:eastAsia="Courier New" w:hAnsi="Courier New"/>
                <w:sz w:val="13"/>
                <w:szCs w:val="13"/>
                <w:color w:val="auto"/>
              </w:rPr>
              <w:t>249</w:t>
            </w: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3"/>
                <w:szCs w:val="13"/>
                <w:color w:val="auto"/>
              </w:rPr>
              <w:t>146</w:t>
            </w:r>
          </w:p>
        </w:tc>
        <w:tc>
          <w:tcPr>
            <w:tcW w:w="920" w:type="dxa"/>
            <w:vAlign w:val="bottom"/>
          </w:tcPr>
          <w:p>
            <w:pPr>
              <w:spacing w:after="0"/>
              <w:rPr>
                <w:sz w:val="13"/>
                <w:szCs w:val="13"/>
                <w:color w:val="auto"/>
              </w:rPr>
            </w:pPr>
          </w:p>
        </w:tc>
        <w:tc>
          <w:tcPr>
            <w:tcW w:w="84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452</w:t>
            </w:r>
          </w:p>
        </w:tc>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4"/>
        </w:trPr>
        <w:tc>
          <w:tcPr>
            <w:tcW w:w="3780" w:type="dxa"/>
            <w:vAlign w:val="bottom"/>
          </w:tcPr>
          <w:p>
            <w:pPr>
              <w:ind w:left="320"/>
              <w:spacing w:after="0"/>
              <w:rPr>
                <w:sz w:val="20"/>
                <w:szCs w:val="20"/>
                <w:color w:val="auto"/>
              </w:rPr>
            </w:pPr>
            <w:r>
              <w:rPr>
                <w:rFonts w:ascii="Courier New" w:cs="Courier New" w:eastAsia="Courier New" w:hAnsi="Courier New"/>
                <w:sz w:val="13"/>
                <w:szCs w:val="13"/>
                <w:color w:val="auto"/>
              </w:rPr>
              <w:t>Non-U.S.</w:t>
            </w:r>
          </w:p>
        </w:tc>
        <w:tc>
          <w:tcPr>
            <w:tcW w:w="320" w:type="dxa"/>
            <w:vAlign w:val="bottom"/>
          </w:tcPr>
          <w:p>
            <w:pPr>
              <w:spacing w:after="0"/>
              <w:rPr>
                <w:sz w:val="13"/>
                <w:szCs w:val="13"/>
                <w:color w:val="auto"/>
              </w:rPr>
            </w:pPr>
          </w:p>
        </w:tc>
        <w:tc>
          <w:tcPr>
            <w:tcW w:w="720" w:type="dxa"/>
            <w:vAlign w:val="bottom"/>
          </w:tcPr>
          <w:p>
            <w:pPr>
              <w:jc w:val="right"/>
              <w:ind w:right="257"/>
              <w:spacing w:after="0"/>
              <w:rPr>
                <w:sz w:val="20"/>
                <w:szCs w:val="20"/>
                <w:color w:val="auto"/>
              </w:rPr>
            </w:pPr>
            <w:r>
              <w:rPr>
                <w:rFonts w:ascii="Courier New" w:cs="Courier New" w:eastAsia="Courier New" w:hAnsi="Courier New"/>
                <w:sz w:val="13"/>
                <w:szCs w:val="13"/>
                <w:color w:val="auto"/>
                <w:w w:val="97"/>
              </w:rPr>
              <w:t>1,891</w:t>
            </w: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3"/>
                <w:szCs w:val="13"/>
                <w:color w:val="auto"/>
                <w:w w:val="97"/>
              </w:rPr>
              <w:t>1,627</w:t>
            </w:r>
          </w:p>
        </w:tc>
        <w:tc>
          <w:tcPr>
            <w:tcW w:w="920" w:type="dxa"/>
            <w:vAlign w:val="bottom"/>
          </w:tcPr>
          <w:p>
            <w:pPr>
              <w:spacing w:after="0"/>
              <w:rPr>
                <w:sz w:val="13"/>
                <w:szCs w:val="13"/>
                <w:color w:val="auto"/>
              </w:rPr>
            </w:pPr>
          </w:p>
        </w:tc>
        <w:tc>
          <w:tcPr>
            <w:tcW w:w="84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826</w:t>
            </w:r>
          </w:p>
        </w:tc>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4"/>
        </w:trPr>
        <w:tc>
          <w:tcPr>
            <w:tcW w:w="41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spacing w:after="0"/>
              <w:rPr>
                <w:sz w:val="13"/>
                <w:szCs w:val="13"/>
                <w:color w:val="auto"/>
              </w:rPr>
            </w:pPr>
          </w:p>
        </w:tc>
        <w:tc>
          <w:tcPr>
            <w:tcW w:w="1320" w:type="dxa"/>
            <w:vAlign w:val="bottom"/>
            <w:gridSpan w:val="3"/>
          </w:tcPr>
          <w:p>
            <w:pPr>
              <w:jc w:val="right"/>
              <w:spacing w:after="0"/>
              <w:rPr>
                <w:sz w:val="20"/>
                <w:szCs w:val="20"/>
                <w:color w:val="auto"/>
              </w:rPr>
            </w:pPr>
            <w:r>
              <w:rPr>
                <w:rFonts w:ascii="Courier New" w:cs="Courier New" w:eastAsia="Courier New" w:hAnsi="Courier New"/>
                <w:sz w:val="13"/>
                <w:szCs w:val="13"/>
                <w:color w:val="auto"/>
              </w:rPr>
              <w:t>----------------</w:t>
            </w:r>
          </w:p>
        </w:tc>
        <w:tc>
          <w:tcPr>
            <w:tcW w:w="1760" w:type="dxa"/>
            <w:vAlign w:val="bottom"/>
            <w:gridSpan w:val="2"/>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4"/>
        </w:trPr>
        <w:tc>
          <w:tcPr>
            <w:tcW w:w="3780" w:type="dxa"/>
            <w:vAlign w:val="bottom"/>
          </w:tcPr>
          <w:p>
            <w:pPr>
              <w:spacing w:after="0"/>
              <w:rPr>
                <w:sz w:val="13"/>
                <w:szCs w:val="13"/>
                <w:color w:val="auto"/>
              </w:rPr>
            </w:pPr>
          </w:p>
        </w:tc>
        <w:tc>
          <w:tcPr>
            <w:tcW w:w="3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257"/>
              <w:spacing w:after="0"/>
              <w:rPr>
                <w:sz w:val="20"/>
                <w:szCs w:val="20"/>
                <w:color w:val="auto"/>
              </w:rPr>
            </w:pPr>
            <w:r>
              <w:rPr>
                <w:rFonts w:ascii="Courier New" w:cs="Courier New" w:eastAsia="Courier New" w:hAnsi="Courier New"/>
                <w:sz w:val="13"/>
                <w:szCs w:val="13"/>
                <w:color w:val="auto"/>
                <w:w w:val="97"/>
              </w:rPr>
              <w:t>3,893</w:t>
            </w:r>
          </w:p>
        </w:tc>
        <w:tc>
          <w:tcPr>
            <w:tcW w:w="280" w:type="dxa"/>
            <w:vAlign w:val="bottom"/>
          </w:tcPr>
          <w:p>
            <w:pPr>
              <w:spacing w:after="0"/>
              <w:rPr>
                <w:sz w:val="13"/>
                <w:szCs w:val="13"/>
                <w:color w:val="auto"/>
              </w:rPr>
            </w:pPr>
          </w:p>
        </w:tc>
        <w:tc>
          <w:tcPr>
            <w:tcW w:w="6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3"/>
                <w:szCs w:val="13"/>
                <w:color w:val="auto"/>
                <w:w w:val="97"/>
              </w:rPr>
              <w:t>2,798</w:t>
            </w:r>
          </w:p>
        </w:tc>
        <w:tc>
          <w:tcPr>
            <w:tcW w:w="920" w:type="dxa"/>
            <w:vAlign w:val="bottom"/>
          </w:tcPr>
          <w:p>
            <w:pPr>
              <w:jc w:val="center"/>
              <w:ind w:left="613"/>
              <w:spacing w:after="0"/>
              <w:rPr>
                <w:sz w:val="20"/>
                <w:szCs w:val="20"/>
                <w:color w:val="auto"/>
              </w:rPr>
            </w:pPr>
            <w:r>
              <w:rPr>
                <w:rFonts w:ascii="Courier New" w:cs="Courier New" w:eastAsia="Courier New" w:hAnsi="Courier New"/>
                <w:sz w:val="13"/>
                <w:szCs w:val="13"/>
                <w:color w:val="auto"/>
              </w:rPr>
              <w:t>$</w:t>
            </w:r>
          </w:p>
        </w:tc>
        <w:tc>
          <w:tcPr>
            <w:tcW w:w="84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4,774</w:t>
            </w:r>
          </w:p>
        </w:tc>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4"/>
        </w:trPr>
        <w:tc>
          <w:tcPr>
            <w:tcW w:w="41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spacing w:after="0"/>
              <w:rPr>
                <w:sz w:val="13"/>
                <w:szCs w:val="13"/>
                <w:color w:val="auto"/>
              </w:rPr>
            </w:pPr>
          </w:p>
        </w:tc>
        <w:tc>
          <w:tcPr>
            <w:tcW w:w="1320" w:type="dxa"/>
            <w:vAlign w:val="bottom"/>
            <w:gridSpan w:val="3"/>
          </w:tcPr>
          <w:p>
            <w:pPr>
              <w:jc w:val="right"/>
              <w:spacing w:after="0"/>
              <w:rPr>
                <w:sz w:val="20"/>
                <w:szCs w:val="20"/>
                <w:color w:val="auto"/>
              </w:rPr>
            </w:pPr>
            <w:r>
              <w:rPr>
                <w:rFonts w:ascii="Courier New" w:cs="Courier New" w:eastAsia="Courier New" w:hAnsi="Courier New"/>
                <w:sz w:val="13"/>
                <w:szCs w:val="13"/>
                <w:color w:val="auto"/>
              </w:rPr>
              <w:t>----------------</w:t>
            </w:r>
          </w:p>
        </w:tc>
        <w:tc>
          <w:tcPr>
            <w:tcW w:w="1760" w:type="dxa"/>
            <w:vAlign w:val="bottom"/>
            <w:gridSpan w:val="2"/>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308"/>
        </w:trPr>
        <w:tc>
          <w:tcPr>
            <w:tcW w:w="3780" w:type="dxa"/>
            <w:vAlign w:val="bottom"/>
          </w:tcPr>
          <w:p>
            <w:pPr>
              <w:spacing w:after="0"/>
              <w:rPr>
                <w:sz w:val="20"/>
                <w:szCs w:val="20"/>
                <w:color w:val="auto"/>
              </w:rPr>
            </w:pPr>
            <w:r>
              <w:rPr>
                <w:rFonts w:ascii="Courier New" w:cs="Courier New" w:eastAsia="Courier New" w:hAnsi="Courier New"/>
                <w:sz w:val="13"/>
                <w:szCs w:val="13"/>
                <w:color w:val="auto"/>
              </w:rPr>
              <w:t>Deferred:</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54"/>
        </w:trPr>
        <w:tc>
          <w:tcPr>
            <w:tcW w:w="3780" w:type="dxa"/>
            <w:vAlign w:val="bottom"/>
          </w:tcPr>
          <w:p>
            <w:pPr>
              <w:ind w:left="320"/>
              <w:spacing w:after="0"/>
              <w:rPr>
                <w:sz w:val="20"/>
                <w:szCs w:val="20"/>
                <w:color w:val="auto"/>
              </w:rPr>
            </w:pPr>
            <w:r>
              <w:rPr>
                <w:rFonts w:ascii="Courier New" w:cs="Courier New" w:eastAsia="Courier New" w:hAnsi="Courier New"/>
                <w:sz w:val="13"/>
                <w:szCs w:val="13"/>
                <w:color w:val="auto"/>
              </w:rPr>
              <w:t>U.S. Federal</w:t>
            </w:r>
          </w:p>
        </w:tc>
        <w:tc>
          <w:tcPr>
            <w:tcW w:w="3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257"/>
              <w:spacing w:after="0"/>
              <w:rPr>
                <w:sz w:val="20"/>
                <w:szCs w:val="20"/>
                <w:color w:val="auto"/>
              </w:rPr>
            </w:pPr>
            <w:r>
              <w:rPr>
                <w:rFonts w:ascii="Courier New" w:cs="Courier New" w:eastAsia="Courier New" w:hAnsi="Courier New"/>
                <w:sz w:val="13"/>
                <w:szCs w:val="13"/>
                <w:color w:val="auto"/>
              </w:rPr>
              <w:t>533</w:t>
            </w:r>
          </w:p>
        </w:tc>
        <w:tc>
          <w:tcPr>
            <w:tcW w:w="280" w:type="dxa"/>
            <w:vAlign w:val="bottom"/>
          </w:tcPr>
          <w:p>
            <w:pPr>
              <w:spacing w:after="0"/>
              <w:rPr>
                <w:sz w:val="13"/>
                <w:szCs w:val="13"/>
                <w:color w:val="auto"/>
              </w:rPr>
            </w:pPr>
          </w:p>
        </w:tc>
        <w:tc>
          <w:tcPr>
            <w:tcW w:w="6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3"/>
                <w:szCs w:val="13"/>
                <w:color w:val="auto"/>
              </w:rPr>
              <w:t>557</w:t>
            </w:r>
          </w:p>
        </w:tc>
        <w:tc>
          <w:tcPr>
            <w:tcW w:w="920" w:type="dxa"/>
            <w:vAlign w:val="bottom"/>
          </w:tcPr>
          <w:p>
            <w:pPr>
              <w:ind w:left="680"/>
              <w:spacing w:after="0"/>
              <w:rPr>
                <w:sz w:val="20"/>
                <w:szCs w:val="20"/>
                <w:color w:val="auto"/>
              </w:rPr>
            </w:pPr>
            <w:r>
              <w:rPr>
                <w:rFonts w:ascii="Courier New" w:cs="Courier New" w:eastAsia="Courier New" w:hAnsi="Courier New"/>
                <w:sz w:val="13"/>
                <w:szCs w:val="13"/>
                <w:color w:val="auto"/>
              </w:rPr>
              <w:t>$</w:t>
            </w:r>
          </w:p>
        </w:tc>
        <w:tc>
          <w:tcPr>
            <w:tcW w:w="84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496</w:t>
            </w:r>
          </w:p>
        </w:tc>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4"/>
        </w:trPr>
        <w:tc>
          <w:tcPr>
            <w:tcW w:w="3780" w:type="dxa"/>
            <w:vAlign w:val="bottom"/>
          </w:tcPr>
          <w:p>
            <w:pPr>
              <w:ind w:left="320"/>
              <w:spacing w:after="0"/>
              <w:rPr>
                <w:sz w:val="20"/>
                <w:szCs w:val="20"/>
                <w:color w:val="auto"/>
              </w:rPr>
            </w:pPr>
            <w:r>
              <w:rPr>
                <w:rFonts w:ascii="Courier New" w:cs="Courier New" w:eastAsia="Courier New" w:hAnsi="Courier New"/>
                <w:sz w:val="13"/>
                <w:szCs w:val="13"/>
                <w:color w:val="auto"/>
              </w:rPr>
              <w:t>State</w:t>
            </w:r>
          </w:p>
        </w:tc>
        <w:tc>
          <w:tcPr>
            <w:tcW w:w="320" w:type="dxa"/>
            <w:vAlign w:val="bottom"/>
          </w:tcPr>
          <w:p>
            <w:pPr>
              <w:spacing w:after="0"/>
              <w:rPr>
                <w:sz w:val="13"/>
                <w:szCs w:val="13"/>
                <w:color w:val="auto"/>
              </w:rPr>
            </w:pPr>
          </w:p>
        </w:tc>
        <w:tc>
          <w:tcPr>
            <w:tcW w:w="720" w:type="dxa"/>
            <w:vAlign w:val="bottom"/>
          </w:tcPr>
          <w:p>
            <w:pPr>
              <w:jc w:val="right"/>
              <w:ind w:right="257"/>
              <w:spacing w:after="0"/>
              <w:rPr>
                <w:sz w:val="20"/>
                <w:szCs w:val="20"/>
                <w:color w:val="auto"/>
              </w:rPr>
            </w:pPr>
            <w:r>
              <w:rPr>
                <w:rFonts w:ascii="Courier New" w:cs="Courier New" w:eastAsia="Courier New" w:hAnsi="Courier New"/>
                <w:sz w:val="13"/>
                <w:szCs w:val="13"/>
                <w:color w:val="auto"/>
              </w:rPr>
              <w:t>66</w:t>
            </w: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3"/>
                <w:szCs w:val="13"/>
                <w:color w:val="auto"/>
              </w:rPr>
              <w:t>57</w:t>
            </w:r>
          </w:p>
        </w:tc>
        <w:tc>
          <w:tcPr>
            <w:tcW w:w="920" w:type="dxa"/>
            <w:vAlign w:val="bottom"/>
          </w:tcPr>
          <w:p>
            <w:pPr>
              <w:spacing w:after="0"/>
              <w:rPr>
                <w:sz w:val="13"/>
                <w:szCs w:val="13"/>
                <w:color w:val="auto"/>
              </w:rPr>
            </w:pPr>
          </w:p>
        </w:tc>
        <w:tc>
          <w:tcPr>
            <w:tcW w:w="84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63</w:t>
            </w:r>
          </w:p>
        </w:tc>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4"/>
        </w:trPr>
        <w:tc>
          <w:tcPr>
            <w:tcW w:w="3780" w:type="dxa"/>
            <w:vAlign w:val="bottom"/>
          </w:tcPr>
          <w:p>
            <w:pPr>
              <w:ind w:left="320"/>
              <w:spacing w:after="0"/>
              <w:rPr>
                <w:sz w:val="20"/>
                <w:szCs w:val="20"/>
                <w:color w:val="auto"/>
              </w:rPr>
            </w:pPr>
            <w:r>
              <w:rPr>
                <w:rFonts w:ascii="Courier New" w:cs="Courier New" w:eastAsia="Courier New" w:hAnsi="Courier New"/>
                <w:sz w:val="13"/>
                <w:szCs w:val="13"/>
                <w:color w:val="auto"/>
              </w:rPr>
              <w:t>Non-U.S.</w:t>
            </w:r>
          </w:p>
        </w:tc>
        <w:tc>
          <w:tcPr>
            <w:tcW w:w="320" w:type="dxa"/>
            <w:vAlign w:val="bottom"/>
          </w:tcPr>
          <w:p>
            <w:pPr>
              <w:spacing w:after="0"/>
              <w:rPr>
                <w:sz w:val="13"/>
                <w:szCs w:val="13"/>
                <w:color w:val="auto"/>
              </w:rPr>
            </w:pPr>
          </w:p>
        </w:tc>
        <w:tc>
          <w:tcPr>
            <w:tcW w:w="720" w:type="dxa"/>
            <w:vAlign w:val="bottom"/>
          </w:tcPr>
          <w:p>
            <w:pPr>
              <w:jc w:val="right"/>
              <w:ind w:right="257"/>
              <w:spacing w:after="0"/>
              <w:rPr>
                <w:sz w:val="20"/>
                <w:szCs w:val="20"/>
                <w:color w:val="auto"/>
              </w:rPr>
            </w:pPr>
            <w:r>
              <w:rPr>
                <w:rFonts w:ascii="Courier New" w:cs="Courier New" w:eastAsia="Courier New" w:hAnsi="Courier New"/>
                <w:sz w:val="13"/>
                <w:szCs w:val="13"/>
                <w:color w:val="auto"/>
                <w:w w:val="97"/>
              </w:rPr>
              <w:t>1,965</w:t>
            </w: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3"/>
                <w:szCs w:val="13"/>
                <w:color w:val="auto"/>
              </w:rPr>
              <w:t>682</w:t>
            </w:r>
          </w:p>
        </w:tc>
        <w:tc>
          <w:tcPr>
            <w:tcW w:w="920" w:type="dxa"/>
            <w:vAlign w:val="bottom"/>
          </w:tcPr>
          <w:p>
            <w:pPr>
              <w:spacing w:after="0"/>
              <w:rPr>
                <w:sz w:val="13"/>
                <w:szCs w:val="13"/>
                <w:color w:val="auto"/>
              </w:rPr>
            </w:pPr>
          </w:p>
        </w:tc>
        <w:tc>
          <w:tcPr>
            <w:tcW w:w="84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626</w:t>
            </w:r>
          </w:p>
        </w:tc>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4"/>
        </w:trPr>
        <w:tc>
          <w:tcPr>
            <w:tcW w:w="41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spacing w:after="0"/>
              <w:rPr>
                <w:sz w:val="13"/>
                <w:szCs w:val="13"/>
                <w:color w:val="auto"/>
              </w:rPr>
            </w:pPr>
          </w:p>
        </w:tc>
        <w:tc>
          <w:tcPr>
            <w:tcW w:w="1320" w:type="dxa"/>
            <w:vAlign w:val="bottom"/>
            <w:gridSpan w:val="3"/>
          </w:tcPr>
          <w:p>
            <w:pPr>
              <w:jc w:val="right"/>
              <w:spacing w:after="0"/>
              <w:rPr>
                <w:sz w:val="20"/>
                <w:szCs w:val="20"/>
                <w:color w:val="auto"/>
              </w:rPr>
            </w:pPr>
            <w:r>
              <w:rPr>
                <w:rFonts w:ascii="Courier New" w:cs="Courier New" w:eastAsia="Courier New" w:hAnsi="Courier New"/>
                <w:sz w:val="13"/>
                <w:szCs w:val="13"/>
                <w:color w:val="auto"/>
              </w:rPr>
              <w:t>----------------</w:t>
            </w:r>
          </w:p>
        </w:tc>
        <w:tc>
          <w:tcPr>
            <w:tcW w:w="1760" w:type="dxa"/>
            <w:vAlign w:val="bottom"/>
            <w:gridSpan w:val="2"/>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308"/>
        </w:trPr>
        <w:tc>
          <w:tcPr>
            <w:tcW w:w="3780" w:type="dxa"/>
            <w:vAlign w:val="bottom"/>
          </w:tcPr>
          <w:p>
            <w:pPr>
              <w:ind w:left="1120"/>
              <w:spacing w:after="0"/>
              <w:rPr>
                <w:sz w:val="20"/>
                <w:szCs w:val="20"/>
                <w:color w:val="auto"/>
              </w:rPr>
            </w:pPr>
            <w:r>
              <w:rPr>
                <w:rFonts w:ascii="Courier New" w:cs="Courier New" w:eastAsia="Courier New" w:hAnsi="Courier New"/>
                <w:sz w:val="13"/>
                <w:szCs w:val="13"/>
                <w:color w:val="auto"/>
              </w:rPr>
              <w:t>Total deferred expense</w:t>
            </w:r>
          </w:p>
        </w:tc>
        <w:tc>
          <w:tcPr>
            <w:tcW w:w="320" w:type="dxa"/>
            <w:vAlign w:val="bottom"/>
          </w:tcPr>
          <w:p>
            <w:pPr>
              <w:spacing w:after="0"/>
              <w:rPr>
                <w:sz w:val="24"/>
                <w:szCs w:val="24"/>
                <w:color w:val="auto"/>
              </w:rPr>
            </w:pPr>
          </w:p>
        </w:tc>
        <w:tc>
          <w:tcPr>
            <w:tcW w:w="720" w:type="dxa"/>
            <w:vAlign w:val="bottom"/>
          </w:tcPr>
          <w:p>
            <w:pPr>
              <w:jc w:val="right"/>
              <w:ind w:right="257"/>
              <w:spacing w:after="0"/>
              <w:rPr>
                <w:sz w:val="20"/>
                <w:szCs w:val="20"/>
                <w:color w:val="auto"/>
              </w:rPr>
            </w:pPr>
            <w:r>
              <w:rPr>
                <w:rFonts w:ascii="Courier New" w:cs="Courier New" w:eastAsia="Courier New" w:hAnsi="Courier New"/>
                <w:sz w:val="13"/>
                <w:szCs w:val="13"/>
                <w:color w:val="auto"/>
                <w:w w:val="97"/>
              </w:rPr>
              <w:t>2,564</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3"/>
                <w:szCs w:val="13"/>
                <w:color w:val="auto"/>
                <w:w w:val="97"/>
              </w:rPr>
              <w:t>1,296</w:t>
            </w:r>
          </w:p>
        </w:tc>
        <w:tc>
          <w:tcPr>
            <w:tcW w:w="920" w:type="dxa"/>
            <w:vAlign w:val="bottom"/>
          </w:tcPr>
          <w:p>
            <w:pPr>
              <w:spacing w:after="0"/>
              <w:rPr>
                <w:sz w:val="24"/>
                <w:szCs w:val="24"/>
                <w:color w:val="auto"/>
              </w:rPr>
            </w:pPr>
          </w:p>
        </w:tc>
        <w:tc>
          <w:tcPr>
            <w:tcW w:w="84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1,185</w:t>
            </w: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54"/>
        </w:trPr>
        <w:tc>
          <w:tcPr>
            <w:tcW w:w="41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spacing w:after="0"/>
              <w:rPr>
                <w:sz w:val="13"/>
                <w:szCs w:val="13"/>
                <w:color w:val="auto"/>
              </w:rPr>
            </w:pPr>
          </w:p>
        </w:tc>
        <w:tc>
          <w:tcPr>
            <w:tcW w:w="1320" w:type="dxa"/>
            <w:vAlign w:val="bottom"/>
            <w:gridSpan w:val="3"/>
          </w:tcPr>
          <w:p>
            <w:pPr>
              <w:jc w:val="right"/>
              <w:spacing w:after="0"/>
              <w:rPr>
                <w:sz w:val="20"/>
                <w:szCs w:val="20"/>
                <w:color w:val="auto"/>
              </w:rPr>
            </w:pPr>
            <w:r>
              <w:rPr>
                <w:rFonts w:ascii="Courier New" w:cs="Courier New" w:eastAsia="Courier New" w:hAnsi="Courier New"/>
                <w:sz w:val="13"/>
                <w:szCs w:val="13"/>
                <w:color w:val="auto"/>
              </w:rPr>
              <w:t>----------------</w:t>
            </w:r>
          </w:p>
        </w:tc>
        <w:tc>
          <w:tcPr>
            <w:tcW w:w="1760" w:type="dxa"/>
            <w:vAlign w:val="bottom"/>
            <w:gridSpan w:val="2"/>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308"/>
        </w:trPr>
        <w:tc>
          <w:tcPr>
            <w:tcW w:w="3780" w:type="dxa"/>
            <w:vAlign w:val="bottom"/>
          </w:tcPr>
          <w:p>
            <w:pPr>
              <w:spacing w:after="0"/>
              <w:rPr>
                <w:sz w:val="24"/>
                <w:szCs w:val="24"/>
                <w:color w:val="auto"/>
              </w:rPr>
            </w:pPr>
          </w:p>
        </w:tc>
        <w:tc>
          <w:tcPr>
            <w:tcW w:w="3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257"/>
              <w:spacing w:after="0"/>
              <w:rPr>
                <w:sz w:val="20"/>
                <w:szCs w:val="20"/>
                <w:color w:val="auto"/>
              </w:rPr>
            </w:pPr>
            <w:r>
              <w:rPr>
                <w:rFonts w:ascii="Courier New" w:cs="Courier New" w:eastAsia="Courier New" w:hAnsi="Courier New"/>
                <w:sz w:val="13"/>
                <w:szCs w:val="13"/>
                <w:color w:val="auto"/>
                <w:w w:val="97"/>
              </w:rPr>
              <w:t>6,457</w:t>
            </w:r>
          </w:p>
        </w:tc>
        <w:tc>
          <w:tcPr>
            <w:tcW w:w="280" w:type="dxa"/>
            <w:vAlign w:val="bottom"/>
          </w:tcPr>
          <w:p>
            <w:pPr>
              <w:spacing w:after="0"/>
              <w:rPr>
                <w:sz w:val="24"/>
                <w:szCs w:val="24"/>
                <w:color w:val="auto"/>
              </w:rPr>
            </w:pPr>
          </w:p>
        </w:tc>
        <w:tc>
          <w:tcPr>
            <w:tcW w:w="6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3"/>
                <w:szCs w:val="13"/>
                <w:color w:val="auto"/>
                <w:w w:val="97"/>
              </w:rPr>
              <w:t>4,094</w:t>
            </w:r>
          </w:p>
        </w:tc>
        <w:tc>
          <w:tcPr>
            <w:tcW w:w="920" w:type="dxa"/>
            <w:vAlign w:val="bottom"/>
          </w:tcPr>
          <w:p>
            <w:pPr>
              <w:jc w:val="center"/>
              <w:ind w:left="613"/>
              <w:spacing w:after="0"/>
              <w:rPr>
                <w:sz w:val="20"/>
                <w:szCs w:val="20"/>
                <w:color w:val="auto"/>
              </w:rPr>
            </w:pPr>
            <w:r>
              <w:rPr>
                <w:rFonts w:ascii="Courier New" w:cs="Courier New" w:eastAsia="Courier New" w:hAnsi="Courier New"/>
                <w:sz w:val="13"/>
                <w:szCs w:val="13"/>
                <w:color w:val="auto"/>
              </w:rPr>
              <w:t>$</w:t>
            </w:r>
          </w:p>
        </w:tc>
        <w:tc>
          <w:tcPr>
            <w:tcW w:w="84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5,959</w:t>
            </w: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54"/>
        </w:trPr>
        <w:tc>
          <w:tcPr>
            <w:tcW w:w="4820" w:type="dxa"/>
            <w:vAlign w:val="bottom"/>
            <w:gridSpan w:val="3"/>
          </w:tcPr>
          <w:p>
            <w:pPr>
              <w:jc w:val="right"/>
              <w:ind w:right="257"/>
              <w:spacing w:after="0"/>
              <w:rPr>
                <w:sz w:val="20"/>
                <w:szCs w:val="20"/>
                <w:color w:val="auto"/>
              </w:rPr>
            </w:pPr>
            <w:r>
              <w:rPr>
                <w:rFonts w:ascii="Courier New" w:cs="Courier New" w:eastAsia="Courier New" w:hAnsi="Courier New"/>
                <w:sz w:val="13"/>
                <w:szCs w:val="13"/>
                <w:color w:val="auto"/>
              </w:rPr>
              <w:t>================</w:t>
            </w:r>
          </w:p>
        </w:tc>
        <w:tc>
          <w:tcPr>
            <w:tcW w:w="1320" w:type="dxa"/>
            <w:vAlign w:val="bottom"/>
            <w:gridSpan w:val="3"/>
          </w:tcPr>
          <w:p>
            <w:pPr>
              <w:jc w:val="right"/>
              <w:spacing w:after="0"/>
              <w:rPr>
                <w:sz w:val="20"/>
                <w:szCs w:val="20"/>
                <w:color w:val="auto"/>
              </w:rPr>
            </w:pPr>
            <w:r>
              <w:rPr>
                <w:rFonts w:ascii="Courier New" w:cs="Courier New" w:eastAsia="Courier New" w:hAnsi="Courier New"/>
                <w:sz w:val="13"/>
                <w:szCs w:val="13"/>
                <w:color w:val="auto"/>
              </w:rPr>
              <w:t>================</w:t>
            </w:r>
          </w:p>
        </w:tc>
        <w:tc>
          <w:tcPr>
            <w:tcW w:w="1760" w:type="dxa"/>
            <w:vAlign w:val="bottom"/>
            <w:gridSpan w:val="2"/>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308"/>
        </w:trPr>
        <w:tc>
          <w:tcPr>
            <w:tcW w:w="6140" w:type="dxa"/>
            <w:vAlign w:val="bottom"/>
            <w:gridSpan w:val="6"/>
          </w:tcPr>
          <w:p>
            <w:pPr>
              <w:ind w:left="80"/>
              <w:spacing w:after="0"/>
              <w:rPr>
                <w:sz w:val="20"/>
                <w:szCs w:val="20"/>
                <w:color w:val="auto"/>
              </w:rPr>
            </w:pPr>
            <w:r>
              <w:rPr>
                <w:rFonts w:ascii="Courier New" w:cs="Courier New" w:eastAsia="Courier New" w:hAnsi="Courier New"/>
                <w:sz w:val="13"/>
                <w:szCs w:val="13"/>
                <w:color w:val="auto"/>
              </w:rPr>
              <w:t>A reconciliation of taxes based on the U.S. federal statutory rate of 34%</w:t>
            </w: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54"/>
        </w:trPr>
        <w:tc>
          <w:tcPr>
            <w:tcW w:w="5700" w:type="dxa"/>
            <w:vAlign w:val="bottom"/>
            <w:gridSpan w:val="5"/>
          </w:tcPr>
          <w:p>
            <w:pPr>
              <w:ind w:left="80"/>
              <w:spacing w:after="0"/>
              <w:rPr>
                <w:sz w:val="20"/>
                <w:szCs w:val="20"/>
                <w:color w:val="auto"/>
              </w:rPr>
            </w:pPr>
            <w:r>
              <w:rPr>
                <w:rFonts w:ascii="Courier New" w:cs="Courier New" w:eastAsia="Courier New" w:hAnsi="Courier New"/>
                <w:sz w:val="13"/>
                <w:szCs w:val="13"/>
                <w:color w:val="auto"/>
              </w:rPr>
              <w:t>for the years ended December 31, 2002, 2001 and 2000 is summarized as</w:t>
            </w: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4"/>
        </w:trPr>
        <w:tc>
          <w:tcPr>
            <w:tcW w:w="3780" w:type="dxa"/>
            <w:vAlign w:val="bottom"/>
          </w:tcPr>
          <w:p>
            <w:pPr>
              <w:ind w:left="80"/>
              <w:spacing w:after="0"/>
              <w:rPr>
                <w:sz w:val="20"/>
                <w:szCs w:val="20"/>
                <w:color w:val="auto"/>
              </w:rPr>
            </w:pPr>
            <w:r>
              <w:rPr>
                <w:rFonts w:ascii="Courier New" w:cs="Courier New" w:eastAsia="Courier New" w:hAnsi="Courier New"/>
                <w:sz w:val="13"/>
                <w:szCs w:val="13"/>
                <w:color w:val="auto"/>
              </w:rPr>
              <w:t>follows:</w:t>
            </w: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308"/>
        </w:trPr>
        <w:tc>
          <w:tcPr>
            <w:tcW w:w="3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0" w:type="dxa"/>
            <w:vAlign w:val="bottom"/>
            <w:gridSpan w:val="3"/>
          </w:tcPr>
          <w:p>
            <w:pPr>
              <w:jc w:val="right"/>
              <w:ind w:right="53"/>
              <w:spacing w:after="0"/>
              <w:rPr>
                <w:sz w:val="20"/>
                <w:szCs w:val="20"/>
                <w:color w:val="auto"/>
              </w:rPr>
            </w:pPr>
            <w:r>
              <w:rPr>
                <w:rFonts w:ascii="Courier New" w:cs="Courier New" w:eastAsia="Courier New" w:hAnsi="Courier New"/>
                <w:sz w:val="13"/>
                <w:szCs w:val="13"/>
                <w:b w:val="1"/>
                <w:bCs w:val="1"/>
                <w:color w:val="auto"/>
              </w:rPr>
              <w:t>Year ended December 31,</w:t>
            </w: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54"/>
        </w:trPr>
        <w:tc>
          <w:tcPr>
            <w:tcW w:w="3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gridSpan w:val="2"/>
          </w:tcPr>
          <w:p>
            <w:pPr>
              <w:jc w:val="right"/>
              <w:ind w:right="413"/>
              <w:spacing w:after="0"/>
              <w:rPr>
                <w:sz w:val="20"/>
                <w:szCs w:val="20"/>
                <w:color w:val="auto"/>
              </w:rPr>
            </w:pPr>
            <w:r>
              <w:rPr>
                <w:rFonts w:ascii="Courier New" w:cs="Courier New" w:eastAsia="Courier New" w:hAnsi="Courier New"/>
                <w:sz w:val="13"/>
                <w:szCs w:val="13"/>
                <w:b w:val="1"/>
                <w:bCs w:val="1"/>
                <w:color w:val="auto"/>
              </w:rPr>
              <w:t>2002</w:t>
            </w:r>
          </w:p>
        </w:tc>
        <w:tc>
          <w:tcPr>
            <w:tcW w:w="440" w:type="dxa"/>
            <w:vAlign w:val="bottom"/>
          </w:tcPr>
          <w:p>
            <w:pPr>
              <w:spacing w:after="0"/>
              <w:rPr>
                <w:sz w:val="13"/>
                <w:szCs w:val="13"/>
                <w:color w:val="auto"/>
              </w:rPr>
            </w:pPr>
          </w:p>
        </w:tc>
        <w:tc>
          <w:tcPr>
            <w:tcW w:w="920" w:type="dxa"/>
            <w:vAlign w:val="bottom"/>
          </w:tcPr>
          <w:p>
            <w:pPr>
              <w:ind w:left="600"/>
              <w:spacing w:after="0"/>
              <w:rPr>
                <w:sz w:val="20"/>
                <w:szCs w:val="20"/>
                <w:color w:val="auto"/>
              </w:rPr>
            </w:pPr>
            <w:r>
              <w:rPr>
                <w:rFonts w:ascii="Courier New" w:cs="Courier New" w:eastAsia="Courier New" w:hAnsi="Courier New"/>
                <w:sz w:val="13"/>
                <w:szCs w:val="13"/>
                <w:b w:val="1"/>
                <w:bCs w:val="1"/>
                <w:color w:val="auto"/>
                <w:w w:val="95"/>
              </w:rPr>
              <w:t>2001</w:t>
            </w:r>
          </w:p>
        </w:tc>
        <w:tc>
          <w:tcPr>
            <w:tcW w:w="8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2000</w:t>
            </w:r>
          </w:p>
        </w:tc>
        <w:tc>
          <w:tcPr>
            <w:tcW w:w="640" w:type="dxa"/>
            <w:vAlign w:val="bottom"/>
          </w:tcPr>
          <w:p>
            <w:pPr>
              <w:spacing w:after="0"/>
              <w:rPr>
                <w:sz w:val="13"/>
                <w:szCs w:val="13"/>
                <w:color w:val="auto"/>
              </w:rPr>
            </w:pPr>
          </w:p>
        </w:tc>
      </w:tr>
      <w:tr>
        <w:trPr>
          <w:trHeight w:val="154"/>
        </w:trPr>
        <w:tc>
          <w:tcPr>
            <w:tcW w:w="3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gridSpan w:val="2"/>
          </w:tcPr>
          <w:p>
            <w:pPr>
              <w:ind w:left="240"/>
              <w:spacing w:after="0"/>
              <w:rPr>
                <w:sz w:val="20"/>
                <w:szCs w:val="20"/>
                <w:color w:val="auto"/>
              </w:rPr>
            </w:pPr>
            <w:r>
              <w:rPr>
                <w:rFonts w:ascii="Courier New" w:cs="Courier New" w:eastAsia="Courier New" w:hAnsi="Courier New"/>
                <w:sz w:val="9"/>
                <w:szCs w:val="9"/>
                <w:b w:val="1"/>
                <w:bCs w:val="1"/>
                <w:color w:val="auto"/>
                <w:w w:val="72"/>
              </w:rPr>
              <w:t>-------------------</w:t>
            </w: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60" w:type="dxa"/>
            <w:vAlign w:val="bottom"/>
            <w:gridSpan w:val="2"/>
          </w:tcPr>
          <w:p>
            <w:pPr>
              <w:jc w:val="center"/>
              <w:ind w:right="93"/>
              <w:spacing w:after="0"/>
              <w:rPr>
                <w:sz w:val="20"/>
                <w:szCs w:val="20"/>
                <w:color w:val="auto"/>
              </w:rPr>
            </w:pPr>
            <w:r>
              <w:rPr>
                <w:rFonts w:ascii="Courier New" w:cs="Courier New" w:eastAsia="Courier New" w:hAnsi="Courier New"/>
                <w:sz w:val="13"/>
                <w:szCs w:val="13"/>
                <w:b w:val="1"/>
                <w:bCs w:val="1"/>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3"/>
                <w:szCs w:val="13"/>
                <w:b w:val="1"/>
                <w:bCs w:val="1"/>
                <w:color w:val="auto"/>
              </w:rPr>
              <w:t>-------------------</w:t>
            </w:r>
          </w:p>
        </w:tc>
      </w:tr>
      <w:tr>
        <w:trPr>
          <w:trHeight w:val="308"/>
        </w:trPr>
        <w:tc>
          <w:tcPr>
            <w:tcW w:w="3780" w:type="dxa"/>
            <w:vAlign w:val="bottom"/>
          </w:tcPr>
          <w:p>
            <w:pPr>
              <w:spacing w:after="0"/>
              <w:rPr>
                <w:sz w:val="20"/>
                <w:szCs w:val="20"/>
                <w:color w:val="auto"/>
              </w:rPr>
            </w:pPr>
            <w:r>
              <w:rPr>
                <w:rFonts w:ascii="Courier New" w:cs="Courier New" w:eastAsia="Courier New" w:hAnsi="Courier New"/>
                <w:sz w:val="13"/>
                <w:szCs w:val="13"/>
                <w:color w:val="auto"/>
              </w:rPr>
              <w:t>Income taxes at the federal statutory rate</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6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7,785</w:t>
            </w:r>
          </w:p>
        </w:tc>
        <w:tc>
          <w:tcPr>
            <w:tcW w:w="440" w:type="dxa"/>
            <w:vAlign w:val="bottom"/>
          </w:tcPr>
          <w:p>
            <w:pPr>
              <w:spacing w:after="0"/>
              <w:rPr>
                <w:sz w:val="24"/>
                <w:szCs w:val="24"/>
                <w:color w:val="auto"/>
              </w:rPr>
            </w:pPr>
          </w:p>
        </w:tc>
        <w:tc>
          <w:tcPr>
            <w:tcW w:w="920" w:type="dxa"/>
            <w:vAlign w:val="bottom"/>
          </w:tcPr>
          <w:p>
            <w:pPr>
              <w:ind w:left="680"/>
              <w:spacing w:after="0"/>
              <w:rPr>
                <w:sz w:val="20"/>
                <w:szCs w:val="20"/>
                <w:color w:val="auto"/>
              </w:rPr>
            </w:pPr>
            <w:r>
              <w:rPr>
                <w:rFonts w:ascii="Courier New" w:cs="Courier New" w:eastAsia="Courier New" w:hAnsi="Courier New"/>
                <w:sz w:val="13"/>
                <w:szCs w:val="13"/>
                <w:color w:val="auto"/>
              </w:rPr>
              <w:t>$</w:t>
            </w:r>
          </w:p>
        </w:tc>
        <w:tc>
          <w:tcPr>
            <w:tcW w:w="840" w:type="dxa"/>
            <w:vAlign w:val="bottom"/>
          </w:tcPr>
          <w:p>
            <w:pPr>
              <w:jc w:val="right"/>
              <w:ind w:right="373"/>
              <w:spacing w:after="0"/>
              <w:rPr>
                <w:sz w:val="20"/>
                <w:szCs w:val="20"/>
                <w:color w:val="auto"/>
              </w:rPr>
            </w:pPr>
            <w:r>
              <w:rPr>
                <w:rFonts w:ascii="Courier New" w:cs="Courier New" w:eastAsia="Courier New" w:hAnsi="Courier New"/>
                <w:sz w:val="13"/>
                <w:szCs w:val="13"/>
                <w:color w:val="auto"/>
                <w:w w:val="97"/>
              </w:rPr>
              <w:t>3,606</w:t>
            </w:r>
          </w:p>
        </w:tc>
        <w:tc>
          <w:tcPr>
            <w:tcW w:w="10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7"/>
              </w:rPr>
              <w:t>5,646</w:t>
            </w:r>
          </w:p>
        </w:tc>
      </w:tr>
      <w:tr>
        <w:trPr>
          <w:trHeight w:val="154"/>
        </w:trPr>
        <w:tc>
          <w:tcPr>
            <w:tcW w:w="3780" w:type="dxa"/>
            <w:vAlign w:val="bottom"/>
          </w:tcPr>
          <w:p>
            <w:pPr>
              <w:spacing w:after="0"/>
              <w:rPr>
                <w:sz w:val="20"/>
                <w:szCs w:val="20"/>
                <w:color w:val="auto"/>
              </w:rPr>
            </w:pPr>
            <w:r>
              <w:rPr>
                <w:rFonts w:ascii="Courier New" w:cs="Courier New" w:eastAsia="Courier New" w:hAnsi="Courier New"/>
                <w:sz w:val="13"/>
                <w:szCs w:val="13"/>
                <w:color w:val="auto"/>
              </w:rPr>
              <w:t>State income taxes, net of federal benefit</w:t>
            </w: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208</w:t>
            </w: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jc w:val="right"/>
              <w:ind w:right="373"/>
              <w:spacing w:after="0"/>
              <w:rPr>
                <w:sz w:val="20"/>
                <w:szCs w:val="20"/>
                <w:color w:val="auto"/>
              </w:rPr>
            </w:pPr>
            <w:r>
              <w:rPr>
                <w:rFonts w:ascii="Courier New" w:cs="Courier New" w:eastAsia="Courier New" w:hAnsi="Courier New"/>
                <w:sz w:val="13"/>
                <w:szCs w:val="13"/>
                <w:color w:val="auto"/>
              </w:rPr>
              <w:t>134</w:t>
            </w:r>
          </w:p>
        </w:tc>
        <w:tc>
          <w:tcPr>
            <w:tcW w:w="1000" w:type="dxa"/>
            <w:vAlign w:val="bottom"/>
          </w:tcPr>
          <w:p>
            <w:pPr>
              <w:spacing w:after="0"/>
              <w:rPr>
                <w:sz w:val="13"/>
                <w:szCs w:val="13"/>
                <w:color w:val="auto"/>
              </w:rPr>
            </w:pPr>
          </w:p>
        </w:tc>
        <w:tc>
          <w:tcPr>
            <w:tcW w:w="64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340</w:t>
            </w:r>
          </w:p>
        </w:tc>
      </w:tr>
      <w:tr>
        <w:trPr>
          <w:trHeight w:val="154"/>
        </w:trPr>
        <w:tc>
          <w:tcPr>
            <w:tcW w:w="3780" w:type="dxa"/>
            <w:vAlign w:val="bottom"/>
          </w:tcPr>
          <w:p>
            <w:pPr>
              <w:spacing w:after="0"/>
              <w:rPr>
                <w:sz w:val="20"/>
                <w:szCs w:val="20"/>
                <w:color w:val="auto"/>
              </w:rPr>
            </w:pPr>
            <w:r>
              <w:rPr>
                <w:rFonts w:ascii="Courier New" w:cs="Courier New" w:eastAsia="Courier New" w:hAnsi="Courier New"/>
                <w:sz w:val="13"/>
                <w:szCs w:val="13"/>
                <w:color w:val="auto"/>
              </w:rPr>
              <w:t>Foreign sales corporation benefit, net of</w:t>
            </w: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4"/>
        </w:trPr>
        <w:tc>
          <w:tcPr>
            <w:tcW w:w="3780" w:type="dxa"/>
            <w:vAlign w:val="bottom"/>
          </w:tcPr>
          <w:p>
            <w:pPr>
              <w:ind w:left="320"/>
              <w:spacing w:after="0"/>
              <w:rPr>
                <w:sz w:val="20"/>
                <w:szCs w:val="20"/>
                <w:color w:val="auto"/>
              </w:rPr>
            </w:pPr>
            <w:r>
              <w:rPr>
                <w:rFonts w:ascii="Courier New" w:cs="Courier New" w:eastAsia="Courier New" w:hAnsi="Courier New"/>
                <w:sz w:val="13"/>
                <w:szCs w:val="13"/>
                <w:color w:val="auto"/>
              </w:rPr>
              <w:t>liability</w:t>
            </w: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(95)</w:t>
            </w:r>
          </w:p>
        </w:tc>
        <w:tc>
          <w:tcPr>
            <w:tcW w:w="1000" w:type="dxa"/>
            <w:vAlign w:val="bottom"/>
          </w:tcPr>
          <w:p>
            <w:pPr>
              <w:spacing w:after="0"/>
              <w:rPr>
                <w:sz w:val="13"/>
                <w:szCs w:val="13"/>
                <w:color w:val="auto"/>
              </w:rPr>
            </w:pPr>
          </w:p>
        </w:tc>
        <w:tc>
          <w:tcPr>
            <w:tcW w:w="6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(183)</w:t>
            </w:r>
          </w:p>
        </w:tc>
      </w:tr>
      <w:tr>
        <w:trPr>
          <w:trHeight w:val="154"/>
        </w:trPr>
        <w:tc>
          <w:tcPr>
            <w:tcW w:w="3780" w:type="dxa"/>
            <w:vAlign w:val="bottom"/>
          </w:tcPr>
          <w:p>
            <w:pPr>
              <w:spacing w:after="0"/>
              <w:rPr>
                <w:sz w:val="20"/>
                <w:szCs w:val="20"/>
                <w:color w:val="auto"/>
              </w:rPr>
            </w:pPr>
            <w:r>
              <w:rPr>
                <w:rFonts w:ascii="Courier New" w:cs="Courier New" w:eastAsia="Courier New" w:hAnsi="Courier New"/>
                <w:sz w:val="13"/>
                <w:szCs w:val="13"/>
                <w:color w:val="auto"/>
              </w:rPr>
              <w:t>Non-US earnings taxed at different rates</w:t>
            </w: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624</w:t>
            </w: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jc w:val="right"/>
              <w:ind w:right="373"/>
              <w:spacing w:after="0"/>
              <w:rPr>
                <w:sz w:val="20"/>
                <w:szCs w:val="20"/>
                <w:color w:val="auto"/>
              </w:rPr>
            </w:pPr>
            <w:r>
              <w:rPr>
                <w:rFonts w:ascii="Courier New" w:cs="Courier New" w:eastAsia="Courier New" w:hAnsi="Courier New"/>
                <w:sz w:val="13"/>
                <w:szCs w:val="13"/>
                <w:color w:val="auto"/>
              </w:rPr>
              <w:t>395</w:t>
            </w:r>
          </w:p>
        </w:tc>
        <w:tc>
          <w:tcPr>
            <w:tcW w:w="1000" w:type="dxa"/>
            <w:vAlign w:val="bottom"/>
          </w:tcPr>
          <w:p>
            <w:pPr>
              <w:spacing w:after="0"/>
              <w:rPr>
                <w:sz w:val="13"/>
                <w:szCs w:val="13"/>
                <w:color w:val="auto"/>
              </w:rPr>
            </w:pPr>
          </w:p>
        </w:tc>
        <w:tc>
          <w:tcPr>
            <w:tcW w:w="64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337</w:t>
            </w:r>
          </w:p>
        </w:tc>
      </w:tr>
      <w:tr>
        <w:trPr>
          <w:trHeight w:val="154"/>
        </w:trPr>
        <w:tc>
          <w:tcPr>
            <w:tcW w:w="3780" w:type="dxa"/>
            <w:vAlign w:val="bottom"/>
          </w:tcPr>
          <w:p>
            <w:pPr>
              <w:spacing w:after="0"/>
              <w:rPr>
                <w:sz w:val="20"/>
                <w:szCs w:val="20"/>
                <w:color w:val="auto"/>
              </w:rPr>
            </w:pPr>
            <w:r>
              <w:rPr>
                <w:rFonts w:ascii="Courier New" w:cs="Courier New" w:eastAsia="Courier New" w:hAnsi="Courier New"/>
                <w:sz w:val="13"/>
                <w:szCs w:val="13"/>
                <w:color w:val="auto"/>
              </w:rPr>
              <w:t>Gain on purchase of minority interest</w:t>
            </w: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3"/>
                <w:szCs w:val="13"/>
                <w:color w:val="auto"/>
              </w:rPr>
              <w:t>(2,007)</w:t>
            </w: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jc w:val="right"/>
              <w:ind w:right="37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spacing w:after="0"/>
              <w:rPr>
                <w:sz w:val="13"/>
                <w:szCs w:val="13"/>
                <w:color w:val="auto"/>
              </w:rPr>
            </w:pPr>
          </w:p>
        </w:tc>
        <w:tc>
          <w:tcPr>
            <w:tcW w:w="64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r>
      <w:tr>
        <w:trPr>
          <w:trHeight w:val="154"/>
        </w:trPr>
        <w:tc>
          <w:tcPr>
            <w:tcW w:w="3780" w:type="dxa"/>
            <w:vAlign w:val="bottom"/>
          </w:tcPr>
          <w:p>
            <w:pPr>
              <w:spacing w:after="0"/>
              <w:rPr>
                <w:sz w:val="20"/>
                <w:szCs w:val="20"/>
                <w:color w:val="auto"/>
              </w:rPr>
            </w:pPr>
            <w:r>
              <w:rPr>
                <w:rFonts w:ascii="Courier New" w:cs="Courier New" w:eastAsia="Courier New" w:hAnsi="Courier New"/>
                <w:sz w:val="13"/>
                <w:szCs w:val="13"/>
                <w:color w:val="auto"/>
              </w:rPr>
              <w:t>Other, net</w:t>
            </w: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3"/>
                <w:szCs w:val="13"/>
                <w:color w:val="auto"/>
              </w:rPr>
              <w:t>(153)</w:t>
            </w: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jc w:val="right"/>
              <w:ind w:right="373"/>
              <w:spacing w:after="0"/>
              <w:rPr>
                <w:sz w:val="20"/>
                <w:szCs w:val="20"/>
                <w:color w:val="auto"/>
              </w:rPr>
            </w:pPr>
            <w:r>
              <w:rPr>
                <w:rFonts w:ascii="Courier New" w:cs="Courier New" w:eastAsia="Courier New" w:hAnsi="Courier New"/>
                <w:sz w:val="13"/>
                <w:szCs w:val="13"/>
                <w:color w:val="auto"/>
              </w:rPr>
              <w:t>54</w:t>
            </w:r>
          </w:p>
        </w:tc>
        <w:tc>
          <w:tcPr>
            <w:tcW w:w="1000" w:type="dxa"/>
            <w:vAlign w:val="bottom"/>
          </w:tcPr>
          <w:p>
            <w:pPr>
              <w:spacing w:after="0"/>
              <w:rPr>
                <w:sz w:val="13"/>
                <w:szCs w:val="13"/>
                <w:color w:val="auto"/>
              </w:rPr>
            </w:pPr>
          </w:p>
        </w:tc>
        <w:tc>
          <w:tcPr>
            <w:tcW w:w="6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(181)</w:t>
            </w:r>
          </w:p>
        </w:tc>
      </w:tr>
      <w:tr>
        <w:trPr>
          <w:trHeight w:val="154"/>
        </w:trPr>
        <w:tc>
          <w:tcPr>
            <w:tcW w:w="3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gridSpan w:val="2"/>
          </w:tcPr>
          <w:p>
            <w:pPr>
              <w:ind w:left="240"/>
              <w:spacing w:after="0"/>
              <w:rPr>
                <w:sz w:val="20"/>
                <w:szCs w:val="20"/>
                <w:color w:val="auto"/>
              </w:rPr>
            </w:pPr>
            <w:r>
              <w:rPr>
                <w:rFonts w:ascii="Courier New" w:cs="Courier New" w:eastAsia="Courier New" w:hAnsi="Courier New"/>
                <w:sz w:val="9"/>
                <w:szCs w:val="9"/>
                <w:color w:val="auto"/>
                <w:w w:val="72"/>
              </w:rPr>
              <w:t>-------------------</w:t>
            </w: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60" w:type="dxa"/>
            <w:vAlign w:val="bottom"/>
            <w:gridSpan w:val="2"/>
          </w:tcPr>
          <w:p>
            <w:pPr>
              <w:jc w:val="center"/>
              <w:ind w:right="93"/>
              <w:spacing w:after="0"/>
              <w:rPr>
                <w:sz w:val="20"/>
                <w:szCs w:val="20"/>
                <w:color w:val="auto"/>
              </w:rPr>
            </w:pPr>
            <w:r>
              <w:rPr>
                <w:rFonts w:ascii="Courier New" w:cs="Courier New" w:eastAsia="Courier New" w:hAnsi="Courier New"/>
                <w:sz w:val="13"/>
                <w:szCs w:val="13"/>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r>
      <w:tr>
        <w:trPr>
          <w:trHeight w:val="308"/>
        </w:trPr>
        <w:tc>
          <w:tcPr>
            <w:tcW w:w="3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6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6,457</w:t>
            </w:r>
          </w:p>
        </w:tc>
        <w:tc>
          <w:tcPr>
            <w:tcW w:w="440" w:type="dxa"/>
            <w:vAlign w:val="bottom"/>
          </w:tcPr>
          <w:p>
            <w:pPr>
              <w:spacing w:after="0"/>
              <w:rPr>
                <w:sz w:val="24"/>
                <w:szCs w:val="24"/>
                <w:color w:val="auto"/>
              </w:rPr>
            </w:pPr>
          </w:p>
        </w:tc>
        <w:tc>
          <w:tcPr>
            <w:tcW w:w="920" w:type="dxa"/>
            <w:vAlign w:val="bottom"/>
          </w:tcPr>
          <w:p>
            <w:pPr>
              <w:ind w:left="680"/>
              <w:spacing w:after="0"/>
              <w:rPr>
                <w:sz w:val="20"/>
                <w:szCs w:val="20"/>
                <w:color w:val="auto"/>
              </w:rPr>
            </w:pPr>
            <w:r>
              <w:rPr>
                <w:rFonts w:ascii="Courier New" w:cs="Courier New" w:eastAsia="Courier New" w:hAnsi="Courier New"/>
                <w:sz w:val="13"/>
                <w:szCs w:val="13"/>
                <w:color w:val="auto"/>
              </w:rPr>
              <w:t>$</w:t>
            </w:r>
          </w:p>
        </w:tc>
        <w:tc>
          <w:tcPr>
            <w:tcW w:w="840" w:type="dxa"/>
            <w:vAlign w:val="bottom"/>
          </w:tcPr>
          <w:p>
            <w:pPr>
              <w:jc w:val="right"/>
              <w:ind w:right="373"/>
              <w:spacing w:after="0"/>
              <w:rPr>
                <w:sz w:val="20"/>
                <w:szCs w:val="20"/>
                <w:color w:val="auto"/>
              </w:rPr>
            </w:pPr>
            <w:r>
              <w:rPr>
                <w:rFonts w:ascii="Courier New" w:cs="Courier New" w:eastAsia="Courier New" w:hAnsi="Courier New"/>
                <w:sz w:val="13"/>
                <w:szCs w:val="13"/>
                <w:color w:val="auto"/>
                <w:w w:val="97"/>
              </w:rPr>
              <w:t>4,094</w:t>
            </w:r>
          </w:p>
        </w:tc>
        <w:tc>
          <w:tcPr>
            <w:tcW w:w="10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7"/>
              </w:rPr>
              <w:t>5,959</w:t>
            </w:r>
          </w:p>
        </w:tc>
      </w:tr>
      <w:tr>
        <w:trPr>
          <w:trHeight w:val="154"/>
        </w:trPr>
        <w:tc>
          <w:tcPr>
            <w:tcW w:w="3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40" w:type="dxa"/>
            <w:vAlign w:val="bottom"/>
            <w:gridSpan w:val="4"/>
          </w:tcPr>
          <w:p>
            <w:pPr>
              <w:ind w:left="240"/>
              <w:spacing w:after="0"/>
              <w:rPr>
                <w:sz w:val="20"/>
                <w:szCs w:val="20"/>
                <w:color w:val="auto"/>
              </w:rPr>
            </w:pPr>
            <w:r>
              <w:rPr>
                <w:rFonts w:ascii="Courier New" w:cs="Courier New" w:eastAsia="Courier New" w:hAnsi="Courier New"/>
                <w:sz w:val="13"/>
                <w:szCs w:val="13"/>
                <w:color w:val="auto"/>
              </w:rPr>
              <w:t>===================</w:t>
            </w:r>
          </w:p>
        </w:tc>
        <w:tc>
          <w:tcPr>
            <w:tcW w:w="1760" w:type="dxa"/>
            <w:vAlign w:val="bottom"/>
            <w:gridSpan w:val="2"/>
          </w:tcPr>
          <w:p>
            <w:pPr>
              <w:jc w:val="center"/>
              <w:ind w:right="93"/>
              <w:spacing w:after="0"/>
              <w:rPr>
                <w:sz w:val="20"/>
                <w:szCs w:val="20"/>
                <w:color w:val="auto"/>
              </w:rPr>
            </w:pPr>
            <w:r>
              <w:rPr>
                <w:rFonts w:ascii="Courier New" w:cs="Courier New" w:eastAsia="Courier New" w:hAnsi="Courier New"/>
                <w:sz w:val="13"/>
                <w:szCs w:val="13"/>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r>
    </w:tbl>
    <w:p>
      <w:pPr>
        <w:spacing w:after="0" w:line="200" w:lineRule="exact"/>
        <w:rPr>
          <w:sz w:val="20"/>
          <w:szCs w:val="20"/>
          <w:color w:val="auto"/>
        </w:rPr>
      </w:pPr>
    </w:p>
    <w:p>
      <w:pPr>
        <w:spacing w:after="0" w:line="268" w:lineRule="exact"/>
        <w:rPr>
          <w:sz w:val="20"/>
          <w:szCs w:val="20"/>
          <w:color w:val="auto"/>
        </w:rPr>
      </w:pPr>
    </w:p>
    <w:p>
      <w:pPr>
        <w:ind w:left="5700"/>
        <w:spacing w:after="0"/>
        <w:rPr>
          <w:sz w:val="20"/>
          <w:szCs w:val="20"/>
          <w:color w:val="auto"/>
        </w:rPr>
      </w:pPr>
      <w:r>
        <w:rPr>
          <w:rFonts w:ascii="Courier New" w:cs="Courier New" w:eastAsia="Courier New" w:hAnsi="Courier New"/>
          <w:sz w:val="13"/>
          <w:szCs w:val="13"/>
          <w:color w:val="auto"/>
        </w:rPr>
        <w:t>Continued</w:t>
      </w:r>
    </w:p>
    <w:p>
      <w:pPr>
        <w:spacing w:after="0" w:line="315"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3"/>
          <w:szCs w:val="13"/>
          <w:b w:val="1"/>
          <w:bCs w:val="1"/>
          <w:color w:val="auto"/>
        </w:rPr>
        <w:t>NN, Inc.</w:t>
      </w:r>
    </w:p>
    <w:p>
      <w:pPr>
        <w:spacing w:after="0" w:line="7"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3"/>
          <w:szCs w:val="13"/>
          <w:b w:val="1"/>
          <w:bCs w:val="1"/>
          <w:color w:val="auto"/>
        </w:rPr>
        <w:t>Notes to Consolidated Financial Statements</w:t>
      </w:r>
    </w:p>
    <w:p>
      <w:pPr>
        <w:spacing w:after="0" w:line="7" w:lineRule="exact"/>
        <w:rPr>
          <w:sz w:val="20"/>
          <w:szCs w:val="20"/>
          <w:color w:val="auto"/>
        </w:rPr>
      </w:pPr>
    </w:p>
    <w:p>
      <w:pPr>
        <w:ind w:left="1920"/>
        <w:spacing w:after="0"/>
        <w:rPr>
          <w:sz w:val="20"/>
          <w:szCs w:val="20"/>
          <w:color w:val="auto"/>
        </w:rPr>
      </w:pPr>
      <w:r>
        <w:rPr>
          <w:rFonts w:ascii="Courier New" w:cs="Courier New" w:eastAsia="Courier New" w:hAnsi="Courier New"/>
          <w:sz w:val="13"/>
          <w:szCs w:val="13"/>
          <w:b w:val="1"/>
          <w:bCs w:val="1"/>
          <w:color w:val="auto"/>
        </w:rPr>
        <w:t>December 31, 2002, 2001 and 2000</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3"/>
          <w:szCs w:val="13"/>
          <w:b w:val="1"/>
          <w:bCs w:val="1"/>
          <w:color w:val="auto"/>
        </w:rPr>
        <w:t>(In thousands, except per share data)</w:t>
      </w:r>
    </w:p>
    <w:p>
      <w:pPr>
        <w:spacing w:after="0" w:line="315"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The tax effects of the temporary differences are as follows:</w:t>
      </w:r>
    </w:p>
    <w:p>
      <w:pPr>
        <w:spacing w:after="0" w:line="161" w:lineRule="exact"/>
        <w:rPr>
          <w:sz w:val="20"/>
          <w:szCs w:val="20"/>
          <w:color w:val="auto"/>
        </w:rPr>
      </w:pPr>
    </w:p>
    <w:p>
      <w:pPr>
        <w:jc w:val="center"/>
        <w:ind w:left="1780"/>
        <w:spacing w:after="0"/>
        <w:rPr>
          <w:sz w:val="20"/>
          <w:szCs w:val="20"/>
          <w:color w:val="auto"/>
        </w:rPr>
      </w:pPr>
      <w:r>
        <w:rPr>
          <w:rFonts w:ascii="Courier New" w:cs="Courier New" w:eastAsia="Courier New" w:hAnsi="Courier New"/>
          <w:sz w:val="13"/>
          <w:szCs w:val="13"/>
          <w:b w:val="1"/>
          <w:bCs w:val="1"/>
          <w:color w:val="auto"/>
        </w:rPr>
        <w:t>Year ended December 31,</w:t>
      </w:r>
    </w:p>
    <w:p>
      <w:pPr>
        <w:spacing w:after="0" w:line="7" w:lineRule="exact"/>
        <w:rPr>
          <w:sz w:val="20"/>
          <w:szCs w:val="20"/>
          <w:color w:val="auto"/>
        </w:rPr>
      </w:pPr>
    </w:p>
    <w:p>
      <w:pPr>
        <w:ind w:left="5540"/>
        <w:spacing w:after="0"/>
        <w:tabs>
          <w:tab w:leader="none" w:pos="7360" w:val="left"/>
        </w:tabs>
        <w:rPr>
          <w:sz w:val="20"/>
          <w:szCs w:val="20"/>
          <w:color w:val="auto"/>
        </w:rPr>
      </w:pPr>
      <w:r>
        <w:rPr>
          <w:rFonts w:ascii="Courier New" w:cs="Courier New" w:eastAsia="Courier New" w:hAnsi="Courier New"/>
          <w:sz w:val="13"/>
          <w:szCs w:val="13"/>
          <w:b w:val="1"/>
          <w:bCs w:val="1"/>
          <w:color w:val="auto"/>
        </w:rPr>
        <w:t>2002</w:t>
      </w:r>
      <w:r>
        <w:rPr>
          <w:sz w:val="20"/>
          <w:szCs w:val="20"/>
          <w:color w:val="auto"/>
        </w:rPr>
        <w:tab/>
      </w:r>
      <w:r>
        <w:rPr>
          <w:rFonts w:ascii="Courier New" w:cs="Courier New" w:eastAsia="Courier New" w:hAnsi="Courier New"/>
          <w:sz w:val="13"/>
          <w:szCs w:val="13"/>
          <w:b w:val="1"/>
          <w:bCs w:val="1"/>
          <w:color w:val="auto"/>
        </w:rPr>
        <w:t>2001</w:t>
      </w:r>
    </w:p>
    <w:p>
      <w:pPr>
        <w:spacing w:after="0" w:line="7" w:lineRule="exact"/>
        <w:rPr>
          <w:sz w:val="20"/>
          <w:szCs w:val="20"/>
          <w:color w:val="auto"/>
        </w:rPr>
      </w:pPr>
    </w:p>
    <w:p>
      <w:pPr>
        <w:ind w:left="4980"/>
        <w:spacing w:after="0"/>
        <w:tabs>
          <w:tab w:leader="none" w:pos="6800" w:val="left"/>
        </w:tabs>
        <w:rPr>
          <w:sz w:val="20"/>
          <w:szCs w:val="20"/>
          <w:color w:val="auto"/>
        </w:rPr>
      </w:pPr>
      <w:r>
        <w:rPr>
          <w:rFonts w:ascii="Courier New" w:cs="Courier New" w:eastAsia="Courier New" w:hAnsi="Courier New"/>
          <w:sz w:val="13"/>
          <w:szCs w:val="13"/>
          <w:b w:val="1"/>
          <w:bCs w:val="1"/>
          <w:color w:val="auto"/>
        </w:rPr>
        <w:t>-------------------</w:t>
      </w:r>
      <w:r>
        <w:rPr>
          <w:sz w:val="20"/>
          <w:szCs w:val="20"/>
          <w:color w:val="auto"/>
        </w:rPr>
        <w:tab/>
      </w:r>
      <w:r>
        <w:rPr>
          <w:rFonts w:ascii="Courier New" w:cs="Courier New" w:eastAsia="Courier New" w:hAnsi="Courier New"/>
          <w:sz w:val="13"/>
          <w:szCs w:val="13"/>
          <w:b w:val="1"/>
          <w:bCs w:val="1"/>
          <w:color w:val="auto"/>
        </w:rPr>
        <w:t>-------------------</w:t>
      </w:r>
    </w:p>
    <w:p>
      <w:pPr>
        <w:spacing w:after="0" w:line="161"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Deferred income tax liability</w:t>
      </w:r>
    </w:p>
    <w:p>
      <w:pPr>
        <w:sectPr>
          <w:pgSz w:w="11900" w:h="16838" w:orient="portrait"/>
          <w:cols w:equalWidth="0" w:num="1">
            <w:col w:w="10239"/>
          </w:cols>
          <w:pgMar w:left="220" w:top="141" w:right="1440" w:bottom="0" w:gutter="0" w:footer="0" w:header="0"/>
        </w:sectPr>
      </w:pPr>
    </w:p>
    <w:bookmarkStart w:id="35" w:name="page36"/>
    <w:bookmarkEnd w:id="35"/>
    <w:tbl>
      <w:tblPr>
        <w:tblLayout w:type="fixed"/>
        <w:tblInd w:w="560" w:type="dxa"/>
        <w:tblCellMar>
          <w:top w:w="0" w:type="dxa"/>
          <w:left w:w="0" w:type="dxa"/>
          <w:bottom w:w="0" w:type="dxa"/>
          <w:right w:w="0" w:type="dxa"/>
        </w:tblCellMar>
      </w:tblPr>
      <w:tr>
        <w:trPr>
          <w:trHeight w:val="149"/>
        </w:trPr>
        <w:tc>
          <w:tcPr>
            <w:tcW w:w="4340" w:type="dxa"/>
            <w:vAlign w:val="bottom"/>
          </w:tcPr>
          <w:p>
            <w:pPr>
              <w:ind w:left="320"/>
              <w:spacing w:after="0"/>
              <w:rPr>
                <w:sz w:val="20"/>
                <w:szCs w:val="20"/>
                <w:color w:val="auto"/>
              </w:rPr>
            </w:pPr>
            <w:r>
              <w:rPr>
                <w:rFonts w:ascii="Courier New" w:cs="Courier New" w:eastAsia="Courier New" w:hAnsi="Courier New"/>
                <w:sz w:val="13"/>
                <w:szCs w:val="13"/>
                <w:color w:val="auto"/>
              </w:rPr>
              <w:t>Tax in excess of book depreciation</w:t>
            </w:r>
          </w:p>
        </w:tc>
        <w:tc>
          <w:tcPr>
            <w:tcW w:w="8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rPr>
              <w:t>7,523</w:t>
            </w: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jc w:val="right"/>
              <w:ind w:right="413"/>
              <w:spacing w:after="0"/>
              <w:rPr>
                <w:sz w:val="20"/>
                <w:szCs w:val="20"/>
                <w:color w:val="auto"/>
              </w:rPr>
            </w:pPr>
            <w:r>
              <w:rPr>
                <w:rFonts w:ascii="Courier New" w:cs="Courier New" w:eastAsia="Courier New" w:hAnsi="Courier New"/>
                <w:sz w:val="13"/>
                <w:szCs w:val="13"/>
                <w:color w:val="auto"/>
              </w:rPr>
              <w:t>6,360</w:t>
            </w:r>
          </w:p>
        </w:tc>
      </w:tr>
      <w:tr>
        <w:trPr>
          <w:trHeight w:val="154"/>
        </w:trPr>
        <w:tc>
          <w:tcPr>
            <w:tcW w:w="4340" w:type="dxa"/>
            <w:vAlign w:val="bottom"/>
          </w:tcPr>
          <w:p>
            <w:pPr>
              <w:ind w:left="320"/>
              <w:spacing w:after="0"/>
              <w:rPr>
                <w:sz w:val="20"/>
                <w:szCs w:val="20"/>
                <w:color w:val="auto"/>
              </w:rPr>
            </w:pPr>
            <w:r>
              <w:rPr>
                <w:rFonts w:ascii="Courier New" w:cs="Courier New" w:eastAsia="Courier New" w:hAnsi="Courier New"/>
                <w:sz w:val="13"/>
                <w:szCs w:val="13"/>
                <w:color w:val="auto"/>
              </w:rPr>
              <w:t>Duty drawback receivable</w:t>
            </w:r>
          </w:p>
        </w:tc>
        <w:tc>
          <w:tcPr>
            <w:tcW w:w="8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rPr>
              <w:t>48</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413"/>
              <w:spacing w:after="0"/>
              <w:rPr>
                <w:sz w:val="20"/>
                <w:szCs w:val="20"/>
                <w:color w:val="auto"/>
              </w:rPr>
            </w:pPr>
            <w:r>
              <w:rPr>
                <w:rFonts w:ascii="Courier New" w:cs="Courier New" w:eastAsia="Courier New" w:hAnsi="Courier New"/>
                <w:sz w:val="13"/>
                <w:szCs w:val="13"/>
                <w:color w:val="auto"/>
              </w:rPr>
              <w:t>37</w:t>
            </w:r>
          </w:p>
        </w:tc>
      </w:tr>
      <w:tr>
        <w:trPr>
          <w:trHeight w:val="154"/>
        </w:trPr>
        <w:tc>
          <w:tcPr>
            <w:tcW w:w="4340" w:type="dxa"/>
            <w:vAlign w:val="bottom"/>
          </w:tcPr>
          <w:p>
            <w:pPr>
              <w:ind w:left="320"/>
              <w:spacing w:after="0"/>
              <w:rPr>
                <w:sz w:val="20"/>
                <w:szCs w:val="20"/>
                <w:color w:val="auto"/>
              </w:rPr>
            </w:pPr>
            <w:r>
              <w:rPr>
                <w:rFonts w:ascii="Courier New" w:cs="Courier New" w:eastAsia="Courier New" w:hAnsi="Courier New"/>
                <w:sz w:val="13"/>
                <w:szCs w:val="13"/>
                <w:color w:val="auto"/>
              </w:rPr>
              <w:t>Goodwill</w:t>
            </w:r>
          </w:p>
        </w:tc>
        <w:tc>
          <w:tcPr>
            <w:tcW w:w="8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rPr>
              <w:t>1,582</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413"/>
              <w:spacing w:after="0"/>
              <w:rPr>
                <w:sz w:val="20"/>
                <w:szCs w:val="20"/>
                <w:color w:val="auto"/>
              </w:rPr>
            </w:pPr>
            <w:r>
              <w:rPr>
                <w:rFonts w:ascii="Courier New" w:cs="Courier New" w:eastAsia="Courier New" w:hAnsi="Courier New"/>
                <w:sz w:val="13"/>
                <w:szCs w:val="13"/>
                <w:color w:val="auto"/>
              </w:rPr>
              <w:t>688</w:t>
            </w:r>
          </w:p>
        </w:tc>
      </w:tr>
      <w:tr>
        <w:trPr>
          <w:trHeight w:val="154"/>
        </w:trPr>
        <w:tc>
          <w:tcPr>
            <w:tcW w:w="4340" w:type="dxa"/>
            <w:vAlign w:val="bottom"/>
          </w:tcPr>
          <w:p>
            <w:pPr>
              <w:ind w:left="320"/>
              <w:spacing w:after="0"/>
              <w:rPr>
                <w:sz w:val="20"/>
                <w:szCs w:val="20"/>
                <w:color w:val="auto"/>
              </w:rPr>
            </w:pPr>
            <w:r>
              <w:rPr>
                <w:rFonts w:ascii="Courier New" w:cs="Courier New" w:eastAsia="Courier New" w:hAnsi="Courier New"/>
                <w:sz w:val="13"/>
                <w:szCs w:val="13"/>
                <w:color w:val="auto"/>
              </w:rPr>
              <w:t>Flow through loss from pass through entity</w:t>
            </w:r>
          </w:p>
        </w:tc>
        <w:tc>
          <w:tcPr>
            <w:tcW w:w="8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rPr>
              <w:t>437</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413"/>
              <w:spacing w:after="0"/>
              <w:rPr>
                <w:sz w:val="20"/>
                <w:szCs w:val="20"/>
                <w:color w:val="auto"/>
              </w:rPr>
            </w:pPr>
            <w:r>
              <w:rPr>
                <w:rFonts w:ascii="Courier New" w:cs="Courier New" w:eastAsia="Courier New" w:hAnsi="Courier New"/>
                <w:sz w:val="13"/>
                <w:szCs w:val="13"/>
                <w:color w:val="auto"/>
              </w:rPr>
              <w:t>81</w:t>
            </w:r>
          </w:p>
        </w:tc>
      </w:tr>
      <w:tr>
        <w:trPr>
          <w:trHeight w:val="154"/>
        </w:trPr>
        <w:tc>
          <w:tcPr>
            <w:tcW w:w="4340" w:type="dxa"/>
            <w:vAlign w:val="bottom"/>
          </w:tcPr>
          <w:p>
            <w:pPr>
              <w:ind w:left="320"/>
              <w:spacing w:after="0"/>
              <w:rPr>
                <w:sz w:val="20"/>
                <w:szCs w:val="20"/>
                <w:color w:val="auto"/>
              </w:rPr>
            </w:pPr>
            <w:r>
              <w:rPr>
                <w:rFonts w:ascii="Courier New" w:cs="Courier New" w:eastAsia="Courier New" w:hAnsi="Courier New"/>
                <w:sz w:val="13"/>
                <w:szCs w:val="13"/>
                <w:color w:val="auto"/>
              </w:rPr>
              <w:t>Other deferred tax liabilities</w:t>
            </w:r>
          </w:p>
        </w:tc>
        <w:tc>
          <w:tcPr>
            <w:tcW w:w="8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rPr>
              <w:t>48</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413"/>
              <w:spacing w:after="0"/>
              <w:rPr>
                <w:sz w:val="20"/>
                <w:szCs w:val="20"/>
                <w:color w:val="auto"/>
              </w:rPr>
            </w:pPr>
            <w:r>
              <w:rPr>
                <w:rFonts w:ascii="Courier New" w:cs="Courier New" w:eastAsia="Courier New" w:hAnsi="Courier New"/>
                <w:sz w:val="13"/>
                <w:szCs w:val="13"/>
                <w:color w:val="auto"/>
              </w:rPr>
              <w:t>31</w:t>
            </w:r>
          </w:p>
        </w:tc>
      </w:tr>
      <w:tr>
        <w:trPr>
          <w:trHeight w:val="154"/>
        </w:trPr>
        <w:tc>
          <w:tcPr>
            <w:tcW w:w="4340" w:type="dxa"/>
            <w:vAlign w:val="bottom"/>
          </w:tcPr>
          <w:p>
            <w:pPr>
              <w:spacing w:after="0"/>
              <w:rPr>
                <w:sz w:val="13"/>
                <w:szCs w:val="13"/>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90"/>
              </w:rPr>
              <w:t>-------------------</w:t>
            </w:r>
          </w:p>
        </w:tc>
        <w:tc>
          <w:tcPr>
            <w:tcW w:w="560" w:type="dxa"/>
            <w:vAlign w:val="bottom"/>
          </w:tcPr>
          <w:p>
            <w:pPr>
              <w:spacing w:after="0"/>
              <w:rPr>
                <w:sz w:val="13"/>
                <w:szCs w:val="13"/>
                <w:color w:val="auto"/>
              </w:rPr>
            </w:pPr>
          </w:p>
        </w:tc>
        <w:tc>
          <w:tcPr>
            <w:tcW w:w="1760" w:type="dxa"/>
            <w:vAlign w:val="bottom"/>
            <w:gridSpan w:val="3"/>
          </w:tcPr>
          <w:p>
            <w:pPr>
              <w:jc w:val="right"/>
              <w:ind w:right="173"/>
              <w:spacing w:after="0"/>
              <w:rPr>
                <w:sz w:val="20"/>
                <w:szCs w:val="20"/>
                <w:color w:val="auto"/>
              </w:rPr>
            </w:pPr>
            <w:r>
              <w:rPr>
                <w:rFonts w:ascii="Courier New" w:cs="Courier New" w:eastAsia="Courier New" w:hAnsi="Courier New"/>
                <w:sz w:val="13"/>
                <w:szCs w:val="13"/>
                <w:color w:val="auto"/>
              </w:rPr>
              <w:t>-------------------</w:t>
            </w:r>
          </w:p>
        </w:tc>
      </w:tr>
      <w:tr>
        <w:trPr>
          <w:trHeight w:val="308"/>
        </w:trPr>
        <w:tc>
          <w:tcPr>
            <w:tcW w:w="4340" w:type="dxa"/>
            <w:vAlign w:val="bottom"/>
          </w:tcPr>
          <w:p>
            <w:pPr>
              <w:ind w:left="480"/>
              <w:spacing w:after="0"/>
              <w:rPr>
                <w:sz w:val="20"/>
                <w:szCs w:val="20"/>
                <w:color w:val="auto"/>
              </w:rPr>
            </w:pPr>
            <w:r>
              <w:rPr>
                <w:rFonts w:ascii="Courier New" w:cs="Courier New" w:eastAsia="Courier New" w:hAnsi="Courier New"/>
                <w:sz w:val="13"/>
                <w:szCs w:val="13"/>
                <w:color w:val="auto"/>
              </w:rPr>
              <w:t>Gross deferred income tax liability</w:t>
            </w:r>
          </w:p>
        </w:tc>
        <w:tc>
          <w:tcPr>
            <w:tcW w:w="8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rPr>
              <w:t>9,638</w:t>
            </w: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jc w:val="right"/>
              <w:ind w:right="413"/>
              <w:spacing w:after="0"/>
              <w:rPr>
                <w:sz w:val="20"/>
                <w:szCs w:val="20"/>
                <w:color w:val="auto"/>
              </w:rPr>
            </w:pPr>
            <w:r>
              <w:rPr>
                <w:rFonts w:ascii="Courier New" w:cs="Courier New" w:eastAsia="Courier New" w:hAnsi="Courier New"/>
                <w:sz w:val="13"/>
                <w:szCs w:val="13"/>
                <w:color w:val="auto"/>
              </w:rPr>
              <w:t>7,197</w:t>
            </w:r>
          </w:p>
        </w:tc>
      </w:tr>
      <w:tr>
        <w:trPr>
          <w:trHeight w:val="154"/>
        </w:trPr>
        <w:tc>
          <w:tcPr>
            <w:tcW w:w="4340" w:type="dxa"/>
            <w:vAlign w:val="bottom"/>
          </w:tcPr>
          <w:p>
            <w:pPr>
              <w:spacing w:after="0"/>
              <w:rPr>
                <w:sz w:val="13"/>
                <w:szCs w:val="13"/>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90"/>
              </w:rPr>
              <w:t>-------------------</w:t>
            </w:r>
          </w:p>
        </w:tc>
        <w:tc>
          <w:tcPr>
            <w:tcW w:w="560" w:type="dxa"/>
            <w:vAlign w:val="bottom"/>
          </w:tcPr>
          <w:p>
            <w:pPr>
              <w:spacing w:after="0"/>
              <w:rPr>
                <w:sz w:val="13"/>
                <w:szCs w:val="13"/>
                <w:color w:val="auto"/>
              </w:rPr>
            </w:pPr>
          </w:p>
        </w:tc>
        <w:tc>
          <w:tcPr>
            <w:tcW w:w="1760" w:type="dxa"/>
            <w:vAlign w:val="bottom"/>
            <w:gridSpan w:val="3"/>
          </w:tcPr>
          <w:p>
            <w:pPr>
              <w:jc w:val="right"/>
              <w:ind w:right="173"/>
              <w:spacing w:after="0"/>
              <w:rPr>
                <w:sz w:val="20"/>
                <w:szCs w:val="20"/>
                <w:color w:val="auto"/>
              </w:rPr>
            </w:pPr>
            <w:r>
              <w:rPr>
                <w:rFonts w:ascii="Courier New" w:cs="Courier New" w:eastAsia="Courier New" w:hAnsi="Courier New"/>
                <w:sz w:val="13"/>
                <w:szCs w:val="13"/>
                <w:color w:val="auto"/>
              </w:rPr>
              <w:t>-------------------</w:t>
            </w:r>
          </w:p>
        </w:tc>
      </w:tr>
      <w:tr>
        <w:trPr>
          <w:trHeight w:val="154"/>
        </w:trPr>
        <w:tc>
          <w:tcPr>
            <w:tcW w:w="4340" w:type="dxa"/>
            <w:vAlign w:val="bottom"/>
          </w:tcPr>
          <w:p>
            <w:pPr>
              <w:spacing w:after="0"/>
              <w:rPr>
                <w:sz w:val="20"/>
                <w:szCs w:val="20"/>
                <w:color w:val="auto"/>
              </w:rPr>
            </w:pPr>
            <w:r>
              <w:rPr>
                <w:rFonts w:ascii="Courier New" w:cs="Courier New" w:eastAsia="Courier New" w:hAnsi="Courier New"/>
                <w:sz w:val="13"/>
                <w:szCs w:val="13"/>
                <w:color w:val="auto"/>
              </w:rPr>
              <w:t>Deferred income tax assets</w:t>
            </w: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4"/>
        </w:trPr>
        <w:tc>
          <w:tcPr>
            <w:tcW w:w="4340" w:type="dxa"/>
            <w:vAlign w:val="bottom"/>
          </w:tcPr>
          <w:p>
            <w:pPr>
              <w:ind w:left="320"/>
              <w:spacing w:after="0"/>
              <w:rPr>
                <w:sz w:val="20"/>
                <w:szCs w:val="20"/>
                <w:color w:val="auto"/>
              </w:rPr>
            </w:pPr>
            <w:r>
              <w:rPr>
                <w:rFonts w:ascii="Courier New" w:cs="Courier New" w:eastAsia="Courier New" w:hAnsi="Courier New"/>
                <w:sz w:val="13"/>
                <w:szCs w:val="13"/>
                <w:color w:val="auto"/>
              </w:rPr>
              <w:t>Inventories</w:t>
            </w:r>
          </w:p>
        </w:tc>
        <w:tc>
          <w:tcPr>
            <w:tcW w:w="8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rPr>
              <w:t>351</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413"/>
              <w:spacing w:after="0"/>
              <w:rPr>
                <w:sz w:val="20"/>
                <w:szCs w:val="20"/>
                <w:color w:val="auto"/>
              </w:rPr>
            </w:pPr>
            <w:r>
              <w:rPr>
                <w:rFonts w:ascii="Courier New" w:cs="Courier New" w:eastAsia="Courier New" w:hAnsi="Courier New"/>
                <w:sz w:val="13"/>
                <w:szCs w:val="13"/>
                <w:color w:val="auto"/>
              </w:rPr>
              <w:t>337</w:t>
            </w:r>
          </w:p>
        </w:tc>
      </w:tr>
      <w:tr>
        <w:trPr>
          <w:trHeight w:val="154"/>
        </w:trPr>
        <w:tc>
          <w:tcPr>
            <w:tcW w:w="4340" w:type="dxa"/>
            <w:vAlign w:val="bottom"/>
          </w:tcPr>
          <w:p>
            <w:pPr>
              <w:ind w:left="320"/>
              <w:spacing w:after="0"/>
              <w:rPr>
                <w:sz w:val="20"/>
                <w:szCs w:val="20"/>
                <w:color w:val="auto"/>
              </w:rPr>
            </w:pPr>
            <w:r>
              <w:rPr>
                <w:rFonts w:ascii="Courier New" w:cs="Courier New" w:eastAsia="Courier New" w:hAnsi="Courier New"/>
                <w:sz w:val="13"/>
                <w:szCs w:val="13"/>
                <w:color w:val="auto"/>
              </w:rPr>
              <w:t>Allowance for bad debts</w:t>
            </w:r>
          </w:p>
        </w:tc>
        <w:tc>
          <w:tcPr>
            <w:tcW w:w="8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rPr>
              <w:t>710</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413"/>
              <w:spacing w:after="0"/>
              <w:rPr>
                <w:sz w:val="20"/>
                <w:szCs w:val="20"/>
                <w:color w:val="auto"/>
              </w:rPr>
            </w:pPr>
            <w:r>
              <w:rPr>
                <w:rFonts w:ascii="Courier New" w:cs="Courier New" w:eastAsia="Courier New" w:hAnsi="Courier New"/>
                <w:sz w:val="13"/>
                <w:szCs w:val="13"/>
                <w:color w:val="auto"/>
              </w:rPr>
              <w:t>632</w:t>
            </w:r>
          </w:p>
        </w:tc>
      </w:tr>
      <w:tr>
        <w:trPr>
          <w:trHeight w:val="154"/>
        </w:trPr>
        <w:tc>
          <w:tcPr>
            <w:tcW w:w="4340" w:type="dxa"/>
            <w:vAlign w:val="bottom"/>
          </w:tcPr>
          <w:p>
            <w:pPr>
              <w:ind w:left="320"/>
              <w:spacing w:after="0"/>
              <w:rPr>
                <w:sz w:val="20"/>
                <w:szCs w:val="20"/>
                <w:color w:val="auto"/>
              </w:rPr>
            </w:pPr>
            <w:r>
              <w:rPr>
                <w:rFonts w:ascii="Courier New" w:cs="Courier New" w:eastAsia="Courier New" w:hAnsi="Courier New"/>
                <w:sz w:val="13"/>
                <w:szCs w:val="13"/>
                <w:color w:val="auto"/>
              </w:rPr>
              <w:t>Vacation accrual</w:t>
            </w:r>
          </w:p>
        </w:tc>
        <w:tc>
          <w:tcPr>
            <w:tcW w:w="8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rPr>
              <w:t>244</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413"/>
              <w:spacing w:after="0"/>
              <w:rPr>
                <w:sz w:val="20"/>
                <w:szCs w:val="20"/>
                <w:color w:val="auto"/>
              </w:rPr>
            </w:pPr>
            <w:r>
              <w:rPr>
                <w:rFonts w:ascii="Courier New" w:cs="Courier New" w:eastAsia="Courier New" w:hAnsi="Courier New"/>
                <w:sz w:val="13"/>
                <w:szCs w:val="13"/>
                <w:color w:val="auto"/>
              </w:rPr>
              <w:t>264</w:t>
            </w:r>
          </w:p>
        </w:tc>
      </w:tr>
      <w:tr>
        <w:trPr>
          <w:trHeight w:val="154"/>
        </w:trPr>
        <w:tc>
          <w:tcPr>
            <w:tcW w:w="4340" w:type="dxa"/>
            <w:vAlign w:val="bottom"/>
          </w:tcPr>
          <w:p>
            <w:pPr>
              <w:ind w:left="320"/>
              <w:spacing w:after="0"/>
              <w:rPr>
                <w:sz w:val="20"/>
                <w:szCs w:val="20"/>
                <w:color w:val="auto"/>
              </w:rPr>
            </w:pPr>
            <w:r>
              <w:rPr>
                <w:rFonts w:ascii="Courier New" w:cs="Courier New" w:eastAsia="Courier New" w:hAnsi="Courier New"/>
                <w:sz w:val="13"/>
                <w:szCs w:val="13"/>
                <w:color w:val="auto"/>
              </w:rPr>
              <w:t>Health insurance accrual</w:t>
            </w:r>
          </w:p>
        </w:tc>
        <w:tc>
          <w:tcPr>
            <w:tcW w:w="8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rPr>
              <w:t>139</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413"/>
              <w:spacing w:after="0"/>
              <w:rPr>
                <w:sz w:val="20"/>
                <w:szCs w:val="20"/>
                <w:color w:val="auto"/>
              </w:rPr>
            </w:pPr>
            <w:r>
              <w:rPr>
                <w:rFonts w:ascii="Courier New" w:cs="Courier New" w:eastAsia="Courier New" w:hAnsi="Courier New"/>
                <w:sz w:val="13"/>
                <w:szCs w:val="13"/>
                <w:color w:val="auto"/>
              </w:rPr>
              <w:t>103</w:t>
            </w:r>
          </w:p>
        </w:tc>
      </w:tr>
      <w:tr>
        <w:trPr>
          <w:trHeight w:val="154"/>
        </w:trPr>
        <w:tc>
          <w:tcPr>
            <w:tcW w:w="4340" w:type="dxa"/>
            <w:vAlign w:val="bottom"/>
          </w:tcPr>
          <w:p>
            <w:pPr>
              <w:ind w:left="320"/>
              <w:spacing w:after="0"/>
              <w:rPr>
                <w:sz w:val="20"/>
                <w:szCs w:val="20"/>
                <w:color w:val="auto"/>
              </w:rPr>
            </w:pPr>
            <w:r>
              <w:rPr>
                <w:rFonts w:ascii="Courier New" w:cs="Courier New" w:eastAsia="Courier New" w:hAnsi="Courier New"/>
                <w:sz w:val="13"/>
                <w:szCs w:val="13"/>
                <w:color w:val="auto"/>
              </w:rPr>
              <w:t>Other working capital accruals</w:t>
            </w:r>
          </w:p>
        </w:tc>
        <w:tc>
          <w:tcPr>
            <w:tcW w:w="8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rPr>
              <w:t>235</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413"/>
              <w:spacing w:after="0"/>
              <w:rPr>
                <w:sz w:val="20"/>
                <w:szCs w:val="20"/>
                <w:color w:val="auto"/>
              </w:rPr>
            </w:pPr>
            <w:r>
              <w:rPr>
                <w:rFonts w:ascii="Courier New" w:cs="Courier New" w:eastAsia="Courier New" w:hAnsi="Courier New"/>
                <w:sz w:val="13"/>
                <w:szCs w:val="13"/>
                <w:color w:val="auto"/>
              </w:rPr>
              <w:t>358</w:t>
            </w:r>
          </w:p>
        </w:tc>
      </w:tr>
      <w:tr>
        <w:trPr>
          <w:trHeight w:val="154"/>
        </w:trPr>
        <w:tc>
          <w:tcPr>
            <w:tcW w:w="4340" w:type="dxa"/>
            <w:vAlign w:val="bottom"/>
          </w:tcPr>
          <w:p>
            <w:pPr>
              <w:ind w:left="320"/>
              <w:spacing w:after="0"/>
              <w:rPr>
                <w:sz w:val="20"/>
                <w:szCs w:val="20"/>
                <w:color w:val="auto"/>
              </w:rPr>
            </w:pPr>
            <w:r>
              <w:rPr>
                <w:rFonts w:ascii="Courier New" w:cs="Courier New" w:eastAsia="Courier New" w:hAnsi="Courier New"/>
                <w:sz w:val="13"/>
                <w:szCs w:val="13"/>
                <w:color w:val="auto"/>
              </w:rPr>
              <w:t>Euroball net operating loss carry forward</w:t>
            </w:r>
          </w:p>
        </w:tc>
        <w:tc>
          <w:tcPr>
            <w:tcW w:w="8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rPr>
              <w:t>25</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413"/>
              <w:spacing w:after="0"/>
              <w:rPr>
                <w:sz w:val="20"/>
                <w:szCs w:val="20"/>
                <w:color w:val="auto"/>
              </w:rPr>
            </w:pPr>
            <w:r>
              <w:rPr>
                <w:rFonts w:ascii="Courier New" w:cs="Courier New" w:eastAsia="Courier New" w:hAnsi="Courier New"/>
                <w:sz w:val="13"/>
                <w:szCs w:val="13"/>
                <w:color w:val="auto"/>
              </w:rPr>
              <w:t>133</w:t>
            </w:r>
          </w:p>
        </w:tc>
      </w:tr>
      <w:tr>
        <w:trPr>
          <w:trHeight w:val="154"/>
        </w:trPr>
        <w:tc>
          <w:tcPr>
            <w:tcW w:w="4340" w:type="dxa"/>
            <w:vAlign w:val="bottom"/>
          </w:tcPr>
          <w:p>
            <w:pPr>
              <w:spacing w:after="0"/>
              <w:rPr>
                <w:sz w:val="13"/>
                <w:szCs w:val="13"/>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90"/>
              </w:rPr>
              <w:t>-------------------</w:t>
            </w:r>
          </w:p>
        </w:tc>
        <w:tc>
          <w:tcPr>
            <w:tcW w:w="560" w:type="dxa"/>
            <w:vAlign w:val="bottom"/>
          </w:tcPr>
          <w:p>
            <w:pPr>
              <w:spacing w:after="0"/>
              <w:rPr>
                <w:sz w:val="13"/>
                <w:szCs w:val="13"/>
                <w:color w:val="auto"/>
              </w:rPr>
            </w:pPr>
          </w:p>
        </w:tc>
        <w:tc>
          <w:tcPr>
            <w:tcW w:w="1760" w:type="dxa"/>
            <w:vAlign w:val="bottom"/>
            <w:gridSpan w:val="3"/>
          </w:tcPr>
          <w:p>
            <w:pPr>
              <w:jc w:val="right"/>
              <w:ind w:right="173"/>
              <w:spacing w:after="0"/>
              <w:rPr>
                <w:sz w:val="20"/>
                <w:szCs w:val="20"/>
                <w:color w:val="auto"/>
              </w:rPr>
            </w:pPr>
            <w:r>
              <w:rPr>
                <w:rFonts w:ascii="Courier New" w:cs="Courier New" w:eastAsia="Courier New" w:hAnsi="Courier New"/>
                <w:sz w:val="13"/>
                <w:szCs w:val="13"/>
                <w:color w:val="auto"/>
              </w:rPr>
              <w:t>-------------------</w:t>
            </w:r>
          </w:p>
        </w:tc>
      </w:tr>
      <w:tr>
        <w:trPr>
          <w:trHeight w:val="154"/>
        </w:trPr>
        <w:tc>
          <w:tcPr>
            <w:tcW w:w="4340" w:type="dxa"/>
            <w:vAlign w:val="bottom"/>
          </w:tcPr>
          <w:p>
            <w:pPr>
              <w:ind w:left="480"/>
              <w:spacing w:after="0"/>
              <w:rPr>
                <w:sz w:val="20"/>
                <w:szCs w:val="20"/>
                <w:color w:val="auto"/>
              </w:rPr>
            </w:pPr>
            <w:r>
              <w:rPr>
                <w:rFonts w:ascii="Courier New" w:cs="Courier New" w:eastAsia="Courier New" w:hAnsi="Courier New"/>
                <w:sz w:val="13"/>
                <w:szCs w:val="13"/>
                <w:color w:val="auto"/>
              </w:rPr>
              <w:t>Gross deferred income tax assets</w:t>
            </w:r>
          </w:p>
        </w:tc>
        <w:tc>
          <w:tcPr>
            <w:tcW w:w="8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rPr>
              <w:t>1,704</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413"/>
              <w:spacing w:after="0"/>
              <w:rPr>
                <w:sz w:val="20"/>
                <w:szCs w:val="20"/>
                <w:color w:val="auto"/>
              </w:rPr>
            </w:pPr>
            <w:r>
              <w:rPr>
                <w:rFonts w:ascii="Courier New" w:cs="Courier New" w:eastAsia="Courier New" w:hAnsi="Courier New"/>
                <w:sz w:val="13"/>
                <w:szCs w:val="13"/>
                <w:color w:val="auto"/>
              </w:rPr>
              <w:t>1,827</w:t>
            </w:r>
          </w:p>
        </w:tc>
      </w:tr>
      <w:tr>
        <w:trPr>
          <w:trHeight w:val="154"/>
        </w:trPr>
        <w:tc>
          <w:tcPr>
            <w:tcW w:w="4340" w:type="dxa"/>
            <w:vAlign w:val="bottom"/>
          </w:tcPr>
          <w:p>
            <w:pPr>
              <w:spacing w:after="0"/>
              <w:rPr>
                <w:sz w:val="13"/>
                <w:szCs w:val="13"/>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90"/>
              </w:rPr>
              <w:t>-------------------</w:t>
            </w:r>
          </w:p>
        </w:tc>
        <w:tc>
          <w:tcPr>
            <w:tcW w:w="560" w:type="dxa"/>
            <w:vAlign w:val="bottom"/>
          </w:tcPr>
          <w:p>
            <w:pPr>
              <w:spacing w:after="0"/>
              <w:rPr>
                <w:sz w:val="13"/>
                <w:szCs w:val="13"/>
                <w:color w:val="auto"/>
              </w:rPr>
            </w:pPr>
          </w:p>
        </w:tc>
        <w:tc>
          <w:tcPr>
            <w:tcW w:w="1760" w:type="dxa"/>
            <w:vAlign w:val="bottom"/>
            <w:gridSpan w:val="3"/>
          </w:tcPr>
          <w:p>
            <w:pPr>
              <w:jc w:val="right"/>
              <w:ind w:right="173"/>
              <w:spacing w:after="0"/>
              <w:rPr>
                <w:sz w:val="20"/>
                <w:szCs w:val="20"/>
                <w:color w:val="auto"/>
              </w:rPr>
            </w:pPr>
            <w:r>
              <w:rPr>
                <w:rFonts w:ascii="Courier New" w:cs="Courier New" w:eastAsia="Courier New" w:hAnsi="Courier New"/>
                <w:sz w:val="13"/>
                <w:szCs w:val="13"/>
                <w:color w:val="auto"/>
              </w:rPr>
              <w:t>-------------------</w:t>
            </w:r>
          </w:p>
        </w:tc>
      </w:tr>
      <w:tr>
        <w:trPr>
          <w:trHeight w:val="308"/>
        </w:trPr>
        <w:tc>
          <w:tcPr>
            <w:tcW w:w="4340" w:type="dxa"/>
            <w:vAlign w:val="bottom"/>
          </w:tcPr>
          <w:p>
            <w:pPr>
              <w:ind w:left="320"/>
              <w:spacing w:after="0"/>
              <w:rPr>
                <w:sz w:val="20"/>
                <w:szCs w:val="20"/>
                <w:color w:val="auto"/>
              </w:rPr>
            </w:pPr>
            <w:r>
              <w:rPr>
                <w:rFonts w:ascii="Courier New" w:cs="Courier New" w:eastAsia="Courier New" w:hAnsi="Courier New"/>
                <w:sz w:val="13"/>
                <w:szCs w:val="13"/>
                <w:color w:val="auto"/>
              </w:rPr>
              <w:t>Net deferred income tax liability</w:t>
            </w:r>
          </w:p>
        </w:tc>
        <w:tc>
          <w:tcPr>
            <w:tcW w:w="8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rPr>
              <w:t>7,934</w:t>
            </w: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jc w:val="right"/>
              <w:ind w:right="413"/>
              <w:spacing w:after="0"/>
              <w:rPr>
                <w:sz w:val="20"/>
                <w:szCs w:val="20"/>
                <w:color w:val="auto"/>
              </w:rPr>
            </w:pPr>
            <w:r>
              <w:rPr>
                <w:rFonts w:ascii="Courier New" w:cs="Courier New" w:eastAsia="Courier New" w:hAnsi="Courier New"/>
                <w:sz w:val="13"/>
                <w:szCs w:val="13"/>
                <w:color w:val="auto"/>
              </w:rPr>
              <w:t>5,370</w:t>
            </w:r>
          </w:p>
        </w:tc>
      </w:tr>
      <w:tr>
        <w:trPr>
          <w:trHeight w:val="154"/>
        </w:trPr>
        <w:tc>
          <w:tcPr>
            <w:tcW w:w="4340" w:type="dxa"/>
            <w:vAlign w:val="bottom"/>
          </w:tcPr>
          <w:p>
            <w:pPr>
              <w:spacing w:after="0"/>
              <w:rPr>
                <w:sz w:val="13"/>
                <w:szCs w:val="13"/>
                <w:color w:val="auto"/>
              </w:rPr>
            </w:pPr>
          </w:p>
        </w:tc>
        <w:tc>
          <w:tcPr>
            <w:tcW w:w="1920" w:type="dxa"/>
            <w:vAlign w:val="bottom"/>
            <w:gridSpan w:val="3"/>
          </w:tcPr>
          <w:p>
            <w:pPr>
              <w:jc w:val="right"/>
              <w:ind w:right="253"/>
              <w:spacing w:after="0"/>
              <w:rPr>
                <w:sz w:val="20"/>
                <w:szCs w:val="20"/>
                <w:color w:val="auto"/>
              </w:rPr>
            </w:pPr>
            <w:r>
              <w:rPr>
                <w:rFonts w:ascii="Courier New" w:cs="Courier New" w:eastAsia="Courier New" w:hAnsi="Courier New"/>
                <w:sz w:val="13"/>
                <w:szCs w:val="13"/>
                <w:color w:val="auto"/>
              </w:rPr>
              <w:t>===================</w:t>
            </w:r>
          </w:p>
        </w:tc>
        <w:tc>
          <w:tcPr>
            <w:tcW w:w="1760" w:type="dxa"/>
            <w:vAlign w:val="bottom"/>
            <w:gridSpan w:val="3"/>
          </w:tcPr>
          <w:p>
            <w:pPr>
              <w:jc w:val="right"/>
              <w:ind w:right="173"/>
              <w:spacing w:after="0"/>
              <w:rPr>
                <w:sz w:val="20"/>
                <w:szCs w:val="20"/>
                <w:color w:val="auto"/>
              </w:rPr>
            </w:pPr>
            <w:r>
              <w:rPr>
                <w:rFonts w:ascii="Courier New" w:cs="Courier New" w:eastAsia="Courier New" w:hAnsi="Courier New"/>
                <w:sz w:val="13"/>
                <w:szCs w:val="13"/>
                <w:color w:val="auto"/>
              </w:rPr>
              <w:t>===================</w:t>
            </w:r>
          </w:p>
        </w:tc>
      </w:tr>
      <w:tr>
        <w:trPr>
          <w:trHeight w:val="308"/>
        </w:trPr>
        <w:tc>
          <w:tcPr>
            <w:tcW w:w="5700" w:type="dxa"/>
            <w:vAlign w:val="bottom"/>
            <w:gridSpan w:val="3"/>
          </w:tcPr>
          <w:p>
            <w:pPr>
              <w:spacing w:after="0"/>
              <w:rPr>
                <w:sz w:val="20"/>
                <w:szCs w:val="20"/>
                <w:color w:val="auto"/>
              </w:rPr>
            </w:pPr>
            <w:r>
              <w:rPr>
                <w:rFonts w:ascii="Courier New" w:cs="Courier New" w:eastAsia="Courier New" w:hAnsi="Courier New"/>
                <w:sz w:val="13"/>
                <w:szCs w:val="13"/>
                <w:color w:val="auto"/>
              </w:rPr>
              <w:t>Deferred income tax expense differs from the change in the net deferred</w:t>
            </w: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54"/>
        </w:trPr>
        <w:tc>
          <w:tcPr>
            <w:tcW w:w="4340" w:type="dxa"/>
            <w:vAlign w:val="bottom"/>
          </w:tcPr>
          <w:p>
            <w:pPr>
              <w:spacing w:after="0"/>
              <w:rPr>
                <w:sz w:val="20"/>
                <w:szCs w:val="20"/>
                <w:color w:val="auto"/>
              </w:rPr>
            </w:pPr>
            <w:r>
              <w:rPr>
                <w:rFonts w:ascii="Courier New" w:cs="Courier New" w:eastAsia="Courier New" w:hAnsi="Courier New"/>
                <w:sz w:val="13"/>
                <w:szCs w:val="13"/>
                <w:color w:val="auto"/>
              </w:rPr>
              <w:t>income tax liability due to the following:</w:t>
            </w: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308"/>
        </w:trPr>
        <w:tc>
          <w:tcPr>
            <w:tcW w:w="4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2002</w:t>
            </w:r>
          </w:p>
        </w:tc>
        <w:tc>
          <w:tcPr>
            <w:tcW w:w="480" w:type="dxa"/>
            <w:vAlign w:val="bottom"/>
          </w:tcPr>
          <w:p>
            <w:pPr>
              <w:spacing w:after="0"/>
              <w:rPr>
                <w:sz w:val="24"/>
                <w:szCs w:val="24"/>
                <w:color w:val="auto"/>
              </w:rPr>
            </w:pPr>
          </w:p>
        </w:tc>
        <w:tc>
          <w:tcPr>
            <w:tcW w:w="1160" w:type="dxa"/>
            <w:vAlign w:val="bottom"/>
            <w:gridSpan w:val="2"/>
          </w:tcPr>
          <w:p>
            <w:pPr>
              <w:jc w:val="right"/>
              <w:ind w:right="453"/>
              <w:spacing w:after="0"/>
              <w:rPr>
                <w:sz w:val="20"/>
                <w:szCs w:val="20"/>
                <w:color w:val="auto"/>
              </w:rPr>
            </w:pPr>
            <w:r>
              <w:rPr>
                <w:rFonts w:ascii="Courier New" w:cs="Courier New" w:eastAsia="Courier New" w:hAnsi="Courier New"/>
                <w:sz w:val="13"/>
                <w:szCs w:val="13"/>
                <w:b w:val="1"/>
                <w:bCs w:val="1"/>
                <w:color w:val="auto"/>
              </w:rPr>
              <w:t>2001</w:t>
            </w:r>
          </w:p>
        </w:tc>
        <w:tc>
          <w:tcPr>
            <w:tcW w:w="160" w:type="dxa"/>
            <w:vAlign w:val="bottom"/>
          </w:tcPr>
          <w:p>
            <w:pPr>
              <w:spacing w:after="0"/>
              <w:rPr>
                <w:sz w:val="24"/>
                <w:szCs w:val="24"/>
                <w:color w:val="auto"/>
              </w:rPr>
            </w:pPr>
          </w:p>
        </w:tc>
        <w:tc>
          <w:tcPr>
            <w:tcW w:w="1000" w:type="dxa"/>
            <w:vAlign w:val="bottom"/>
          </w:tcPr>
          <w:p>
            <w:pPr>
              <w:jc w:val="right"/>
              <w:ind w:right="413"/>
              <w:spacing w:after="0"/>
              <w:rPr>
                <w:sz w:val="20"/>
                <w:szCs w:val="20"/>
                <w:color w:val="auto"/>
              </w:rPr>
            </w:pPr>
            <w:r>
              <w:rPr>
                <w:rFonts w:ascii="Courier New" w:cs="Courier New" w:eastAsia="Courier New" w:hAnsi="Courier New"/>
                <w:sz w:val="13"/>
                <w:szCs w:val="13"/>
                <w:b w:val="1"/>
                <w:bCs w:val="1"/>
                <w:color w:val="auto"/>
              </w:rPr>
              <w:t>2000</w:t>
            </w:r>
          </w:p>
        </w:tc>
      </w:tr>
      <w:tr>
        <w:trPr>
          <w:trHeight w:val="154"/>
        </w:trPr>
        <w:tc>
          <w:tcPr>
            <w:tcW w:w="4340" w:type="dxa"/>
            <w:vAlign w:val="bottom"/>
          </w:tcPr>
          <w:p>
            <w:pPr>
              <w:spacing w:after="0"/>
              <w:rPr>
                <w:sz w:val="13"/>
                <w:szCs w:val="13"/>
                <w:color w:val="auto"/>
              </w:rPr>
            </w:pPr>
          </w:p>
        </w:tc>
        <w:tc>
          <w:tcPr>
            <w:tcW w:w="1360" w:type="dxa"/>
            <w:vAlign w:val="bottom"/>
            <w:gridSpan w:val="2"/>
          </w:tcPr>
          <w:p>
            <w:pPr>
              <w:jc w:val="right"/>
              <w:ind w:right="93"/>
              <w:spacing w:after="0"/>
              <w:rPr>
                <w:sz w:val="20"/>
                <w:szCs w:val="20"/>
                <w:color w:val="auto"/>
              </w:rPr>
            </w:pPr>
            <w:r>
              <w:rPr>
                <w:rFonts w:ascii="Courier New" w:cs="Courier New" w:eastAsia="Courier New" w:hAnsi="Courier New"/>
                <w:sz w:val="13"/>
                <w:szCs w:val="13"/>
                <w:b w:val="1"/>
                <w:bCs w:val="1"/>
                <w:color w:val="auto"/>
              </w:rPr>
              <w:t>-------------</w:t>
            </w:r>
          </w:p>
        </w:tc>
        <w:tc>
          <w:tcPr>
            <w:tcW w:w="1160" w:type="dxa"/>
            <w:vAlign w:val="bottom"/>
            <w:gridSpan w:val="2"/>
          </w:tcPr>
          <w:p>
            <w:pPr>
              <w:jc w:val="right"/>
              <w:ind w:right="133"/>
              <w:spacing w:after="0"/>
              <w:rPr>
                <w:sz w:val="20"/>
                <w:szCs w:val="20"/>
                <w:color w:val="auto"/>
              </w:rPr>
            </w:pPr>
            <w:r>
              <w:rPr>
                <w:rFonts w:ascii="Courier New" w:cs="Courier New" w:eastAsia="Courier New" w:hAnsi="Courier New"/>
                <w:sz w:val="13"/>
                <w:szCs w:val="13"/>
                <w:b w:val="1"/>
                <w:bCs w:val="1"/>
                <w:color w:val="auto"/>
              </w:rPr>
              <w:t>------------</w:t>
            </w:r>
          </w:p>
        </w:tc>
        <w:tc>
          <w:tcPr>
            <w:tcW w:w="1160" w:type="dxa"/>
            <w:vAlign w:val="bottom"/>
            <w:gridSpan w:val="2"/>
          </w:tcPr>
          <w:p>
            <w:pPr>
              <w:jc w:val="right"/>
              <w:ind w:right="93"/>
              <w:spacing w:after="0"/>
              <w:rPr>
                <w:sz w:val="20"/>
                <w:szCs w:val="20"/>
                <w:color w:val="auto"/>
              </w:rPr>
            </w:pPr>
            <w:r>
              <w:rPr>
                <w:rFonts w:ascii="Courier New" w:cs="Courier New" w:eastAsia="Courier New" w:hAnsi="Courier New"/>
                <w:sz w:val="13"/>
                <w:szCs w:val="13"/>
                <w:b w:val="1"/>
                <w:bCs w:val="1"/>
                <w:color w:val="auto"/>
              </w:rPr>
              <w:t>------------</w:t>
            </w:r>
          </w:p>
        </w:tc>
      </w:tr>
      <w:tr>
        <w:trPr>
          <w:trHeight w:val="308"/>
        </w:trPr>
        <w:tc>
          <w:tcPr>
            <w:tcW w:w="4340" w:type="dxa"/>
            <w:vAlign w:val="bottom"/>
          </w:tcPr>
          <w:p>
            <w:pPr>
              <w:spacing w:after="0"/>
              <w:rPr>
                <w:sz w:val="20"/>
                <w:szCs w:val="20"/>
                <w:color w:val="auto"/>
              </w:rPr>
            </w:pPr>
            <w:r>
              <w:rPr>
                <w:rFonts w:ascii="Courier New" w:cs="Courier New" w:eastAsia="Courier New" w:hAnsi="Courier New"/>
                <w:sz w:val="13"/>
                <w:szCs w:val="13"/>
                <w:color w:val="auto"/>
              </w:rPr>
              <w:t>Change in net deferred income tax liability</w:t>
            </w:r>
          </w:p>
        </w:tc>
        <w:tc>
          <w:tcPr>
            <w:tcW w:w="1360" w:type="dxa"/>
            <w:vAlign w:val="bottom"/>
            <w:gridSpan w:val="2"/>
          </w:tcPr>
          <w:p>
            <w:pPr>
              <w:jc w:val="right"/>
              <w:ind w:right="173"/>
              <w:spacing w:after="0"/>
              <w:rPr>
                <w:sz w:val="20"/>
                <w:szCs w:val="20"/>
                <w:color w:val="auto"/>
              </w:rPr>
            </w:pPr>
            <w:r>
              <w:rPr>
                <w:rFonts w:ascii="Courier New" w:cs="Courier New" w:eastAsia="Courier New" w:hAnsi="Courier New"/>
                <w:sz w:val="13"/>
                <w:szCs w:val="13"/>
                <w:color w:val="auto"/>
              </w:rPr>
              <w:t>$ 2,564</w:t>
            </w: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60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979</w:t>
            </w:r>
          </w:p>
        </w:tc>
        <w:tc>
          <w:tcPr>
            <w:tcW w:w="160" w:type="dxa"/>
            <w:vAlign w:val="bottom"/>
          </w:tcPr>
          <w:p>
            <w:pPr>
              <w:spacing w:after="0"/>
              <w:rPr>
                <w:sz w:val="24"/>
                <w:szCs w:val="24"/>
                <w:color w:val="auto"/>
              </w:rPr>
            </w:pPr>
          </w:p>
        </w:tc>
        <w:tc>
          <w:tcPr>
            <w:tcW w:w="10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$ 1,780</w:t>
            </w:r>
          </w:p>
        </w:tc>
      </w:tr>
      <w:tr>
        <w:trPr>
          <w:trHeight w:val="154"/>
        </w:trPr>
        <w:tc>
          <w:tcPr>
            <w:tcW w:w="4340" w:type="dxa"/>
            <w:vAlign w:val="bottom"/>
          </w:tcPr>
          <w:p>
            <w:pPr>
              <w:spacing w:after="0"/>
              <w:rPr>
                <w:sz w:val="20"/>
                <w:szCs w:val="20"/>
                <w:color w:val="auto"/>
              </w:rPr>
            </w:pPr>
            <w:r>
              <w:rPr>
                <w:rFonts w:ascii="Courier New" w:cs="Courier New" w:eastAsia="Courier New" w:hAnsi="Courier New"/>
                <w:sz w:val="13"/>
                <w:szCs w:val="13"/>
                <w:color w:val="auto"/>
              </w:rPr>
              <w:t>Other comprehensive income adjustment</w:t>
            </w:r>
          </w:p>
        </w:tc>
        <w:tc>
          <w:tcPr>
            <w:tcW w:w="880" w:type="dxa"/>
            <w:vAlign w:val="bottom"/>
          </w:tcPr>
          <w:p>
            <w:pPr>
              <w:spacing w:after="0"/>
              <w:rPr>
                <w:sz w:val="13"/>
                <w:szCs w:val="13"/>
                <w:color w:val="auto"/>
              </w:rPr>
            </w:pPr>
          </w:p>
        </w:tc>
        <w:tc>
          <w:tcPr>
            <w:tcW w:w="4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16</w:t>
            </w:r>
          </w:p>
        </w:tc>
        <w:tc>
          <w:tcPr>
            <w:tcW w:w="560" w:type="dxa"/>
            <w:vAlign w:val="bottom"/>
          </w:tcPr>
          <w:p>
            <w:pPr>
              <w:spacing w:after="0"/>
              <w:rPr>
                <w:sz w:val="13"/>
                <w:szCs w:val="13"/>
                <w:color w:val="auto"/>
              </w:rPr>
            </w:pPr>
          </w:p>
        </w:tc>
        <w:tc>
          <w:tcPr>
            <w:tcW w:w="60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31</w:t>
            </w:r>
          </w:p>
        </w:tc>
        <w:tc>
          <w:tcPr>
            <w:tcW w:w="160" w:type="dxa"/>
            <w:vAlign w:val="bottom"/>
          </w:tcPr>
          <w:p>
            <w:pPr>
              <w:spacing w:after="0"/>
              <w:rPr>
                <w:sz w:val="13"/>
                <w:szCs w:val="13"/>
                <w:color w:val="auto"/>
              </w:rPr>
            </w:pPr>
          </w:p>
        </w:tc>
        <w:tc>
          <w:tcPr>
            <w:tcW w:w="10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r>
      <w:tr>
        <w:trPr>
          <w:trHeight w:val="154"/>
        </w:trPr>
        <w:tc>
          <w:tcPr>
            <w:tcW w:w="4340" w:type="dxa"/>
            <w:vAlign w:val="bottom"/>
          </w:tcPr>
          <w:p>
            <w:pPr>
              <w:spacing w:after="0"/>
              <w:rPr>
                <w:sz w:val="20"/>
                <w:szCs w:val="20"/>
                <w:color w:val="auto"/>
              </w:rPr>
            </w:pPr>
            <w:r>
              <w:rPr>
                <w:rFonts w:ascii="Courier New" w:cs="Courier New" w:eastAsia="Courier New" w:hAnsi="Courier New"/>
                <w:sz w:val="13"/>
                <w:szCs w:val="13"/>
                <w:color w:val="auto"/>
              </w:rPr>
              <w:t>Cumulative effect of a change in accounting principle</w:t>
            </w:r>
          </w:p>
        </w:tc>
        <w:tc>
          <w:tcPr>
            <w:tcW w:w="880" w:type="dxa"/>
            <w:vAlign w:val="bottom"/>
          </w:tcPr>
          <w:p>
            <w:pPr>
              <w:spacing w:after="0"/>
              <w:rPr>
                <w:sz w:val="13"/>
                <w:szCs w:val="13"/>
                <w:color w:val="auto"/>
              </w:rPr>
            </w:pPr>
          </w:p>
        </w:tc>
        <w:tc>
          <w:tcPr>
            <w:tcW w:w="4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560" w:type="dxa"/>
            <w:vAlign w:val="bottom"/>
          </w:tcPr>
          <w:p>
            <w:pPr>
              <w:spacing w:after="0"/>
              <w:rPr>
                <w:sz w:val="13"/>
                <w:szCs w:val="13"/>
                <w:color w:val="auto"/>
              </w:rPr>
            </w:pPr>
          </w:p>
        </w:tc>
        <w:tc>
          <w:tcPr>
            <w:tcW w:w="60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112</w:t>
            </w:r>
          </w:p>
        </w:tc>
        <w:tc>
          <w:tcPr>
            <w:tcW w:w="160" w:type="dxa"/>
            <w:vAlign w:val="bottom"/>
          </w:tcPr>
          <w:p>
            <w:pPr>
              <w:spacing w:after="0"/>
              <w:rPr>
                <w:sz w:val="13"/>
                <w:szCs w:val="13"/>
                <w:color w:val="auto"/>
              </w:rPr>
            </w:pPr>
          </w:p>
        </w:tc>
        <w:tc>
          <w:tcPr>
            <w:tcW w:w="10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r>
      <w:tr>
        <w:trPr>
          <w:trHeight w:val="154"/>
        </w:trPr>
        <w:tc>
          <w:tcPr>
            <w:tcW w:w="4340" w:type="dxa"/>
            <w:vAlign w:val="bottom"/>
          </w:tcPr>
          <w:p>
            <w:pPr>
              <w:spacing w:after="0"/>
              <w:rPr>
                <w:sz w:val="20"/>
                <w:szCs w:val="20"/>
                <w:color w:val="auto"/>
              </w:rPr>
            </w:pPr>
            <w:r>
              <w:rPr>
                <w:rFonts w:ascii="Courier New" w:cs="Courier New" w:eastAsia="Courier New" w:hAnsi="Courier New"/>
                <w:sz w:val="13"/>
                <w:szCs w:val="13"/>
                <w:color w:val="auto"/>
              </w:rPr>
              <w:t>Acquisition of deferred tax asset (liability)</w:t>
            </w: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4"/>
        </w:trPr>
        <w:tc>
          <w:tcPr>
            <w:tcW w:w="4340" w:type="dxa"/>
            <w:vAlign w:val="bottom"/>
          </w:tcPr>
          <w:p>
            <w:pPr>
              <w:ind w:left="320"/>
              <w:spacing w:after="0"/>
              <w:rPr>
                <w:sz w:val="20"/>
                <w:szCs w:val="20"/>
                <w:color w:val="auto"/>
              </w:rPr>
            </w:pPr>
            <w:r>
              <w:rPr>
                <w:rFonts w:ascii="Courier New" w:cs="Courier New" w:eastAsia="Courier New" w:hAnsi="Courier New"/>
                <w:sz w:val="13"/>
                <w:szCs w:val="13"/>
                <w:color w:val="auto"/>
              </w:rPr>
              <w:t>recorded under purchase accounting</w:t>
            </w:r>
          </w:p>
        </w:tc>
        <w:tc>
          <w:tcPr>
            <w:tcW w:w="880" w:type="dxa"/>
            <w:vAlign w:val="bottom"/>
          </w:tcPr>
          <w:p>
            <w:pPr>
              <w:spacing w:after="0"/>
              <w:rPr>
                <w:sz w:val="13"/>
                <w:szCs w:val="13"/>
                <w:color w:val="auto"/>
              </w:rPr>
            </w:pPr>
          </w:p>
        </w:tc>
        <w:tc>
          <w:tcPr>
            <w:tcW w:w="4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560" w:type="dxa"/>
            <w:vAlign w:val="bottom"/>
          </w:tcPr>
          <w:p>
            <w:pPr>
              <w:spacing w:after="0"/>
              <w:rPr>
                <w:sz w:val="13"/>
                <w:szCs w:val="13"/>
                <w:color w:val="auto"/>
              </w:rPr>
            </w:pPr>
          </w:p>
        </w:tc>
        <w:tc>
          <w:tcPr>
            <w:tcW w:w="60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229</w:t>
            </w:r>
          </w:p>
        </w:tc>
        <w:tc>
          <w:tcPr>
            <w:tcW w:w="160" w:type="dxa"/>
            <w:vAlign w:val="bottom"/>
          </w:tcPr>
          <w:p>
            <w:pPr>
              <w:spacing w:after="0"/>
              <w:rPr>
                <w:sz w:val="13"/>
                <w:szCs w:val="13"/>
                <w:color w:val="auto"/>
              </w:rPr>
            </w:pP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(595)</w:t>
            </w:r>
          </w:p>
        </w:tc>
      </w:tr>
      <w:tr>
        <w:trPr>
          <w:trHeight w:val="154"/>
        </w:trPr>
        <w:tc>
          <w:tcPr>
            <w:tcW w:w="4340" w:type="dxa"/>
            <w:vAlign w:val="bottom"/>
          </w:tcPr>
          <w:p>
            <w:pPr>
              <w:spacing w:after="0"/>
              <w:rPr>
                <w:sz w:val="20"/>
                <w:szCs w:val="20"/>
                <w:color w:val="auto"/>
              </w:rPr>
            </w:pPr>
            <w:r>
              <w:rPr>
                <w:rFonts w:ascii="Courier New" w:cs="Courier New" w:eastAsia="Courier New" w:hAnsi="Courier New"/>
                <w:sz w:val="13"/>
                <w:szCs w:val="13"/>
                <w:color w:val="auto"/>
              </w:rPr>
              <w:t>Effect of currency translation and other</w:t>
            </w:r>
          </w:p>
        </w:tc>
        <w:tc>
          <w:tcPr>
            <w:tcW w:w="880" w:type="dxa"/>
            <w:vAlign w:val="bottom"/>
          </w:tcPr>
          <w:p>
            <w:pPr>
              <w:spacing w:after="0"/>
              <w:rPr>
                <w:sz w:val="13"/>
                <w:szCs w:val="13"/>
                <w:color w:val="auto"/>
              </w:rPr>
            </w:pPr>
          </w:p>
        </w:tc>
        <w:tc>
          <w:tcPr>
            <w:tcW w:w="480" w:type="dxa"/>
            <w:vAlign w:val="bottom"/>
          </w:tcPr>
          <w:p>
            <w:pPr>
              <w:jc w:val="right"/>
              <w:ind w:right="93"/>
              <w:spacing w:after="0"/>
              <w:rPr>
                <w:sz w:val="20"/>
                <w:szCs w:val="20"/>
                <w:color w:val="auto"/>
              </w:rPr>
            </w:pPr>
            <w:r>
              <w:rPr>
                <w:rFonts w:ascii="Courier New" w:cs="Courier New" w:eastAsia="Courier New" w:hAnsi="Courier New"/>
                <w:sz w:val="13"/>
                <w:szCs w:val="13"/>
                <w:color w:val="auto"/>
                <w:w w:val="95"/>
              </w:rPr>
              <w:t>(16)</w:t>
            </w:r>
          </w:p>
        </w:tc>
        <w:tc>
          <w:tcPr>
            <w:tcW w:w="560" w:type="dxa"/>
            <w:vAlign w:val="bottom"/>
          </w:tcPr>
          <w:p>
            <w:pPr>
              <w:spacing w:after="0"/>
              <w:rPr>
                <w:sz w:val="13"/>
                <w:szCs w:val="13"/>
                <w:color w:val="auto"/>
              </w:rPr>
            </w:pPr>
          </w:p>
        </w:tc>
        <w:tc>
          <w:tcPr>
            <w:tcW w:w="600" w:type="dxa"/>
            <w:vAlign w:val="bottom"/>
          </w:tcPr>
          <w:p>
            <w:pPr>
              <w:jc w:val="right"/>
              <w:ind w:right="53"/>
              <w:spacing w:after="0"/>
              <w:rPr>
                <w:sz w:val="20"/>
                <w:szCs w:val="20"/>
                <w:color w:val="auto"/>
              </w:rPr>
            </w:pPr>
            <w:r>
              <w:rPr>
                <w:rFonts w:ascii="Courier New" w:cs="Courier New" w:eastAsia="Courier New" w:hAnsi="Courier New"/>
                <w:sz w:val="13"/>
                <w:szCs w:val="13"/>
                <w:color w:val="auto"/>
              </w:rPr>
              <w:t>(55)</w:t>
            </w:r>
          </w:p>
        </w:tc>
        <w:tc>
          <w:tcPr>
            <w:tcW w:w="160" w:type="dxa"/>
            <w:vAlign w:val="bottom"/>
          </w:tcPr>
          <w:p>
            <w:pPr>
              <w:spacing w:after="0"/>
              <w:rPr>
                <w:sz w:val="13"/>
                <w:szCs w:val="13"/>
                <w:color w:val="auto"/>
              </w:rPr>
            </w:pPr>
          </w:p>
        </w:tc>
        <w:tc>
          <w:tcPr>
            <w:tcW w:w="10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r>
      <w:tr>
        <w:trPr>
          <w:trHeight w:val="154"/>
        </w:trPr>
        <w:tc>
          <w:tcPr>
            <w:tcW w:w="4340" w:type="dxa"/>
            <w:vAlign w:val="bottom"/>
          </w:tcPr>
          <w:p>
            <w:pPr>
              <w:spacing w:after="0"/>
              <w:rPr>
                <w:sz w:val="13"/>
                <w:szCs w:val="13"/>
                <w:color w:val="auto"/>
              </w:rPr>
            </w:pPr>
          </w:p>
        </w:tc>
        <w:tc>
          <w:tcPr>
            <w:tcW w:w="136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308"/>
        </w:trPr>
        <w:tc>
          <w:tcPr>
            <w:tcW w:w="4340" w:type="dxa"/>
            <w:vAlign w:val="bottom"/>
          </w:tcPr>
          <w:p>
            <w:pPr>
              <w:ind w:left="1120"/>
              <w:spacing w:after="0"/>
              <w:rPr>
                <w:sz w:val="20"/>
                <w:szCs w:val="20"/>
                <w:color w:val="auto"/>
              </w:rPr>
            </w:pPr>
            <w:r>
              <w:rPr>
                <w:rFonts w:ascii="Courier New" w:cs="Courier New" w:eastAsia="Courier New" w:hAnsi="Courier New"/>
                <w:sz w:val="13"/>
                <w:szCs w:val="13"/>
                <w:color w:val="auto"/>
              </w:rPr>
              <w:t>Deferred income tax expense</w:t>
            </w:r>
          </w:p>
        </w:tc>
        <w:tc>
          <w:tcPr>
            <w:tcW w:w="1360" w:type="dxa"/>
            <w:vAlign w:val="bottom"/>
            <w:gridSpan w:val="2"/>
          </w:tcPr>
          <w:p>
            <w:pPr>
              <w:jc w:val="right"/>
              <w:ind w:right="173"/>
              <w:spacing w:after="0"/>
              <w:rPr>
                <w:sz w:val="20"/>
                <w:szCs w:val="20"/>
                <w:color w:val="auto"/>
              </w:rPr>
            </w:pPr>
            <w:r>
              <w:rPr>
                <w:rFonts w:ascii="Courier New" w:cs="Courier New" w:eastAsia="Courier New" w:hAnsi="Courier New"/>
                <w:sz w:val="13"/>
                <w:szCs w:val="13"/>
                <w:color w:val="auto"/>
              </w:rPr>
              <w:t>$ 2,564</w:t>
            </w: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600" w:type="dxa"/>
            <w:vAlign w:val="bottom"/>
          </w:tcPr>
          <w:p>
            <w:pPr>
              <w:jc w:val="right"/>
              <w:ind w:right="53"/>
              <w:spacing w:after="0"/>
              <w:rPr>
                <w:sz w:val="20"/>
                <w:szCs w:val="20"/>
                <w:color w:val="auto"/>
              </w:rPr>
            </w:pPr>
            <w:r>
              <w:rPr>
                <w:rFonts w:ascii="Courier New" w:cs="Courier New" w:eastAsia="Courier New" w:hAnsi="Courier New"/>
                <w:sz w:val="13"/>
                <w:szCs w:val="13"/>
                <w:color w:val="auto"/>
              </w:rPr>
              <w:t>1,296</w:t>
            </w:r>
          </w:p>
        </w:tc>
        <w:tc>
          <w:tcPr>
            <w:tcW w:w="160" w:type="dxa"/>
            <w:vAlign w:val="bottom"/>
          </w:tcPr>
          <w:p>
            <w:pPr>
              <w:spacing w:after="0"/>
              <w:rPr>
                <w:sz w:val="24"/>
                <w:szCs w:val="24"/>
                <w:color w:val="auto"/>
              </w:rPr>
            </w:pP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$1,185</w:t>
            </w:r>
          </w:p>
        </w:tc>
      </w:tr>
      <w:tr>
        <w:trPr>
          <w:trHeight w:val="154"/>
        </w:trPr>
        <w:tc>
          <w:tcPr>
            <w:tcW w:w="4340" w:type="dxa"/>
            <w:vAlign w:val="bottom"/>
          </w:tcPr>
          <w:p>
            <w:pPr>
              <w:spacing w:after="0"/>
              <w:rPr>
                <w:sz w:val="13"/>
                <w:szCs w:val="13"/>
                <w:color w:val="auto"/>
              </w:rPr>
            </w:pPr>
          </w:p>
        </w:tc>
        <w:tc>
          <w:tcPr>
            <w:tcW w:w="136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bl>
    <w:p>
      <w:pPr>
        <w:spacing w:after="0" w:line="159" w:lineRule="exact"/>
        <w:rPr>
          <w:sz w:val="20"/>
          <w:szCs w:val="20"/>
          <w:color w:val="auto"/>
        </w:rPr>
      </w:pPr>
    </w:p>
    <w:p>
      <w:pPr>
        <w:ind w:left="560" w:right="3979"/>
        <w:spacing w:after="0" w:line="252" w:lineRule="auto"/>
        <w:rPr>
          <w:sz w:val="20"/>
          <w:szCs w:val="20"/>
          <w:color w:val="auto"/>
        </w:rPr>
      </w:pPr>
      <w:r>
        <w:rPr>
          <w:rFonts w:ascii="Courier New" w:cs="Courier New" w:eastAsia="Courier New" w:hAnsi="Courier New"/>
          <w:sz w:val="13"/>
          <w:szCs w:val="13"/>
          <w:color w:val="auto"/>
        </w:rPr>
        <w:t>Although realization of deferred tax assets is not assured, management believes that it is more likely than not that all of the deferred tax assets will be realized. However, the amount of the deferred tax assets considered realizable could be reduced based on changing conditions.</w:t>
      </w:r>
    </w:p>
    <w:p>
      <w:pPr>
        <w:spacing w:after="0" w:line="153" w:lineRule="exact"/>
        <w:rPr>
          <w:sz w:val="20"/>
          <w:szCs w:val="20"/>
          <w:color w:val="auto"/>
        </w:rPr>
      </w:pPr>
    </w:p>
    <w:p>
      <w:pPr>
        <w:ind w:left="560" w:right="3819"/>
        <w:spacing w:after="0" w:line="251" w:lineRule="auto"/>
        <w:rPr>
          <w:sz w:val="20"/>
          <w:szCs w:val="20"/>
          <w:color w:val="auto"/>
        </w:rPr>
      </w:pPr>
      <w:r>
        <w:rPr>
          <w:rFonts w:ascii="Courier New" w:cs="Courier New" w:eastAsia="Courier New" w:hAnsi="Courier New"/>
          <w:sz w:val="13"/>
          <w:szCs w:val="13"/>
          <w:color w:val="auto"/>
        </w:rPr>
        <w:t>The Company has not recognized a deferred tax liability for the undistributed earnings of its non-U.S. subsidiaries and non-U.S. corporate joint ventures. The Company expects to reinvest these undistributed earnings indefinitely and does not expect such earnings to become subject to U.S. taxation in the foreseeable future. A deferred tax liability will be recognized when the Company expects that it will recover these undistributed earnings in a taxable manner, such as through the receipt of dividends or sale of the investments. It is not practicable to determine the U.S. income tax liability, if any, that would be payable if such earnings were not reinvested indefinitely.</w:t>
      </w:r>
    </w:p>
    <w:p>
      <w:pPr>
        <w:spacing w:after="0" w:line="156" w:lineRule="exact"/>
        <w:rPr>
          <w:sz w:val="20"/>
          <w:szCs w:val="20"/>
          <w:color w:val="auto"/>
        </w:rPr>
      </w:pPr>
    </w:p>
    <w:p>
      <w:pPr>
        <w:ind w:left="5700"/>
        <w:spacing w:after="0"/>
        <w:rPr>
          <w:sz w:val="20"/>
          <w:szCs w:val="20"/>
          <w:color w:val="auto"/>
        </w:rPr>
      </w:pPr>
      <w:r>
        <w:rPr>
          <w:rFonts w:ascii="Courier New" w:cs="Courier New" w:eastAsia="Courier New" w:hAnsi="Courier New"/>
          <w:sz w:val="13"/>
          <w:szCs w:val="13"/>
          <w:color w:val="auto"/>
        </w:rPr>
        <w:t>Continued</w:t>
      </w:r>
    </w:p>
    <w:p>
      <w:pPr>
        <w:spacing w:after="0" w:line="161"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3"/>
          <w:szCs w:val="13"/>
          <w:b w:val="1"/>
          <w:bCs w:val="1"/>
          <w:color w:val="auto"/>
        </w:rPr>
        <w:t>NN, Inc.</w:t>
      </w:r>
    </w:p>
    <w:p>
      <w:pPr>
        <w:spacing w:after="0" w:line="7"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3"/>
          <w:szCs w:val="13"/>
          <w:b w:val="1"/>
          <w:bCs w:val="1"/>
          <w:color w:val="auto"/>
        </w:rPr>
        <w:t>Notes to Consolidated Financial Statements</w:t>
      </w:r>
    </w:p>
    <w:p>
      <w:pPr>
        <w:spacing w:after="0" w:line="7" w:lineRule="exact"/>
        <w:rPr>
          <w:sz w:val="20"/>
          <w:szCs w:val="20"/>
          <w:color w:val="auto"/>
        </w:rPr>
      </w:pPr>
    </w:p>
    <w:p>
      <w:pPr>
        <w:ind w:left="1920"/>
        <w:spacing w:after="0"/>
        <w:rPr>
          <w:sz w:val="20"/>
          <w:szCs w:val="20"/>
          <w:color w:val="auto"/>
        </w:rPr>
      </w:pPr>
      <w:r>
        <w:rPr>
          <w:rFonts w:ascii="Courier New" w:cs="Courier New" w:eastAsia="Courier New" w:hAnsi="Courier New"/>
          <w:sz w:val="13"/>
          <w:szCs w:val="13"/>
          <w:b w:val="1"/>
          <w:bCs w:val="1"/>
          <w:color w:val="auto"/>
        </w:rPr>
        <w:t>December 31, 2002, 2001 and 2000</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3"/>
          <w:szCs w:val="13"/>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0" w:type="dxa"/>
            <w:vAlign w:val="bottom"/>
          </w:tcPr>
          <w:p>
            <w:pPr>
              <w:jc w:val="right"/>
              <w:ind w:right="53"/>
              <w:spacing w:after="0"/>
              <w:rPr>
                <w:sz w:val="20"/>
                <w:szCs w:val="20"/>
                <w:color w:val="auto"/>
              </w:rPr>
            </w:pPr>
            <w:r>
              <w:rPr>
                <w:rFonts w:ascii="Courier New" w:cs="Courier New" w:eastAsia="Courier New" w:hAnsi="Courier New"/>
                <w:sz w:val="13"/>
                <w:szCs w:val="13"/>
                <w:b w:val="1"/>
                <w:bCs w:val="1"/>
                <w:color w:val="auto"/>
                <w:w w:val="95"/>
              </w:rPr>
              <w:t>(13)</w:t>
            </w:r>
          </w:p>
        </w:tc>
        <w:tc>
          <w:tcPr>
            <w:tcW w:w="3660" w:type="dxa"/>
            <w:vAlign w:val="bottom"/>
          </w:tcPr>
          <w:p>
            <w:pPr>
              <w:ind w:left="120"/>
              <w:spacing w:after="0"/>
              <w:rPr>
                <w:sz w:val="20"/>
                <w:szCs w:val="20"/>
                <w:color w:val="auto"/>
              </w:rPr>
            </w:pPr>
            <w:r>
              <w:rPr>
                <w:rFonts w:ascii="Courier New" w:cs="Courier New" w:eastAsia="Courier New" w:hAnsi="Courier New"/>
                <w:sz w:val="13"/>
                <w:szCs w:val="13"/>
                <w:b w:val="1"/>
                <w:bCs w:val="1"/>
                <w:color w:val="auto"/>
              </w:rPr>
              <w:t>Reconciliation of Net Income Per Share</w:t>
            </w: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308"/>
        </w:trPr>
        <w:tc>
          <w:tcPr>
            <w:tcW w:w="4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560" w:type="dxa"/>
            <w:vAlign w:val="bottom"/>
            <w:gridSpan w:val="3"/>
          </w:tcPr>
          <w:p>
            <w:pPr>
              <w:jc w:val="right"/>
              <w:spacing w:after="0"/>
              <w:rPr>
                <w:sz w:val="20"/>
                <w:szCs w:val="20"/>
                <w:color w:val="auto"/>
              </w:rPr>
            </w:pPr>
            <w:r>
              <w:rPr>
                <w:rFonts w:ascii="Courier New" w:cs="Courier New" w:eastAsia="Courier New" w:hAnsi="Courier New"/>
                <w:sz w:val="13"/>
                <w:szCs w:val="13"/>
                <w:b w:val="1"/>
                <w:bCs w:val="1"/>
                <w:color w:val="auto"/>
              </w:rPr>
              <w:t>Year ended December 31,</w:t>
            </w: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54"/>
        </w:trPr>
        <w:tc>
          <w:tcPr>
            <w:tcW w:w="4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jc w:val="right"/>
              <w:ind w:right="493"/>
              <w:spacing w:after="0"/>
              <w:rPr>
                <w:sz w:val="20"/>
                <w:szCs w:val="20"/>
                <w:color w:val="auto"/>
              </w:rPr>
            </w:pPr>
            <w:r>
              <w:rPr>
                <w:rFonts w:ascii="Courier New" w:cs="Courier New" w:eastAsia="Courier New" w:hAnsi="Courier New"/>
                <w:sz w:val="13"/>
                <w:szCs w:val="13"/>
                <w:b w:val="1"/>
                <w:bCs w:val="1"/>
                <w:color w:val="auto"/>
                <w:w w:val="95"/>
              </w:rPr>
              <w:t>2002</w:t>
            </w:r>
          </w:p>
        </w:tc>
        <w:tc>
          <w:tcPr>
            <w:tcW w:w="1680" w:type="dxa"/>
            <w:vAlign w:val="bottom"/>
            <w:gridSpan w:val="2"/>
          </w:tcPr>
          <w:p>
            <w:pPr>
              <w:jc w:val="center"/>
              <w:ind w:right="13"/>
              <w:spacing w:after="0"/>
              <w:rPr>
                <w:sz w:val="20"/>
                <w:szCs w:val="20"/>
                <w:color w:val="auto"/>
              </w:rPr>
            </w:pPr>
            <w:r>
              <w:rPr>
                <w:rFonts w:ascii="Courier New" w:cs="Courier New" w:eastAsia="Courier New" w:hAnsi="Courier New"/>
                <w:sz w:val="13"/>
                <w:szCs w:val="13"/>
                <w:b w:val="1"/>
                <w:bCs w:val="1"/>
                <w:color w:val="auto"/>
              </w:rPr>
              <w:t>2001</w:t>
            </w:r>
          </w:p>
        </w:tc>
        <w:tc>
          <w:tcPr>
            <w:tcW w:w="1440" w:type="dxa"/>
            <w:vAlign w:val="bottom"/>
            <w:gridSpan w:val="2"/>
          </w:tcPr>
          <w:p>
            <w:pPr>
              <w:jc w:val="center"/>
              <w:spacing w:after="0"/>
              <w:rPr>
                <w:sz w:val="20"/>
                <w:szCs w:val="20"/>
                <w:color w:val="auto"/>
              </w:rPr>
            </w:pPr>
            <w:r>
              <w:rPr>
                <w:rFonts w:ascii="Courier New" w:cs="Courier New" w:eastAsia="Courier New" w:hAnsi="Courier New"/>
                <w:sz w:val="13"/>
                <w:szCs w:val="13"/>
                <w:b w:val="1"/>
                <w:bCs w:val="1"/>
                <w:color w:val="auto"/>
              </w:rPr>
              <w:t>2000</w:t>
            </w:r>
          </w:p>
        </w:tc>
      </w:tr>
      <w:tr>
        <w:trPr>
          <w:trHeight w:val="154"/>
        </w:trPr>
        <w:tc>
          <w:tcPr>
            <w:tcW w:w="4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920" w:type="dxa"/>
            <w:vAlign w:val="bottom"/>
            <w:gridSpan w:val="2"/>
          </w:tcPr>
          <w:p>
            <w:pPr>
              <w:jc w:val="right"/>
              <w:ind w:right="13"/>
              <w:spacing w:after="0"/>
              <w:rPr>
                <w:sz w:val="20"/>
                <w:szCs w:val="20"/>
                <w:color w:val="auto"/>
              </w:rPr>
            </w:pPr>
            <w:r>
              <w:rPr>
                <w:rFonts w:ascii="Courier New" w:cs="Courier New" w:eastAsia="Courier New" w:hAnsi="Courier New"/>
                <w:sz w:val="13"/>
                <w:szCs w:val="13"/>
                <w:b w:val="1"/>
                <w:bCs w:val="1"/>
                <w:color w:val="auto"/>
              </w:rPr>
              <w:t>-----------------</w:t>
            </w:r>
          </w:p>
        </w:tc>
        <w:tc>
          <w:tcPr>
            <w:tcW w:w="1680" w:type="dxa"/>
            <w:vAlign w:val="bottom"/>
            <w:gridSpan w:val="2"/>
          </w:tcPr>
          <w:p>
            <w:pPr>
              <w:jc w:val="center"/>
              <w:ind w:right="13"/>
              <w:spacing w:after="0"/>
              <w:rPr>
                <w:sz w:val="20"/>
                <w:szCs w:val="20"/>
                <w:color w:val="auto"/>
              </w:rPr>
            </w:pPr>
            <w:r>
              <w:rPr>
                <w:rFonts w:ascii="Courier New" w:cs="Courier New" w:eastAsia="Courier New" w:hAnsi="Courier New"/>
                <w:sz w:val="13"/>
                <w:szCs w:val="13"/>
                <w:b w:val="1"/>
                <w:bCs w:val="1"/>
                <w:color w:val="auto"/>
              </w:rPr>
              <w:t>------------------</w:t>
            </w:r>
          </w:p>
        </w:tc>
        <w:tc>
          <w:tcPr>
            <w:tcW w:w="1440" w:type="dxa"/>
            <w:vAlign w:val="bottom"/>
            <w:gridSpan w:val="2"/>
          </w:tcPr>
          <w:p>
            <w:pPr>
              <w:jc w:val="center"/>
              <w:spacing w:after="0"/>
              <w:rPr>
                <w:sz w:val="20"/>
                <w:szCs w:val="20"/>
                <w:color w:val="auto"/>
              </w:rPr>
            </w:pPr>
            <w:r>
              <w:rPr>
                <w:rFonts w:ascii="Courier New" w:cs="Courier New" w:eastAsia="Courier New" w:hAnsi="Courier New"/>
                <w:sz w:val="13"/>
                <w:szCs w:val="13"/>
                <w:b w:val="1"/>
                <w:bCs w:val="1"/>
                <w:color w:val="auto"/>
              </w:rPr>
              <w:t>------------------</w:t>
            </w:r>
          </w:p>
        </w:tc>
      </w:tr>
      <w:tr>
        <w:trPr>
          <w:trHeight w:val="154"/>
        </w:trPr>
        <w:tc>
          <w:tcPr>
            <w:tcW w:w="440" w:type="dxa"/>
            <w:vAlign w:val="bottom"/>
          </w:tcPr>
          <w:p>
            <w:pPr>
              <w:spacing w:after="0"/>
              <w:rPr>
                <w:sz w:val="13"/>
                <w:szCs w:val="13"/>
                <w:color w:val="auto"/>
              </w:rPr>
            </w:pPr>
          </w:p>
        </w:tc>
        <w:tc>
          <w:tcPr>
            <w:tcW w:w="3660" w:type="dxa"/>
            <w:vAlign w:val="bottom"/>
          </w:tcPr>
          <w:p>
            <w:pPr>
              <w:ind w:left="120"/>
              <w:spacing w:after="0"/>
              <w:rPr>
                <w:sz w:val="20"/>
                <w:szCs w:val="20"/>
                <w:color w:val="auto"/>
              </w:rPr>
            </w:pPr>
            <w:r>
              <w:rPr>
                <w:rFonts w:ascii="Courier New" w:cs="Courier New" w:eastAsia="Courier New" w:hAnsi="Courier New"/>
                <w:sz w:val="13"/>
                <w:szCs w:val="13"/>
                <w:color w:val="auto"/>
              </w:rPr>
              <w:t>Net income</w:t>
            </w:r>
          </w:p>
        </w:tc>
        <w:tc>
          <w:tcPr>
            <w:tcW w:w="1040" w:type="dxa"/>
            <w:vAlign w:val="bottom"/>
          </w:tcPr>
          <w:p>
            <w:pPr>
              <w:spacing w:after="0"/>
              <w:rPr>
                <w:sz w:val="13"/>
                <w:szCs w:val="13"/>
                <w:color w:val="auto"/>
              </w:rPr>
            </w:pPr>
          </w:p>
        </w:tc>
        <w:tc>
          <w:tcPr>
            <w:tcW w:w="8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$ 13,664</w:t>
            </w:r>
          </w:p>
        </w:tc>
        <w:tc>
          <w:tcPr>
            <w:tcW w:w="8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84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4,662</w:t>
            </w:r>
          </w:p>
        </w:tc>
        <w:tc>
          <w:tcPr>
            <w:tcW w:w="7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9,987</w:t>
            </w:r>
          </w:p>
        </w:tc>
      </w:tr>
      <w:tr>
        <w:trPr>
          <w:trHeight w:val="308"/>
        </w:trPr>
        <w:tc>
          <w:tcPr>
            <w:tcW w:w="440" w:type="dxa"/>
            <w:vAlign w:val="bottom"/>
          </w:tcPr>
          <w:p>
            <w:pPr>
              <w:spacing w:after="0"/>
              <w:rPr>
                <w:sz w:val="24"/>
                <w:szCs w:val="24"/>
                <w:color w:val="auto"/>
              </w:rPr>
            </w:pPr>
          </w:p>
        </w:tc>
        <w:tc>
          <w:tcPr>
            <w:tcW w:w="3660" w:type="dxa"/>
            <w:vAlign w:val="bottom"/>
          </w:tcPr>
          <w:p>
            <w:pPr>
              <w:ind w:left="120"/>
              <w:spacing w:after="0"/>
              <w:rPr>
                <w:sz w:val="20"/>
                <w:szCs w:val="20"/>
                <w:color w:val="auto"/>
              </w:rPr>
            </w:pPr>
            <w:r>
              <w:rPr>
                <w:rFonts w:ascii="Courier New" w:cs="Courier New" w:eastAsia="Courier New" w:hAnsi="Courier New"/>
                <w:sz w:val="13"/>
                <w:szCs w:val="13"/>
                <w:color w:val="auto"/>
              </w:rPr>
              <w:t>Weighted average shares outstanding</w:t>
            </w:r>
          </w:p>
        </w:tc>
        <w:tc>
          <w:tcPr>
            <w:tcW w:w="1040" w:type="dxa"/>
            <w:vAlign w:val="bottom"/>
          </w:tcPr>
          <w:p>
            <w:pPr>
              <w:spacing w:after="0"/>
              <w:rPr>
                <w:sz w:val="24"/>
                <w:szCs w:val="24"/>
                <w:color w:val="auto"/>
              </w:rPr>
            </w:pPr>
          </w:p>
        </w:tc>
        <w:tc>
          <w:tcPr>
            <w:tcW w:w="8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15,343</w:t>
            </w:r>
          </w:p>
        </w:tc>
        <w:tc>
          <w:tcPr>
            <w:tcW w:w="840" w:type="dxa"/>
            <w:vAlign w:val="bottom"/>
          </w:tcPr>
          <w:p>
            <w:pPr>
              <w:spacing w:after="0"/>
              <w:rPr>
                <w:sz w:val="24"/>
                <w:szCs w:val="24"/>
                <w:color w:val="auto"/>
              </w:rPr>
            </w:pPr>
          </w:p>
        </w:tc>
        <w:tc>
          <w:tcPr>
            <w:tcW w:w="84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15,259</w:t>
            </w:r>
          </w:p>
        </w:tc>
        <w:tc>
          <w:tcPr>
            <w:tcW w:w="760" w:type="dxa"/>
            <w:vAlign w:val="bottom"/>
          </w:tcPr>
          <w:p>
            <w:pPr>
              <w:spacing w:after="0"/>
              <w:rPr>
                <w:sz w:val="24"/>
                <w:szCs w:val="24"/>
                <w:color w:val="auto"/>
              </w:rPr>
            </w:pPr>
          </w:p>
        </w:tc>
        <w:tc>
          <w:tcPr>
            <w:tcW w:w="6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15,247</w:t>
            </w:r>
          </w:p>
        </w:tc>
      </w:tr>
      <w:tr>
        <w:trPr>
          <w:trHeight w:val="154"/>
        </w:trPr>
        <w:tc>
          <w:tcPr>
            <w:tcW w:w="440" w:type="dxa"/>
            <w:vAlign w:val="bottom"/>
          </w:tcPr>
          <w:p>
            <w:pPr>
              <w:spacing w:after="0"/>
              <w:rPr>
                <w:sz w:val="13"/>
                <w:szCs w:val="13"/>
                <w:color w:val="auto"/>
              </w:rPr>
            </w:pPr>
          </w:p>
        </w:tc>
        <w:tc>
          <w:tcPr>
            <w:tcW w:w="3660" w:type="dxa"/>
            <w:vAlign w:val="bottom"/>
          </w:tcPr>
          <w:p>
            <w:pPr>
              <w:ind w:left="120"/>
              <w:spacing w:after="0"/>
              <w:rPr>
                <w:sz w:val="20"/>
                <w:szCs w:val="20"/>
                <w:color w:val="auto"/>
              </w:rPr>
            </w:pPr>
            <w:r>
              <w:rPr>
                <w:rFonts w:ascii="Courier New" w:cs="Courier New" w:eastAsia="Courier New" w:hAnsi="Courier New"/>
                <w:sz w:val="13"/>
                <w:szCs w:val="13"/>
                <w:color w:val="auto"/>
              </w:rPr>
              <w:t>Effective of dilutive stock options</w:t>
            </w:r>
          </w:p>
        </w:tc>
        <w:tc>
          <w:tcPr>
            <w:tcW w:w="1040" w:type="dxa"/>
            <w:vAlign w:val="bottom"/>
          </w:tcPr>
          <w:p>
            <w:pPr>
              <w:spacing w:after="0"/>
              <w:rPr>
                <w:sz w:val="13"/>
                <w:szCs w:val="13"/>
                <w:color w:val="auto"/>
              </w:rPr>
            </w:pPr>
          </w:p>
        </w:tc>
        <w:tc>
          <w:tcPr>
            <w:tcW w:w="8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371</w:t>
            </w:r>
          </w:p>
        </w:tc>
        <w:tc>
          <w:tcPr>
            <w:tcW w:w="840" w:type="dxa"/>
            <w:vAlign w:val="bottom"/>
          </w:tcPr>
          <w:p>
            <w:pPr>
              <w:spacing w:after="0"/>
              <w:rPr>
                <w:sz w:val="13"/>
                <w:szCs w:val="13"/>
                <w:color w:val="auto"/>
              </w:rPr>
            </w:pPr>
          </w:p>
        </w:tc>
        <w:tc>
          <w:tcPr>
            <w:tcW w:w="84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281</w:t>
            </w:r>
          </w:p>
        </w:tc>
        <w:tc>
          <w:tcPr>
            <w:tcW w:w="760" w:type="dxa"/>
            <w:vAlign w:val="bottom"/>
          </w:tcPr>
          <w:p>
            <w:pPr>
              <w:spacing w:after="0"/>
              <w:rPr>
                <w:sz w:val="13"/>
                <w:szCs w:val="13"/>
                <w:color w:val="auto"/>
              </w:rPr>
            </w:pPr>
          </w:p>
        </w:tc>
        <w:tc>
          <w:tcPr>
            <w:tcW w:w="6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284</w:t>
            </w:r>
          </w:p>
        </w:tc>
      </w:tr>
      <w:tr>
        <w:trPr>
          <w:trHeight w:val="154"/>
        </w:trPr>
        <w:tc>
          <w:tcPr>
            <w:tcW w:w="4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92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680" w:type="dxa"/>
            <w:vAlign w:val="bottom"/>
            <w:gridSpan w:val="2"/>
          </w:tcPr>
          <w:p>
            <w:pPr>
              <w:jc w:val="center"/>
              <w:ind w:right="13"/>
              <w:spacing w:after="0"/>
              <w:rPr>
                <w:sz w:val="20"/>
                <w:szCs w:val="20"/>
                <w:color w:val="auto"/>
              </w:rPr>
            </w:pPr>
            <w:r>
              <w:rPr>
                <w:rFonts w:ascii="Courier New" w:cs="Courier New" w:eastAsia="Courier New" w:hAnsi="Courier New"/>
                <w:sz w:val="13"/>
                <w:szCs w:val="13"/>
                <w:color w:val="auto"/>
              </w:rPr>
              <w:t>------------------</w:t>
            </w:r>
          </w:p>
        </w:tc>
        <w:tc>
          <w:tcPr>
            <w:tcW w:w="1440" w:type="dxa"/>
            <w:vAlign w:val="bottom"/>
            <w:gridSpan w:val="2"/>
          </w:tcPr>
          <w:p>
            <w:pPr>
              <w:jc w:val="center"/>
              <w:spacing w:after="0"/>
              <w:rPr>
                <w:sz w:val="20"/>
                <w:szCs w:val="20"/>
                <w:color w:val="auto"/>
              </w:rPr>
            </w:pPr>
            <w:r>
              <w:rPr>
                <w:rFonts w:ascii="Courier New" w:cs="Courier New" w:eastAsia="Courier New" w:hAnsi="Courier New"/>
                <w:sz w:val="13"/>
                <w:szCs w:val="13"/>
                <w:color w:val="auto"/>
              </w:rPr>
              <w:t>------------------</w:t>
            </w:r>
          </w:p>
        </w:tc>
      </w:tr>
      <w:tr>
        <w:trPr>
          <w:trHeight w:val="308"/>
        </w:trPr>
        <w:tc>
          <w:tcPr>
            <w:tcW w:w="440" w:type="dxa"/>
            <w:vAlign w:val="bottom"/>
          </w:tcPr>
          <w:p>
            <w:pPr>
              <w:spacing w:after="0"/>
              <w:rPr>
                <w:sz w:val="24"/>
                <w:szCs w:val="24"/>
                <w:color w:val="auto"/>
              </w:rPr>
            </w:pPr>
          </w:p>
        </w:tc>
        <w:tc>
          <w:tcPr>
            <w:tcW w:w="3660" w:type="dxa"/>
            <w:vAlign w:val="bottom"/>
          </w:tcPr>
          <w:p>
            <w:pPr>
              <w:ind w:left="120"/>
              <w:spacing w:after="0"/>
              <w:rPr>
                <w:sz w:val="20"/>
                <w:szCs w:val="20"/>
                <w:color w:val="auto"/>
              </w:rPr>
            </w:pPr>
            <w:r>
              <w:rPr>
                <w:rFonts w:ascii="Courier New" w:cs="Courier New" w:eastAsia="Courier New" w:hAnsi="Courier New"/>
                <w:sz w:val="13"/>
                <w:szCs w:val="13"/>
                <w:color w:val="auto"/>
              </w:rPr>
              <w:t>Dilutive shares outstanding</w:t>
            </w:r>
          </w:p>
        </w:tc>
        <w:tc>
          <w:tcPr>
            <w:tcW w:w="1040" w:type="dxa"/>
            <w:vAlign w:val="bottom"/>
          </w:tcPr>
          <w:p>
            <w:pPr>
              <w:spacing w:after="0"/>
              <w:rPr>
                <w:sz w:val="24"/>
                <w:szCs w:val="24"/>
                <w:color w:val="auto"/>
              </w:rPr>
            </w:pPr>
          </w:p>
        </w:tc>
        <w:tc>
          <w:tcPr>
            <w:tcW w:w="8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15,714</w:t>
            </w:r>
          </w:p>
        </w:tc>
        <w:tc>
          <w:tcPr>
            <w:tcW w:w="840" w:type="dxa"/>
            <w:vAlign w:val="bottom"/>
          </w:tcPr>
          <w:p>
            <w:pPr>
              <w:spacing w:after="0"/>
              <w:rPr>
                <w:sz w:val="24"/>
                <w:szCs w:val="24"/>
                <w:color w:val="auto"/>
              </w:rPr>
            </w:pPr>
          </w:p>
        </w:tc>
        <w:tc>
          <w:tcPr>
            <w:tcW w:w="84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15,540</w:t>
            </w:r>
          </w:p>
        </w:tc>
        <w:tc>
          <w:tcPr>
            <w:tcW w:w="760" w:type="dxa"/>
            <w:vAlign w:val="bottom"/>
          </w:tcPr>
          <w:p>
            <w:pPr>
              <w:spacing w:after="0"/>
              <w:rPr>
                <w:sz w:val="24"/>
                <w:szCs w:val="24"/>
                <w:color w:val="auto"/>
              </w:rPr>
            </w:pPr>
          </w:p>
        </w:tc>
        <w:tc>
          <w:tcPr>
            <w:tcW w:w="6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15,531</w:t>
            </w:r>
          </w:p>
        </w:tc>
      </w:tr>
      <w:tr>
        <w:trPr>
          <w:trHeight w:val="308"/>
        </w:trPr>
        <w:tc>
          <w:tcPr>
            <w:tcW w:w="440" w:type="dxa"/>
            <w:vAlign w:val="bottom"/>
          </w:tcPr>
          <w:p>
            <w:pPr>
              <w:spacing w:after="0"/>
              <w:rPr>
                <w:sz w:val="24"/>
                <w:szCs w:val="24"/>
                <w:color w:val="auto"/>
              </w:rPr>
            </w:pPr>
          </w:p>
        </w:tc>
        <w:tc>
          <w:tcPr>
            <w:tcW w:w="3660" w:type="dxa"/>
            <w:vAlign w:val="bottom"/>
          </w:tcPr>
          <w:p>
            <w:pPr>
              <w:ind w:left="120"/>
              <w:spacing w:after="0"/>
              <w:rPr>
                <w:sz w:val="20"/>
                <w:szCs w:val="20"/>
                <w:color w:val="auto"/>
              </w:rPr>
            </w:pPr>
            <w:r>
              <w:rPr>
                <w:rFonts w:ascii="Courier New" w:cs="Courier New" w:eastAsia="Courier New" w:hAnsi="Courier New"/>
                <w:sz w:val="13"/>
                <w:szCs w:val="13"/>
                <w:color w:val="auto"/>
              </w:rPr>
              <w:t>Basic net income per share</w:t>
            </w:r>
          </w:p>
        </w:tc>
        <w:tc>
          <w:tcPr>
            <w:tcW w:w="10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8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0.89</w:t>
            </w:r>
          </w:p>
        </w:tc>
        <w:tc>
          <w:tcPr>
            <w:tcW w:w="8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84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0.31</w:t>
            </w:r>
          </w:p>
        </w:tc>
        <w:tc>
          <w:tcPr>
            <w:tcW w:w="76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0.66</w:t>
            </w:r>
          </w:p>
        </w:tc>
      </w:tr>
      <w:tr>
        <w:trPr>
          <w:trHeight w:val="154"/>
        </w:trPr>
        <w:tc>
          <w:tcPr>
            <w:tcW w:w="4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92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680" w:type="dxa"/>
            <w:vAlign w:val="bottom"/>
            <w:gridSpan w:val="2"/>
          </w:tcPr>
          <w:p>
            <w:pPr>
              <w:jc w:val="center"/>
              <w:ind w:right="13"/>
              <w:spacing w:after="0"/>
              <w:rPr>
                <w:sz w:val="20"/>
                <w:szCs w:val="20"/>
                <w:color w:val="auto"/>
              </w:rPr>
            </w:pPr>
            <w:r>
              <w:rPr>
                <w:rFonts w:ascii="Courier New" w:cs="Courier New" w:eastAsia="Courier New" w:hAnsi="Courier New"/>
                <w:sz w:val="13"/>
                <w:szCs w:val="13"/>
                <w:color w:val="auto"/>
              </w:rPr>
              <w:t>==================</w:t>
            </w:r>
          </w:p>
        </w:tc>
        <w:tc>
          <w:tcPr>
            <w:tcW w:w="1440" w:type="dxa"/>
            <w:vAlign w:val="bottom"/>
            <w:gridSpan w:val="2"/>
          </w:tcPr>
          <w:p>
            <w:pPr>
              <w:jc w:val="center"/>
              <w:spacing w:after="0"/>
              <w:rPr>
                <w:sz w:val="20"/>
                <w:szCs w:val="20"/>
                <w:color w:val="auto"/>
              </w:rPr>
            </w:pPr>
            <w:r>
              <w:rPr>
                <w:rFonts w:ascii="Courier New" w:cs="Courier New" w:eastAsia="Courier New" w:hAnsi="Courier New"/>
                <w:sz w:val="13"/>
                <w:szCs w:val="13"/>
                <w:color w:val="auto"/>
              </w:rPr>
              <w:t>==================</w:t>
            </w:r>
          </w:p>
        </w:tc>
      </w:tr>
      <w:tr>
        <w:trPr>
          <w:trHeight w:val="308"/>
        </w:trPr>
        <w:tc>
          <w:tcPr>
            <w:tcW w:w="440" w:type="dxa"/>
            <w:vAlign w:val="bottom"/>
          </w:tcPr>
          <w:p>
            <w:pPr>
              <w:spacing w:after="0"/>
              <w:rPr>
                <w:sz w:val="24"/>
                <w:szCs w:val="24"/>
                <w:color w:val="auto"/>
              </w:rPr>
            </w:pPr>
          </w:p>
        </w:tc>
        <w:tc>
          <w:tcPr>
            <w:tcW w:w="3660" w:type="dxa"/>
            <w:vAlign w:val="bottom"/>
          </w:tcPr>
          <w:p>
            <w:pPr>
              <w:ind w:left="120"/>
              <w:spacing w:after="0"/>
              <w:rPr>
                <w:sz w:val="20"/>
                <w:szCs w:val="20"/>
                <w:color w:val="auto"/>
              </w:rPr>
            </w:pPr>
            <w:r>
              <w:rPr>
                <w:rFonts w:ascii="Courier New" w:cs="Courier New" w:eastAsia="Courier New" w:hAnsi="Courier New"/>
                <w:sz w:val="13"/>
                <w:szCs w:val="13"/>
                <w:color w:val="auto"/>
              </w:rPr>
              <w:t>Diluted net income per share</w:t>
            </w:r>
          </w:p>
        </w:tc>
        <w:tc>
          <w:tcPr>
            <w:tcW w:w="10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8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0.87</w:t>
            </w:r>
          </w:p>
        </w:tc>
        <w:tc>
          <w:tcPr>
            <w:tcW w:w="8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84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0.30</w:t>
            </w:r>
          </w:p>
        </w:tc>
        <w:tc>
          <w:tcPr>
            <w:tcW w:w="76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0.64</w:t>
            </w:r>
          </w:p>
        </w:tc>
      </w:tr>
      <w:tr>
        <w:trPr>
          <w:trHeight w:val="154"/>
        </w:trPr>
        <w:tc>
          <w:tcPr>
            <w:tcW w:w="4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92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680" w:type="dxa"/>
            <w:vAlign w:val="bottom"/>
            <w:gridSpan w:val="2"/>
          </w:tcPr>
          <w:p>
            <w:pPr>
              <w:jc w:val="center"/>
              <w:ind w:right="13"/>
              <w:spacing w:after="0"/>
              <w:rPr>
                <w:sz w:val="20"/>
                <w:szCs w:val="20"/>
                <w:color w:val="auto"/>
              </w:rPr>
            </w:pPr>
            <w:r>
              <w:rPr>
                <w:rFonts w:ascii="Courier New" w:cs="Courier New" w:eastAsia="Courier New" w:hAnsi="Courier New"/>
                <w:sz w:val="13"/>
                <w:szCs w:val="13"/>
                <w:color w:val="auto"/>
              </w:rPr>
              <w:t>==================</w:t>
            </w:r>
          </w:p>
        </w:tc>
        <w:tc>
          <w:tcPr>
            <w:tcW w:w="1440" w:type="dxa"/>
            <w:vAlign w:val="bottom"/>
            <w:gridSpan w:val="2"/>
          </w:tcPr>
          <w:p>
            <w:pPr>
              <w:jc w:val="center"/>
              <w:spacing w:after="0"/>
              <w:rPr>
                <w:sz w:val="20"/>
                <w:szCs w:val="20"/>
                <w:color w:val="auto"/>
              </w:rPr>
            </w:pPr>
            <w:r>
              <w:rPr>
                <w:rFonts w:ascii="Courier New" w:cs="Courier New" w:eastAsia="Courier New" w:hAnsi="Courier New"/>
                <w:sz w:val="13"/>
                <w:szCs w:val="13"/>
                <w:color w:val="auto"/>
              </w:rPr>
              <w:t>==================</w:t>
            </w:r>
          </w:p>
        </w:tc>
      </w:tr>
    </w:tbl>
    <w:p>
      <w:pPr>
        <w:spacing w:after="0" w:line="159" w:lineRule="exact"/>
        <w:rPr>
          <w:sz w:val="20"/>
          <w:szCs w:val="20"/>
          <w:color w:val="auto"/>
        </w:rPr>
      </w:pPr>
    </w:p>
    <w:p>
      <w:pPr>
        <w:ind w:left="560" w:right="3819"/>
        <w:spacing w:after="0" w:line="252" w:lineRule="auto"/>
        <w:rPr>
          <w:sz w:val="20"/>
          <w:szCs w:val="20"/>
          <w:color w:val="auto"/>
        </w:rPr>
      </w:pPr>
      <w:r>
        <w:rPr>
          <w:rFonts w:ascii="Courier New" w:cs="Courier New" w:eastAsia="Courier New" w:hAnsi="Courier New"/>
          <w:sz w:val="13"/>
          <w:szCs w:val="13"/>
          <w:color w:val="auto"/>
        </w:rPr>
        <w:t>Excluded from the shares outstanding for the years ended December 31, 2002, 2001 and 2000 were 7, 7 and 10 antidilutive options, respectively, which had an exercise price of $10.26 during 2002, and $10.26 during 2001 and exercise prices ranging from $9.75 to $11.50 during 2000.</w:t>
      </w:r>
    </w:p>
    <w:p>
      <w:pPr>
        <w:spacing w:after="0" w:line="153" w:lineRule="exact"/>
        <w:rPr>
          <w:sz w:val="20"/>
          <w:szCs w:val="20"/>
          <w:color w:val="auto"/>
        </w:rPr>
      </w:pPr>
    </w:p>
    <w:p>
      <w:pPr>
        <w:ind w:left="560" w:hanging="558"/>
        <w:spacing w:after="0"/>
        <w:tabs>
          <w:tab w:leader="none" w:pos="560" w:val="left"/>
        </w:tabs>
        <w:numPr>
          <w:ilvl w:val="0"/>
          <w:numId w:val="20"/>
        </w:numPr>
        <w:rPr>
          <w:rFonts w:ascii="Courier New" w:cs="Courier New" w:eastAsia="Courier New" w:hAnsi="Courier New"/>
          <w:sz w:val="13"/>
          <w:szCs w:val="13"/>
          <w:b w:val="1"/>
          <w:bCs w:val="1"/>
          <w:color w:val="auto"/>
        </w:rPr>
      </w:pPr>
      <w:r>
        <w:rPr>
          <w:rFonts w:ascii="Courier New" w:cs="Courier New" w:eastAsia="Courier New" w:hAnsi="Courier New"/>
          <w:sz w:val="13"/>
          <w:szCs w:val="13"/>
          <w:b w:val="1"/>
          <w:bCs w:val="1"/>
          <w:color w:val="auto"/>
        </w:rPr>
        <w:t>Commitments and Contingencies</w:t>
      </w:r>
    </w:p>
    <w:p>
      <w:pPr>
        <w:spacing w:after="0" w:line="161" w:lineRule="exact"/>
        <w:rPr>
          <w:rFonts w:ascii="Courier New" w:cs="Courier New" w:eastAsia="Courier New" w:hAnsi="Courier New"/>
          <w:sz w:val="13"/>
          <w:szCs w:val="13"/>
          <w:b w:val="1"/>
          <w:bCs w:val="1"/>
          <w:color w:val="auto"/>
        </w:rPr>
      </w:pPr>
    </w:p>
    <w:p>
      <w:pPr>
        <w:ind w:left="560" w:right="3819"/>
        <w:spacing w:after="0" w:line="251" w:lineRule="auto"/>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The Company has operating lease commitments for machinery, office equipment, manufacturing and office space which expire on varying dates. Rent expense for 2002, 2001 and 2000 was $1,855, $1,650 and $767, respectively. The following is a schedule by year of future minimum lease payments as of December 31, 2002 under operating leases that have initial or remaining non-cancelable lease terms in excess of one year.</w:t>
      </w:r>
    </w:p>
    <w:p>
      <w:pPr>
        <w:sectPr>
          <w:pgSz w:w="11900" w:h="16838" w:orient="portrait"/>
          <w:cols w:equalWidth="0" w:num="1">
            <w:col w:w="10239"/>
          </w:cols>
          <w:pgMar w:left="220" w:top="141" w:right="1440" w:bottom="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49"/>
        </w:trPr>
        <w:tc>
          <w:tcPr>
            <w:tcW w:w="4100" w:type="dxa"/>
            <w:vAlign w:val="bottom"/>
          </w:tcPr>
          <w:p>
            <w:pPr>
              <w:ind w:left="960"/>
              <w:spacing w:after="0"/>
              <w:rPr>
                <w:sz w:val="20"/>
                <w:szCs w:val="20"/>
                <w:color w:val="auto"/>
              </w:rPr>
            </w:pPr>
            <w:r>
              <w:rPr>
                <w:rFonts w:ascii="Courier New" w:cs="Courier New" w:eastAsia="Courier New" w:hAnsi="Courier New"/>
                <w:sz w:val="13"/>
                <w:szCs w:val="13"/>
                <w:color w:val="auto"/>
              </w:rPr>
              <w:t>Year ended December 31,</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54"/>
        </w:trPr>
        <w:tc>
          <w:tcPr>
            <w:tcW w:w="4100" w:type="dxa"/>
            <w:vAlign w:val="bottom"/>
          </w:tcPr>
          <w:p>
            <w:pPr>
              <w:spacing w:after="0"/>
              <w:rPr>
                <w:sz w:val="20"/>
                <w:szCs w:val="20"/>
                <w:color w:val="auto"/>
              </w:rPr>
            </w:pPr>
            <w:r>
              <w:rPr>
                <w:rFonts w:ascii="Courier New" w:cs="Courier New" w:eastAsia="Courier New" w:hAnsi="Courier New"/>
                <w:sz w:val="13"/>
                <w:szCs w:val="13"/>
                <w:color w:val="auto"/>
              </w:rPr>
              <w:t>- -------------------------------------------------</w:t>
            </w: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308"/>
        </w:trPr>
        <w:tc>
          <w:tcPr>
            <w:tcW w:w="4100" w:type="dxa"/>
            <w:vAlign w:val="bottom"/>
          </w:tcPr>
          <w:p>
            <w:pPr>
              <w:ind w:left="640"/>
              <w:spacing w:after="0"/>
              <w:rPr>
                <w:sz w:val="20"/>
                <w:szCs w:val="20"/>
                <w:color w:val="auto"/>
              </w:rPr>
            </w:pPr>
            <w:r>
              <w:rPr>
                <w:rFonts w:ascii="Courier New" w:cs="Courier New" w:eastAsia="Courier New" w:hAnsi="Courier New"/>
                <w:sz w:val="13"/>
                <w:szCs w:val="13"/>
                <w:color w:val="auto"/>
              </w:rPr>
              <w:t>2003</w:t>
            </w:r>
          </w:p>
        </w:tc>
        <w:tc>
          <w:tcPr>
            <w:tcW w:w="320" w:type="dxa"/>
            <w:vAlign w:val="bottom"/>
          </w:tcPr>
          <w:p>
            <w:pPr>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1,422</w:t>
            </w:r>
          </w:p>
        </w:tc>
      </w:tr>
      <w:tr>
        <w:trPr>
          <w:trHeight w:val="154"/>
        </w:trPr>
        <w:tc>
          <w:tcPr>
            <w:tcW w:w="4100" w:type="dxa"/>
            <w:vAlign w:val="bottom"/>
          </w:tcPr>
          <w:p>
            <w:pPr>
              <w:ind w:left="640"/>
              <w:spacing w:after="0"/>
              <w:rPr>
                <w:sz w:val="20"/>
                <w:szCs w:val="20"/>
                <w:color w:val="auto"/>
              </w:rPr>
            </w:pPr>
            <w:r>
              <w:rPr>
                <w:rFonts w:ascii="Courier New" w:cs="Courier New" w:eastAsia="Courier New" w:hAnsi="Courier New"/>
                <w:sz w:val="13"/>
                <w:szCs w:val="13"/>
                <w:color w:val="auto"/>
              </w:rPr>
              <w:t>2004</w:t>
            </w:r>
          </w:p>
        </w:tc>
        <w:tc>
          <w:tcPr>
            <w:tcW w:w="320" w:type="dxa"/>
            <w:vAlign w:val="bottom"/>
          </w:tcPr>
          <w:p>
            <w:pPr>
              <w:spacing w:after="0"/>
              <w:rPr>
                <w:sz w:val="13"/>
                <w:szCs w:val="13"/>
                <w:color w:val="auto"/>
              </w:rPr>
            </w:pPr>
          </w:p>
        </w:tc>
        <w:tc>
          <w:tcPr>
            <w:tcW w:w="7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1,347</w:t>
            </w:r>
          </w:p>
        </w:tc>
      </w:tr>
      <w:tr>
        <w:trPr>
          <w:trHeight w:val="154"/>
        </w:trPr>
        <w:tc>
          <w:tcPr>
            <w:tcW w:w="4100" w:type="dxa"/>
            <w:vAlign w:val="bottom"/>
          </w:tcPr>
          <w:p>
            <w:pPr>
              <w:ind w:left="640"/>
              <w:spacing w:after="0"/>
              <w:rPr>
                <w:sz w:val="20"/>
                <w:szCs w:val="20"/>
                <w:color w:val="auto"/>
              </w:rPr>
            </w:pPr>
            <w:r>
              <w:rPr>
                <w:rFonts w:ascii="Courier New" w:cs="Courier New" w:eastAsia="Courier New" w:hAnsi="Courier New"/>
                <w:sz w:val="13"/>
                <w:szCs w:val="13"/>
                <w:color w:val="auto"/>
              </w:rPr>
              <w:t>2005</w:t>
            </w:r>
          </w:p>
        </w:tc>
        <w:tc>
          <w:tcPr>
            <w:tcW w:w="320" w:type="dxa"/>
            <w:vAlign w:val="bottom"/>
          </w:tcPr>
          <w:p>
            <w:pPr>
              <w:spacing w:after="0"/>
              <w:rPr>
                <w:sz w:val="13"/>
                <w:szCs w:val="13"/>
                <w:color w:val="auto"/>
              </w:rPr>
            </w:pPr>
          </w:p>
        </w:tc>
        <w:tc>
          <w:tcPr>
            <w:tcW w:w="7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1,138</w:t>
            </w:r>
          </w:p>
        </w:tc>
      </w:tr>
      <w:tr>
        <w:trPr>
          <w:trHeight w:val="154"/>
        </w:trPr>
        <w:tc>
          <w:tcPr>
            <w:tcW w:w="4100" w:type="dxa"/>
            <w:vAlign w:val="bottom"/>
          </w:tcPr>
          <w:p>
            <w:pPr>
              <w:ind w:left="640"/>
              <w:spacing w:after="0"/>
              <w:rPr>
                <w:sz w:val="20"/>
                <w:szCs w:val="20"/>
                <w:color w:val="auto"/>
              </w:rPr>
            </w:pPr>
            <w:r>
              <w:rPr>
                <w:rFonts w:ascii="Courier New" w:cs="Courier New" w:eastAsia="Courier New" w:hAnsi="Courier New"/>
                <w:sz w:val="13"/>
                <w:szCs w:val="13"/>
                <w:color w:val="auto"/>
              </w:rPr>
              <w:t>2006</w:t>
            </w:r>
          </w:p>
        </w:tc>
        <w:tc>
          <w:tcPr>
            <w:tcW w:w="320" w:type="dxa"/>
            <w:vAlign w:val="bottom"/>
          </w:tcPr>
          <w:p>
            <w:pPr>
              <w:spacing w:after="0"/>
              <w:rPr>
                <w:sz w:val="13"/>
                <w:szCs w:val="13"/>
                <w:color w:val="auto"/>
              </w:rPr>
            </w:pPr>
          </w:p>
        </w:tc>
        <w:tc>
          <w:tcPr>
            <w:tcW w:w="7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975</w:t>
            </w:r>
          </w:p>
        </w:tc>
      </w:tr>
      <w:tr>
        <w:trPr>
          <w:trHeight w:val="154"/>
        </w:trPr>
        <w:tc>
          <w:tcPr>
            <w:tcW w:w="4100" w:type="dxa"/>
            <w:vAlign w:val="bottom"/>
          </w:tcPr>
          <w:p>
            <w:pPr>
              <w:ind w:left="640"/>
              <w:spacing w:after="0"/>
              <w:rPr>
                <w:sz w:val="20"/>
                <w:szCs w:val="20"/>
                <w:color w:val="auto"/>
              </w:rPr>
            </w:pPr>
            <w:r>
              <w:rPr>
                <w:rFonts w:ascii="Courier New" w:cs="Courier New" w:eastAsia="Courier New" w:hAnsi="Courier New"/>
                <w:sz w:val="13"/>
                <w:szCs w:val="13"/>
                <w:color w:val="auto"/>
              </w:rPr>
              <w:t>2007</w:t>
            </w:r>
          </w:p>
        </w:tc>
        <w:tc>
          <w:tcPr>
            <w:tcW w:w="320" w:type="dxa"/>
            <w:vAlign w:val="bottom"/>
          </w:tcPr>
          <w:p>
            <w:pPr>
              <w:spacing w:after="0"/>
              <w:rPr>
                <w:sz w:val="13"/>
                <w:szCs w:val="13"/>
                <w:color w:val="auto"/>
              </w:rPr>
            </w:pPr>
          </w:p>
        </w:tc>
        <w:tc>
          <w:tcPr>
            <w:tcW w:w="7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977</w:t>
            </w:r>
          </w:p>
        </w:tc>
      </w:tr>
      <w:tr>
        <w:trPr>
          <w:trHeight w:val="154"/>
        </w:trPr>
        <w:tc>
          <w:tcPr>
            <w:tcW w:w="4100" w:type="dxa"/>
            <w:vAlign w:val="bottom"/>
          </w:tcPr>
          <w:p>
            <w:pPr>
              <w:ind w:left="640"/>
              <w:spacing w:after="0"/>
              <w:rPr>
                <w:sz w:val="20"/>
                <w:szCs w:val="20"/>
                <w:color w:val="auto"/>
              </w:rPr>
            </w:pPr>
            <w:r>
              <w:rPr>
                <w:rFonts w:ascii="Courier New" w:cs="Courier New" w:eastAsia="Courier New" w:hAnsi="Courier New"/>
                <w:sz w:val="13"/>
                <w:szCs w:val="13"/>
                <w:color w:val="auto"/>
              </w:rPr>
              <w:t>Thereafter</w:t>
            </w:r>
          </w:p>
        </w:tc>
        <w:tc>
          <w:tcPr>
            <w:tcW w:w="320" w:type="dxa"/>
            <w:vAlign w:val="bottom"/>
          </w:tcPr>
          <w:p>
            <w:pPr>
              <w:spacing w:after="0"/>
              <w:rPr>
                <w:sz w:val="13"/>
                <w:szCs w:val="13"/>
                <w:color w:val="auto"/>
              </w:rPr>
            </w:pPr>
          </w:p>
        </w:tc>
        <w:tc>
          <w:tcPr>
            <w:tcW w:w="7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11,913</w:t>
            </w:r>
          </w:p>
        </w:tc>
      </w:tr>
      <w:tr>
        <w:trPr>
          <w:trHeight w:val="154"/>
        </w:trPr>
        <w:tc>
          <w:tcPr>
            <w:tcW w:w="410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Courier New" w:cs="Courier New" w:eastAsia="Courier New" w:hAnsi="Courier New"/>
                <w:sz w:val="13"/>
                <w:szCs w:val="13"/>
                <w:color w:val="auto"/>
              </w:rPr>
              <w:t>-------------</w:t>
            </w:r>
          </w:p>
        </w:tc>
      </w:tr>
      <w:tr>
        <w:trPr>
          <w:trHeight w:val="308"/>
        </w:trPr>
        <w:tc>
          <w:tcPr>
            <w:tcW w:w="4100" w:type="dxa"/>
            <w:vAlign w:val="bottom"/>
          </w:tcPr>
          <w:p>
            <w:pPr>
              <w:ind w:left="1120"/>
              <w:spacing w:after="0"/>
              <w:rPr>
                <w:sz w:val="20"/>
                <w:szCs w:val="20"/>
                <w:color w:val="auto"/>
              </w:rPr>
            </w:pPr>
            <w:r>
              <w:rPr>
                <w:rFonts w:ascii="Courier New" w:cs="Courier New" w:eastAsia="Courier New" w:hAnsi="Courier New"/>
                <w:sz w:val="13"/>
                <w:szCs w:val="13"/>
                <w:color w:val="auto"/>
              </w:rPr>
              <w:t>Total minimum lease payments</w:t>
            </w:r>
          </w:p>
        </w:tc>
        <w:tc>
          <w:tcPr>
            <w:tcW w:w="3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17,772</w:t>
            </w:r>
          </w:p>
        </w:tc>
      </w:tr>
      <w:tr>
        <w:trPr>
          <w:trHeight w:val="154"/>
        </w:trPr>
        <w:tc>
          <w:tcPr>
            <w:tcW w:w="410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Courier New" w:cs="Courier New" w:eastAsia="Courier New" w:hAnsi="Courier New"/>
                <w:sz w:val="13"/>
                <w:szCs w:val="13"/>
                <w:color w:val="auto"/>
              </w:rPr>
              <w:t>=============</w:t>
            </w:r>
          </w:p>
        </w:tc>
      </w:tr>
    </w:tbl>
    <w:p>
      <w:pPr>
        <w:spacing w:after="0" w:line="313" w:lineRule="exact"/>
        <w:rPr>
          <w:sz w:val="20"/>
          <w:szCs w:val="20"/>
          <w:color w:val="auto"/>
        </w:rPr>
      </w:pPr>
    </w:p>
    <w:p>
      <w:pPr>
        <w:ind w:left="560" w:right="3819"/>
        <w:spacing w:after="0" w:line="251" w:lineRule="auto"/>
        <w:rPr>
          <w:sz w:val="20"/>
          <w:szCs w:val="20"/>
          <w:color w:val="auto"/>
        </w:rPr>
      </w:pPr>
      <w:r>
        <w:rPr>
          <w:rFonts w:ascii="Courier New" w:cs="Courier New" w:eastAsia="Courier New" w:hAnsi="Courier New"/>
          <w:sz w:val="13"/>
          <w:szCs w:val="13"/>
          <w:color w:val="auto"/>
        </w:rPr>
        <w:t>The Kilkenny operation of the Euroball Segment has received certain grants from the Ireland government. These grants are based upon the Kilkenny facility hiring and retaining certain employment levels by the measurement date. At December 31, 2002, actual employment levels are less than those required by certain grant covenants. During 2002, the grant agreement measurement date was amended to extend the measurement date. The Company anticipates that, if necessary, the grant agreement measurement date and /or employment level thresholds would again be adjusted. As of December 31, 2002 and 2001, the grant is recorded as a component of other non-current liabilities in the amount of $506 and $497, respectively.</w:t>
      </w:r>
    </w:p>
    <w:p>
      <w:pPr>
        <w:spacing w:after="0" w:line="310" w:lineRule="exact"/>
        <w:rPr>
          <w:sz w:val="20"/>
          <w:szCs w:val="20"/>
          <w:color w:val="auto"/>
        </w:rPr>
      </w:pPr>
    </w:p>
    <w:p>
      <w:pPr>
        <w:ind w:left="560" w:right="3899"/>
        <w:spacing w:after="0" w:line="252" w:lineRule="auto"/>
        <w:rPr>
          <w:sz w:val="20"/>
          <w:szCs w:val="20"/>
          <w:color w:val="auto"/>
        </w:rPr>
      </w:pPr>
      <w:r>
        <w:rPr>
          <w:rFonts w:ascii="Courier New" w:cs="Courier New" w:eastAsia="Courier New" w:hAnsi="Courier New"/>
          <w:sz w:val="13"/>
          <w:szCs w:val="13"/>
          <w:color w:val="auto"/>
        </w:rPr>
        <w:t>The Euroball Segment has entered into a supply contract with Ascometal France ("Ascometal") for the purchase of steel for ball production. The contract terms specify that Ascometal provide Euroball 90%, 90%, 85% and 85% of its steel requirements for the years ending December 31, 2002, 2003, 2004 and 2005, respectively. The contract, among</w:t>
      </w:r>
    </w:p>
    <w:p>
      <w:pPr>
        <w:spacing w:after="0" w:line="152" w:lineRule="exact"/>
        <w:rPr>
          <w:sz w:val="20"/>
          <w:szCs w:val="20"/>
          <w:color w:val="auto"/>
        </w:rPr>
      </w:pPr>
    </w:p>
    <w:p>
      <w:pPr>
        <w:jc w:val="right"/>
        <w:ind w:right="3819"/>
        <w:spacing w:after="0"/>
        <w:rPr>
          <w:sz w:val="20"/>
          <w:szCs w:val="20"/>
          <w:color w:val="auto"/>
        </w:rPr>
      </w:pPr>
      <w:r>
        <w:rPr>
          <w:rFonts w:ascii="Courier New" w:cs="Courier New" w:eastAsia="Courier New" w:hAnsi="Courier New"/>
          <w:sz w:val="13"/>
          <w:szCs w:val="13"/>
          <w:color w:val="auto"/>
        </w:rPr>
        <w:t>Continued</w:t>
      </w:r>
    </w:p>
    <w:p>
      <w:pPr>
        <w:spacing w:after="0" w:line="161"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3"/>
          <w:szCs w:val="13"/>
          <w:b w:val="1"/>
          <w:bCs w:val="1"/>
          <w:color w:val="auto"/>
        </w:rPr>
        <w:t>NN, Inc.</w:t>
      </w:r>
    </w:p>
    <w:p>
      <w:pPr>
        <w:spacing w:after="0" w:line="7"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3"/>
          <w:szCs w:val="13"/>
          <w:b w:val="1"/>
          <w:bCs w:val="1"/>
          <w:color w:val="auto"/>
        </w:rPr>
        <w:t>Notes to Consolidated Financial Statements</w:t>
      </w:r>
    </w:p>
    <w:p>
      <w:pPr>
        <w:spacing w:after="0" w:line="7" w:lineRule="exact"/>
        <w:rPr>
          <w:sz w:val="20"/>
          <w:szCs w:val="20"/>
          <w:color w:val="auto"/>
        </w:rPr>
      </w:pPr>
    </w:p>
    <w:p>
      <w:pPr>
        <w:ind w:left="1920"/>
        <w:spacing w:after="0"/>
        <w:rPr>
          <w:sz w:val="20"/>
          <w:szCs w:val="20"/>
          <w:color w:val="auto"/>
        </w:rPr>
      </w:pPr>
      <w:r>
        <w:rPr>
          <w:rFonts w:ascii="Courier New" w:cs="Courier New" w:eastAsia="Courier New" w:hAnsi="Courier New"/>
          <w:sz w:val="13"/>
          <w:szCs w:val="13"/>
          <w:b w:val="1"/>
          <w:bCs w:val="1"/>
          <w:color w:val="auto"/>
        </w:rPr>
        <w:t>December 31, 2002, 2001 and 2000</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3"/>
          <w:szCs w:val="13"/>
          <w:b w:val="1"/>
          <w:bCs w:val="1"/>
          <w:color w:val="auto"/>
        </w:rPr>
        <w:t>(In thousands, except per share data)</w:t>
      </w:r>
    </w:p>
    <w:p>
      <w:pPr>
        <w:spacing w:after="0" w:line="161" w:lineRule="exact"/>
        <w:rPr>
          <w:sz w:val="20"/>
          <w:szCs w:val="20"/>
          <w:color w:val="auto"/>
        </w:rPr>
      </w:pPr>
    </w:p>
    <w:p>
      <w:pPr>
        <w:ind w:left="560" w:right="4139"/>
        <w:spacing w:after="0" w:line="251" w:lineRule="auto"/>
        <w:rPr>
          <w:sz w:val="20"/>
          <w:szCs w:val="20"/>
          <w:color w:val="auto"/>
        </w:rPr>
      </w:pPr>
      <w:r>
        <w:rPr>
          <w:rFonts w:ascii="Courier New" w:cs="Courier New" w:eastAsia="Courier New" w:hAnsi="Courier New"/>
          <w:sz w:val="13"/>
          <w:szCs w:val="13"/>
          <w:color w:val="auto"/>
        </w:rPr>
        <w:t>other things, stipulates that Ascometal achieve certain performance targets related to quality, reliability and service. The contract provisions include annual price adjustments based upon published indexes in addition to annual productivity improvement factor multiples. In 2002 Euroball purchased approximately $19,600 under the terms of this contract. Annual purchase commitments for the remaining term of the contract are approximately $21,600, $19,900 and $20,700 for 2003, 2004 and 2005, respectively. The contract expires December 31, 2005, however, is automatically renewed for one year periods thereafter unless notice is provided by either Euroball or Ascometal.</w:t>
      </w:r>
    </w:p>
    <w:p>
      <w:pPr>
        <w:spacing w:after="0" w:line="156" w:lineRule="exact"/>
        <w:rPr>
          <w:sz w:val="20"/>
          <w:szCs w:val="20"/>
          <w:color w:val="auto"/>
        </w:rPr>
      </w:pPr>
    </w:p>
    <w:p>
      <w:pPr>
        <w:ind w:left="560" w:right="3819"/>
        <w:spacing w:after="0" w:line="251" w:lineRule="auto"/>
        <w:rPr>
          <w:sz w:val="20"/>
          <w:szCs w:val="20"/>
          <w:color w:val="auto"/>
        </w:rPr>
      </w:pPr>
      <w:r>
        <w:rPr>
          <w:rFonts w:ascii="Courier New" w:cs="Courier New" w:eastAsia="Courier New" w:hAnsi="Courier New"/>
          <w:sz w:val="13"/>
          <w:szCs w:val="13"/>
          <w:color w:val="auto"/>
        </w:rPr>
        <w:t>Beginning in January 2003, SKF may exercise its right under The Shareholders Agreement to cause the Company to purchase its interest in Euroball based on the Put Formula in the Shareholders Agreement. The Company anticipates that if such purchase becomes necessary, it may need to borrow additional funds. Because the purchase price is based on a Euro based formula using Euroball's historical cash flow and earnings, the exact amount of the put cannot be determined until the put right is exercised. However, if exercised at December 31, 2002, the purchase price would have been approximately $14,000 versus minority interest in consolidated subsidiaries of $19,700.</w:t>
      </w:r>
    </w:p>
    <w:p>
      <w:pPr>
        <w:spacing w:after="0" w:line="310" w:lineRule="exact"/>
        <w:rPr>
          <w:sz w:val="20"/>
          <w:szCs w:val="20"/>
          <w:color w:val="auto"/>
        </w:rPr>
      </w:pPr>
    </w:p>
    <w:p>
      <w:pPr>
        <w:ind w:left="560" w:hanging="478"/>
        <w:spacing w:after="0"/>
        <w:tabs>
          <w:tab w:leader="none" w:pos="560" w:val="left"/>
        </w:tabs>
        <w:numPr>
          <w:ilvl w:val="0"/>
          <w:numId w:val="21"/>
        </w:numPr>
        <w:rPr>
          <w:rFonts w:ascii="Courier New" w:cs="Courier New" w:eastAsia="Courier New" w:hAnsi="Courier New"/>
          <w:sz w:val="13"/>
          <w:szCs w:val="13"/>
          <w:b w:val="1"/>
          <w:bCs w:val="1"/>
          <w:color w:val="auto"/>
        </w:rPr>
      </w:pPr>
      <w:r>
        <w:rPr>
          <w:rFonts w:ascii="Courier New" w:cs="Courier New" w:eastAsia="Courier New" w:hAnsi="Courier New"/>
          <w:sz w:val="13"/>
          <w:szCs w:val="13"/>
          <w:b w:val="1"/>
          <w:bCs w:val="1"/>
          <w:color w:val="auto"/>
        </w:rPr>
        <w:t>Quarterly Results of Operations (Unaudited)</w:t>
      </w:r>
    </w:p>
    <w:p>
      <w:pPr>
        <w:spacing w:after="0" w:line="161" w:lineRule="exact"/>
        <w:rPr>
          <w:rFonts w:ascii="Courier New" w:cs="Courier New" w:eastAsia="Courier New" w:hAnsi="Courier New"/>
          <w:sz w:val="13"/>
          <w:szCs w:val="13"/>
          <w:b w:val="1"/>
          <w:bCs w:val="1"/>
          <w:color w:val="auto"/>
        </w:rPr>
      </w:pPr>
    </w:p>
    <w:p>
      <w:pPr>
        <w:ind w:left="560" w:right="4059"/>
        <w:spacing w:after="0" w:line="254" w:lineRule="auto"/>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The following summarizes the unaudited quarterly results of operations for the years ended December 31, 2002 and 2001.</w:t>
      </w:r>
    </w:p>
    <w:p>
      <w:pPr>
        <w:spacing w:after="0" w:line="151"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2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40" w:type="dxa"/>
            <w:vAlign w:val="bottom"/>
            <w:gridSpan w:val="3"/>
          </w:tcPr>
          <w:p>
            <w:pPr>
              <w:jc w:val="right"/>
              <w:ind w:right="413"/>
              <w:spacing w:after="0"/>
              <w:rPr>
                <w:sz w:val="20"/>
                <w:szCs w:val="20"/>
                <w:color w:val="auto"/>
              </w:rPr>
            </w:pPr>
            <w:r>
              <w:rPr>
                <w:rFonts w:ascii="Courier New" w:cs="Courier New" w:eastAsia="Courier New" w:hAnsi="Courier New"/>
                <w:sz w:val="13"/>
                <w:szCs w:val="13"/>
                <w:b w:val="1"/>
                <w:bCs w:val="1"/>
                <w:color w:val="auto"/>
              </w:rPr>
              <w:t>Year ended December 31, 2002</w:t>
            </w:r>
          </w:p>
        </w:tc>
        <w:tc>
          <w:tcPr>
            <w:tcW w:w="1440" w:type="dxa"/>
            <w:vAlign w:val="bottom"/>
          </w:tcPr>
          <w:p>
            <w:pPr>
              <w:spacing w:after="0"/>
              <w:rPr>
                <w:sz w:val="12"/>
                <w:szCs w:val="12"/>
                <w:color w:val="auto"/>
              </w:rPr>
            </w:pPr>
          </w:p>
        </w:tc>
      </w:tr>
      <w:tr>
        <w:trPr>
          <w:trHeight w:val="154"/>
        </w:trPr>
        <w:tc>
          <w:tcPr>
            <w:tcW w:w="25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March</w:t>
            </w:r>
          </w:p>
        </w:tc>
        <w:tc>
          <w:tcPr>
            <w:tcW w:w="680" w:type="dxa"/>
            <w:vAlign w:val="bottom"/>
          </w:tcPr>
          <w:p>
            <w:pPr>
              <w:jc w:val="right"/>
              <w:ind w:right="413"/>
              <w:spacing w:after="0"/>
              <w:rPr>
                <w:sz w:val="20"/>
                <w:szCs w:val="20"/>
                <w:color w:val="auto"/>
              </w:rPr>
            </w:pPr>
            <w:r>
              <w:rPr>
                <w:rFonts w:ascii="Courier New" w:cs="Courier New" w:eastAsia="Courier New" w:hAnsi="Courier New"/>
                <w:sz w:val="13"/>
                <w:szCs w:val="13"/>
                <w:b w:val="1"/>
                <w:bCs w:val="1"/>
                <w:color w:val="auto"/>
              </w:rPr>
              <w:t>31</w:t>
            </w:r>
          </w:p>
        </w:tc>
        <w:tc>
          <w:tcPr>
            <w:tcW w:w="1520" w:type="dxa"/>
            <w:vAlign w:val="bottom"/>
          </w:tcPr>
          <w:p>
            <w:pPr>
              <w:jc w:val="right"/>
              <w:ind w:right="493"/>
              <w:spacing w:after="0"/>
              <w:rPr>
                <w:sz w:val="20"/>
                <w:szCs w:val="20"/>
                <w:color w:val="auto"/>
              </w:rPr>
            </w:pPr>
            <w:r>
              <w:rPr>
                <w:rFonts w:ascii="Courier New" w:cs="Courier New" w:eastAsia="Courier New" w:hAnsi="Courier New"/>
                <w:sz w:val="13"/>
                <w:szCs w:val="13"/>
                <w:b w:val="1"/>
                <w:bCs w:val="1"/>
                <w:color w:val="auto"/>
              </w:rPr>
              <w:t>June 30</w:t>
            </w:r>
          </w:p>
        </w:tc>
        <w:tc>
          <w:tcPr>
            <w:tcW w:w="84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Sept.</w:t>
            </w:r>
          </w:p>
        </w:tc>
        <w:tc>
          <w:tcPr>
            <w:tcW w:w="680" w:type="dxa"/>
            <w:vAlign w:val="bottom"/>
          </w:tcPr>
          <w:p>
            <w:pPr>
              <w:jc w:val="right"/>
              <w:ind w:right="413"/>
              <w:spacing w:after="0"/>
              <w:rPr>
                <w:sz w:val="20"/>
                <w:szCs w:val="20"/>
                <w:color w:val="auto"/>
              </w:rPr>
            </w:pPr>
            <w:r>
              <w:rPr>
                <w:rFonts w:ascii="Courier New" w:cs="Courier New" w:eastAsia="Courier New" w:hAnsi="Courier New"/>
                <w:sz w:val="13"/>
                <w:szCs w:val="13"/>
                <w:b w:val="1"/>
                <w:bCs w:val="1"/>
                <w:color w:val="auto"/>
              </w:rPr>
              <w:t>30</w:t>
            </w:r>
          </w:p>
        </w:tc>
        <w:tc>
          <w:tcPr>
            <w:tcW w:w="1440" w:type="dxa"/>
            <w:vAlign w:val="bottom"/>
          </w:tcPr>
          <w:p>
            <w:pPr>
              <w:jc w:val="right"/>
              <w:ind w:right="413"/>
              <w:spacing w:after="0"/>
              <w:rPr>
                <w:sz w:val="20"/>
                <w:szCs w:val="20"/>
                <w:color w:val="auto"/>
              </w:rPr>
            </w:pPr>
            <w:r>
              <w:rPr>
                <w:rFonts w:ascii="Courier New" w:cs="Courier New" w:eastAsia="Courier New" w:hAnsi="Courier New"/>
                <w:sz w:val="13"/>
                <w:szCs w:val="13"/>
                <w:b w:val="1"/>
                <w:bCs w:val="1"/>
                <w:color w:val="auto"/>
              </w:rPr>
              <w:t>Dec. 31</w:t>
            </w:r>
          </w:p>
        </w:tc>
      </w:tr>
      <w:tr>
        <w:trPr>
          <w:trHeight w:val="154"/>
        </w:trPr>
        <w:tc>
          <w:tcPr>
            <w:tcW w:w="2560" w:type="dxa"/>
            <w:vAlign w:val="bottom"/>
          </w:tcPr>
          <w:p>
            <w:pPr>
              <w:spacing w:after="0"/>
              <w:rPr>
                <w:sz w:val="13"/>
                <w:szCs w:val="13"/>
                <w:color w:val="auto"/>
              </w:rPr>
            </w:pPr>
          </w:p>
        </w:tc>
        <w:tc>
          <w:tcPr>
            <w:tcW w:w="1700" w:type="dxa"/>
            <w:vAlign w:val="bottom"/>
            <w:gridSpan w:val="2"/>
          </w:tcPr>
          <w:p>
            <w:pPr>
              <w:jc w:val="right"/>
              <w:ind w:right="13"/>
              <w:spacing w:after="0"/>
              <w:rPr>
                <w:sz w:val="20"/>
                <w:szCs w:val="20"/>
                <w:color w:val="auto"/>
              </w:rPr>
            </w:pPr>
            <w:r>
              <w:rPr>
                <w:rFonts w:ascii="Courier New" w:cs="Courier New" w:eastAsia="Courier New" w:hAnsi="Courier New"/>
                <w:sz w:val="13"/>
                <w:szCs w:val="13"/>
                <w:b w:val="1"/>
                <w:bCs w:val="1"/>
                <w:color w:val="auto"/>
              </w:rPr>
              <w:t>-----------------</w:t>
            </w:r>
          </w:p>
        </w:tc>
        <w:tc>
          <w:tcPr>
            <w:tcW w:w="1520" w:type="dxa"/>
            <w:vAlign w:val="bottom"/>
          </w:tcPr>
          <w:p>
            <w:pPr>
              <w:jc w:val="right"/>
              <w:ind w:right="13"/>
              <w:spacing w:after="0"/>
              <w:rPr>
                <w:sz w:val="20"/>
                <w:szCs w:val="20"/>
                <w:color w:val="auto"/>
              </w:rPr>
            </w:pPr>
            <w:r>
              <w:rPr>
                <w:rFonts w:ascii="Courier New" w:cs="Courier New" w:eastAsia="Courier New" w:hAnsi="Courier New"/>
                <w:sz w:val="13"/>
                <w:szCs w:val="13"/>
                <w:b w:val="1"/>
                <w:bCs w:val="1"/>
                <w:color w:val="auto"/>
              </w:rPr>
              <w:t>-----------------</w:t>
            </w:r>
          </w:p>
        </w:tc>
        <w:tc>
          <w:tcPr>
            <w:tcW w:w="1520" w:type="dxa"/>
            <w:vAlign w:val="bottom"/>
            <w:gridSpan w:val="2"/>
          </w:tcPr>
          <w:p>
            <w:pPr>
              <w:jc w:val="right"/>
              <w:ind w:right="13"/>
              <w:spacing w:after="0"/>
              <w:rPr>
                <w:sz w:val="20"/>
                <w:szCs w:val="20"/>
                <w:color w:val="auto"/>
              </w:rPr>
            </w:pPr>
            <w:r>
              <w:rPr>
                <w:rFonts w:ascii="Courier New" w:cs="Courier New" w:eastAsia="Courier New" w:hAnsi="Courier New"/>
                <w:sz w:val="13"/>
                <w:szCs w:val="13"/>
                <w:b w:val="1"/>
                <w:bCs w:val="1"/>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w:t>
            </w:r>
          </w:p>
        </w:tc>
      </w:tr>
      <w:tr>
        <w:trPr>
          <w:trHeight w:val="154"/>
        </w:trPr>
        <w:tc>
          <w:tcPr>
            <w:tcW w:w="2560" w:type="dxa"/>
            <w:vAlign w:val="bottom"/>
          </w:tcPr>
          <w:p>
            <w:pPr>
              <w:spacing w:after="0"/>
              <w:rPr>
                <w:sz w:val="20"/>
                <w:szCs w:val="20"/>
                <w:color w:val="auto"/>
              </w:rPr>
            </w:pPr>
            <w:r>
              <w:rPr>
                <w:rFonts w:ascii="Courier New" w:cs="Courier New" w:eastAsia="Courier New" w:hAnsi="Courier New"/>
                <w:sz w:val="13"/>
                <w:szCs w:val="13"/>
                <w:color w:val="auto"/>
              </w:rPr>
              <w:t>Net sales</w:t>
            </w:r>
          </w:p>
        </w:tc>
        <w:tc>
          <w:tcPr>
            <w:tcW w:w="10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47,200</w:t>
            </w:r>
          </w:p>
        </w:tc>
        <w:tc>
          <w:tcPr>
            <w:tcW w:w="15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  49,186</w:t>
            </w:r>
          </w:p>
        </w:tc>
        <w:tc>
          <w:tcPr>
            <w:tcW w:w="8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47,451</w:t>
            </w:r>
          </w:p>
        </w:tc>
        <w:tc>
          <w:tcPr>
            <w:tcW w:w="14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  49,019</w:t>
            </w:r>
          </w:p>
        </w:tc>
      </w:tr>
      <w:tr>
        <w:trPr>
          <w:trHeight w:val="154"/>
        </w:trPr>
        <w:tc>
          <w:tcPr>
            <w:tcW w:w="2560" w:type="dxa"/>
            <w:vAlign w:val="bottom"/>
          </w:tcPr>
          <w:p>
            <w:pPr>
              <w:spacing w:after="0"/>
              <w:rPr>
                <w:sz w:val="20"/>
                <w:szCs w:val="20"/>
                <w:color w:val="auto"/>
              </w:rPr>
            </w:pPr>
            <w:r>
              <w:rPr>
                <w:rFonts w:ascii="Courier New" w:cs="Courier New" w:eastAsia="Courier New" w:hAnsi="Courier New"/>
                <w:sz w:val="13"/>
                <w:szCs w:val="13"/>
                <w:color w:val="auto"/>
              </w:rPr>
              <w:t>Gross profit</w:t>
            </w:r>
          </w:p>
        </w:tc>
        <w:tc>
          <w:tcPr>
            <w:tcW w:w="1020" w:type="dxa"/>
            <w:vAlign w:val="bottom"/>
          </w:tcPr>
          <w:p>
            <w:pPr>
              <w:spacing w:after="0"/>
              <w:rPr>
                <w:sz w:val="13"/>
                <w:szCs w:val="13"/>
                <w:color w:val="auto"/>
              </w:rPr>
            </w:pPr>
          </w:p>
        </w:tc>
        <w:tc>
          <w:tcPr>
            <w:tcW w:w="6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11,668</w:t>
            </w:r>
          </w:p>
        </w:tc>
        <w:tc>
          <w:tcPr>
            <w:tcW w:w="15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13,047</w:t>
            </w:r>
          </w:p>
        </w:tc>
        <w:tc>
          <w:tcPr>
            <w:tcW w:w="840" w:type="dxa"/>
            <w:vAlign w:val="bottom"/>
          </w:tcPr>
          <w:p>
            <w:pPr>
              <w:spacing w:after="0"/>
              <w:rPr>
                <w:sz w:val="13"/>
                <w:szCs w:val="13"/>
                <w:color w:val="auto"/>
              </w:rPr>
            </w:pPr>
          </w:p>
        </w:tc>
        <w:tc>
          <w:tcPr>
            <w:tcW w:w="6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11,820</w:t>
            </w:r>
          </w:p>
        </w:tc>
        <w:tc>
          <w:tcPr>
            <w:tcW w:w="14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12,047</w:t>
            </w:r>
          </w:p>
        </w:tc>
      </w:tr>
      <w:tr>
        <w:trPr>
          <w:trHeight w:val="154"/>
        </w:trPr>
        <w:tc>
          <w:tcPr>
            <w:tcW w:w="2560" w:type="dxa"/>
            <w:vAlign w:val="bottom"/>
          </w:tcPr>
          <w:p>
            <w:pPr>
              <w:spacing w:after="0"/>
              <w:rPr>
                <w:sz w:val="20"/>
                <w:szCs w:val="20"/>
                <w:color w:val="auto"/>
              </w:rPr>
            </w:pPr>
            <w:r>
              <w:rPr>
                <w:rFonts w:ascii="Courier New" w:cs="Courier New" w:eastAsia="Courier New" w:hAnsi="Courier New"/>
                <w:sz w:val="13"/>
                <w:szCs w:val="13"/>
                <w:color w:val="auto"/>
              </w:rPr>
              <w:t>Net income</w:t>
            </w:r>
          </w:p>
        </w:tc>
        <w:tc>
          <w:tcPr>
            <w:tcW w:w="1020" w:type="dxa"/>
            <w:vAlign w:val="bottom"/>
          </w:tcPr>
          <w:p>
            <w:pPr>
              <w:spacing w:after="0"/>
              <w:rPr>
                <w:sz w:val="13"/>
                <w:szCs w:val="13"/>
                <w:color w:val="auto"/>
              </w:rPr>
            </w:pPr>
          </w:p>
        </w:tc>
        <w:tc>
          <w:tcPr>
            <w:tcW w:w="6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1,848</w:t>
            </w:r>
          </w:p>
        </w:tc>
        <w:tc>
          <w:tcPr>
            <w:tcW w:w="15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2,409</w:t>
            </w:r>
          </w:p>
        </w:tc>
        <w:tc>
          <w:tcPr>
            <w:tcW w:w="840" w:type="dxa"/>
            <w:vAlign w:val="bottom"/>
          </w:tcPr>
          <w:p>
            <w:pPr>
              <w:spacing w:after="0"/>
              <w:rPr>
                <w:sz w:val="13"/>
                <w:szCs w:val="13"/>
                <w:color w:val="auto"/>
              </w:rPr>
            </w:pPr>
          </w:p>
        </w:tc>
        <w:tc>
          <w:tcPr>
            <w:tcW w:w="6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2,119</w:t>
            </w:r>
          </w:p>
        </w:tc>
        <w:tc>
          <w:tcPr>
            <w:tcW w:w="14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7,288</w:t>
            </w:r>
          </w:p>
        </w:tc>
      </w:tr>
      <w:tr>
        <w:trPr>
          <w:trHeight w:val="154"/>
        </w:trPr>
        <w:tc>
          <w:tcPr>
            <w:tcW w:w="2560" w:type="dxa"/>
            <w:vAlign w:val="bottom"/>
          </w:tcPr>
          <w:p>
            <w:pPr>
              <w:spacing w:after="0"/>
              <w:rPr>
                <w:sz w:val="20"/>
                <w:szCs w:val="20"/>
                <w:color w:val="auto"/>
              </w:rPr>
            </w:pPr>
            <w:r>
              <w:rPr>
                <w:rFonts w:ascii="Courier New" w:cs="Courier New" w:eastAsia="Courier New" w:hAnsi="Courier New"/>
                <w:sz w:val="13"/>
                <w:szCs w:val="13"/>
                <w:color w:val="auto"/>
              </w:rPr>
              <w:t>Basic net income per share</w:t>
            </w:r>
          </w:p>
        </w:tc>
        <w:tc>
          <w:tcPr>
            <w:tcW w:w="1020" w:type="dxa"/>
            <w:vAlign w:val="bottom"/>
          </w:tcPr>
          <w:p>
            <w:pPr>
              <w:spacing w:after="0"/>
              <w:rPr>
                <w:sz w:val="13"/>
                <w:szCs w:val="13"/>
                <w:color w:val="auto"/>
              </w:rPr>
            </w:pPr>
          </w:p>
        </w:tc>
        <w:tc>
          <w:tcPr>
            <w:tcW w:w="6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0.12</w:t>
            </w:r>
          </w:p>
        </w:tc>
        <w:tc>
          <w:tcPr>
            <w:tcW w:w="15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0.16</w:t>
            </w:r>
          </w:p>
        </w:tc>
        <w:tc>
          <w:tcPr>
            <w:tcW w:w="840" w:type="dxa"/>
            <w:vAlign w:val="bottom"/>
          </w:tcPr>
          <w:p>
            <w:pPr>
              <w:spacing w:after="0"/>
              <w:rPr>
                <w:sz w:val="13"/>
                <w:szCs w:val="13"/>
                <w:color w:val="auto"/>
              </w:rPr>
            </w:pPr>
          </w:p>
        </w:tc>
        <w:tc>
          <w:tcPr>
            <w:tcW w:w="6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0.14</w:t>
            </w:r>
          </w:p>
        </w:tc>
        <w:tc>
          <w:tcPr>
            <w:tcW w:w="14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0.47</w:t>
            </w:r>
          </w:p>
        </w:tc>
      </w:tr>
      <w:tr>
        <w:trPr>
          <w:trHeight w:val="154"/>
        </w:trPr>
        <w:tc>
          <w:tcPr>
            <w:tcW w:w="2560" w:type="dxa"/>
            <w:vAlign w:val="bottom"/>
          </w:tcPr>
          <w:p>
            <w:pPr>
              <w:spacing w:after="0"/>
              <w:rPr>
                <w:sz w:val="20"/>
                <w:szCs w:val="20"/>
                <w:color w:val="auto"/>
              </w:rPr>
            </w:pPr>
            <w:r>
              <w:rPr>
                <w:rFonts w:ascii="Courier New" w:cs="Courier New" w:eastAsia="Courier New" w:hAnsi="Courier New"/>
                <w:sz w:val="13"/>
                <w:szCs w:val="13"/>
                <w:color w:val="auto"/>
              </w:rPr>
              <w:t>Dilutive net income per share</w:t>
            </w:r>
          </w:p>
        </w:tc>
        <w:tc>
          <w:tcPr>
            <w:tcW w:w="1020" w:type="dxa"/>
            <w:vAlign w:val="bottom"/>
          </w:tcPr>
          <w:p>
            <w:pPr>
              <w:spacing w:after="0"/>
              <w:rPr>
                <w:sz w:val="13"/>
                <w:szCs w:val="13"/>
                <w:color w:val="auto"/>
              </w:rPr>
            </w:pPr>
          </w:p>
        </w:tc>
        <w:tc>
          <w:tcPr>
            <w:tcW w:w="6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0.12</w:t>
            </w:r>
          </w:p>
        </w:tc>
        <w:tc>
          <w:tcPr>
            <w:tcW w:w="15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0.15</w:t>
            </w:r>
          </w:p>
        </w:tc>
        <w:tc>
          <w:tcPr>
            <w:tcW w:w="840" w:type="dxa"/>
            <w:vAlign w:val="bottom"/>
          </w:tcPr>
          <w:p>
            <w:pPr>
              <w:spacing w:after="0"/>
              <w:rPr>
                <w:sz w:val="13"/>
                <w:szCs w:val="13"/>
                <w:color w:val="auto"/>
              </w:rPr>
            </w:pPr>
          </w:p>
        </w:tc>
        <w:tc>
          <w:tcPr>
            <w:tcW w:w="6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0.14</w:t>
            </w:r>
          </w:p>
        </w:tc>
        <w:tc>
          <w:tcPr>
            <w:tcW w:w="14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0.46</w:t>
            </w:r>
          </w:p>
        </w:tc>
      </w:tr>
      <w:tr>
        <w:trPr>
          <w:trHeight w:val="154"/>
        </w:trPr>
        <w:tc>
          <w:tcPr>
            <w:tcW w:w="2560" w:type="dxa"/>
            <w:vAlign w:val="bottom"/>
          </w:tcPr>
          <w:p>
            <w:pPr>
              <w:spacing w:after="0"/>
              <w:rPr>
                <w:sz w:val="20"/>
                <w:szCs w:val="20"/>
                <w:color w:val="auto"/>
              </w:rPr>
            </w:pPr>
            <w:r>
              <w:rPr>
                <w:rFonts w:ascii="Courier New" w:cs="Courier New" w:eastAsia="Courier New" w:hAnsi="Courier New"/>
                <w:sz w:val="13"/>
                <w:szCs w:val="13"/>
                <w:color w:val="auto"/>
              </w:rPr>
              <w:t>Weighted average shares</w:t>
            </w:r>
          </w:p>
        </w:tc>
        <w:tc>
          <w:tcPr>
            <w:tcW w:w="10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4"/>
        </w:trPr>
        <w:tc>
          <w:tcPr>
            <w:tcW w:w="2560" w:type="dxa"/>
            <w:vAlign w:val="bottom"/>
          </w:tcPr>
          <w:p>
            <w:pPr>
              <w:ind w:left="320"/>
              <w:spacing w:after="0"/>
              <w:rPr>
                <w:sz w:val="20"/>
                <w:szCs w:val="20"/>
                <w:color w:val="auto"/>
              </w:rPr>
            </w:pPr>
            <w:r>
              <w:rPr>
                <w:rFonts w:ascii="Courier New" w:cs="Courier New" w:eastAsia="Courier New" w:hAnsi="Courier New"/>
                <w:sz w:val="13"/>
                <w:szCs w:val="13"/>
                <w:color w:val="auto"/>
              </w:rPr>
              <w:t>outstanding:</w:t>
            </w:r>
          </w:p>
        </w:tc>
        <w:tc>
          <w:tcPr>
            <w:tcW w:w="10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4"/>
        </w:trPr>
        <w:tc>
          <w:tcPr>
            <w:tcW w:w="2560" w:type="dxa"/>
            <w:vAlign w:val="bottom"/>
          </w:tcPr>
          <w:p>
            <w:pPr>
              <w:ind w:left="320"/>
              <w:spacing w:after="0"/>
              <w:rPr>
                <w:sz w:val="20"/>
                <w:szCs w:val="20"/>
                <w:color w:val="auto"/>
              </w:rPr>
            </w:pPr>
            <w:r>
              <w:rPr>
                <w:rFonts w:ascii="Courier New" w:cs="Courier New" w:eastAsia="Courier New" w:hAnsi="Courier New"/>
                <w:sz w:val="13"/>
                <w:szCs w:val="13"/>
                <w:color w:val="auto"/>
              </w:rPr>
              <w:t>Basic number of shares</w:t>
            </w:r>
          </w:p>
        </w:tc>
        <w:tc>
          <w:tcPr>
            <w:tcW w:w="1020" w:type="dxa"/>
            <w:vAlign w:val="bottom"/>
          </w:tcPr>
          <w:p>
            <w:pPr>
              <w:spacing w:after="0"/>
              <w:rPr>
                <w:sz w:val="13"/>
                <w:szCs w:val="13"/>
                <w:color w:val="auto"/>
              </w:rPr>
            </w:pPr>
          </w:p>
        </w:tc>
        <w:tc>
          <w:tcPr>
            <w:tcW w:w="6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15,341</w:t>
            </w:r>
          </w:p>
        </w:tc>
        <w:tc>
          <w:tcPr>
            <w:tcW w:w="15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15,359</w:t>
            </w:r>
          </w:p>
        </w:tc>
        <w:tc>
          <w:tcPr>
            <w:tcW w:w="840" w:type="dxa"/>
            <w:vAlign w:val="bottom"/>
          </w:tcPr>
          <w:p>
            <w:pPr>
              <w:spacing w:after="0"/>
              <w:rPr>
                <w:sz w:val="13"/>
                <w:szCs w:val="13"/>
                <w:color w:val="auto"/>
              </w:rPr>
            </w:pPr>
          </w:p>
        </w:tc>
        <w:tc>
          <w:tcPr>
            <w:tcW w:w="6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15,368</w:t>
            </w:r>
          </w:p>
        </w:tc>
        <w:tc>
          <w:tcPr>
            <w:tcW w:w="14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15,368</w:t>
            </w:r>
          </w:p>
        </w:tc>
      </w:tr>
      <w:tr>
        <w:trPr>
          <w:trHeight w:val="154"/>
        </w:trPr>
        <w:tc>
          <w:tcPr>
            <w:tcW w:w="2560" w:type="dxa"/>
            <w:vAlign w:val="bottom"/>
          </w:tcPr>
          <w:p>
            <w:pPr>
              <w:ind w:left="320"/>
              <w:spacing w:after="0"/>
              <w:rPr>
                <w:sz w:val="20"/>
                <w:szCs w:val="20"/>
                <w:color w:val="auto"/>
              </w:rPr>
            </w:pPr>
            <w:r>
              <w:rPr>
                <w:rFonts w:ascii="Courier New" w:cs="Courier New" w:eastAsia="Courier New" w:hAnsi="Courier New"/>
                <w:sz w:val="13"/>
                <w:szCs w:val="13"/>
                <w:color w:val="auto"/>
              </w:rPr>
              <w:t>Effect of dilutive stock</w:t>
            </w:r>
          </w:p>
        </w:tc>
        <w:tc>
          <w:tcPr>
            <w:tcW w:w="10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4"/>
        </w:trPr>
        <w:tc>
          <w:tcPr>
            <w:tcW w:w="2560" w:type="dxa"/>
            <w:vAlign w:val="bottom"/>
          </w:tcPr>
          <w:p>
            <w:pPr>
              <w:ind w:left="480"/>
              <w:spacing w:after="0"/>
              <w:rPr>
                <w:sz w:val="20"/>
                <w:szCs w:val="20"/>
                <w:color w:val="auto"/>
              </w:rPr>
            </w:pPr>
            <w:r>
              <w:rPr>
                <w:rFonts w:ascii="Courier New" w:cs="Courier New" w:eastAsia="Courier New" w:hAnsi="Courier New"/>
                <w:sz w:val="13"/>
                <w:szCs w:val="13"/>
                <w:color w:val="auto"/>
              </w:rPr>
              <w:t>options</w:t>
            </w:r>
          </w:p>
        </w:tc>
        <w:tc>
          <w:tcPr>
            <w:tcW w:w="1020" w:type="dxa"/>
            <w:vAlign w:val="bottom"/>
          </w:tcPr>
          <w:p>
            <w:pPr>
              <w:spacing w:after="0"/>
              <w:rPr>
                <w:sz w:val="13"/>
                <w:szCs w:val="13"/>
                <w:color w:val="auto"/>
              </w:rPr>
            </w:pPr>
          </w:p>
        </w:tc>
        <w:tc>
          <w:tcPr>
            <w:tcW w:w="6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394</w:t>
            </w:r>
          </w:p>
        </w:tc>
        <w:tc>
          <w:tcPr>
            <w:tcW w:w="15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509</w:t>
            </w:r>
          </w:p>
        </w:tc>
        <w:tc>
          <w:tcPr>
            <w:tcW w:w="840" w:type="dxa"/>
            <w:vAlign w:val="bottom"/>
          </w:tcPr>
          <w:p>
            <w:pPr>
              <w:spacing w:after="0"/>
              <w:rPr>
                <w:sz w:val="13"/>
                <w:szCs w:val="13"/>
                <w:color w:val="auto"/>
              </w:rPr>
            </w:pPr>
          </w:p>
        </w:tc>
        <w:tc>
          <w:tcPr>
            <w:tcW w:w="6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280</w:t>
            </w:r>
          </w:p>
        </w:tc>
        <w:tc>
          <w:tcPr>
            <w:tcW w:w="14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341</w:t>
            </w:r>
          </w:p>
        </w:tc>
      </w:tr>
      <w:tr>
        <w:trPr>
          <w:trHeight w:val="154"/>
        </w:trPr>
        <w:tc>
          <w:tcPr>
            <w:tcW w:w="2560" w:type="dxa"/>
            <w:vAlign w:val="bottom"/>
          </w:tcPr>
          <w:p>
            <w:pPr>
              <w:spacing w:after="0"/>
              <w:rPr>
                <w:sz w:val="13"/>
                <w:szCs w:val="13"/>
                <w:color w:val="auto"/>
              </w:rPr>
            </w:pPr>
          </w:p>
        </w:tc>
        <w:tc>
          <w:tcPr>
            <w:tcW w:w="170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52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2560" w:type="dxa"/>
            <w:vAlign w:val="bottom"/>
          </w:tcPr>
          <w:p>
            <w:pPr>
              <w:spacing w:after="0"/>
              <w:rPr>
                <w:sz w:val="20"/>
                <w:szCs w:val="20"/>
                <w:color w:val="auto"/>
              </w:rPr>
            </w:pPr>
            <w:r>
              <w:rPr>
                <w:rFonts w:ascii="Courier New" w:cs="Courier New" w:eastAsia="Courier New" w:hAnsi="Courier New"/>
                <w:sz w:val="13"/>
                <w:szCs w:val="13"/>
                <w:color w:val="auto"/>
              </w:rPr>
              <w:t>Diluted number of shares</w:t>
            </w:r>
          </w:p>
        </w:tc>
        <w:tc>
          <w:tcPr>
            <w:tcW w:w="1020" w:type="dxa"/>
            <w:vAlign w:val="bottom"/>
          </w:tcPr>
          <w:p>
            <w:pPr>
              <w:spacing w:after="0"/>
              <w:rPr>
                <w:sz w:val="13"/>
                <w:szCs w:val="13"/>
                <w:color w:val="auto"/>
              </w:rPr>
            </w:pPr>
          </w:p>
        </w:tc>
        <w:tc>
          <w:tcPr>
            <w:tcW w:w="6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15,735</w:t>
            </w:r>
          </w:p>
        </w:tc>
        <w:tc>
          <w:tcPr>
            <w:tcW w:w="15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15,868</w:t>
            </w:r>
          </w:p>
        </w:tc>
        <w:tc>
          <w:tcPr>
            <w:tcW w:w="840" w:type="dxa"/>
            <w:vAlign w:val="bottom"/>
          </w:tcPr>
          <w:p>
            <w:pPr>
              <w:spacing w:after="0"/>
              <w:rPr>
                <w:sz w:val="13"/>
                <w:szCs w:val="13"/>
                <w:color w:val="auto"/>
              </w:rPr>
            </w:pPr>
          </w:p>
        </w:tc>
        <w:tc>
          <w:tcPr>
            <w:tcW w:w="6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15,648</w:t>
            </w:r>
          </w:p>
        </w:tc>
        <w:tc>
          <w:tcPr>
            <w:tcW w:w="14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15,709</w:t>
            </w:r>
          </w:p>
        </w:tc>
      </w:tr>
      <w:tr>
        <w:trPr>
          <w:trHeight w:val="154"/>
        </w:trPr>
        <w:tc>
          <w:tcPr>
            <w:tcW w:w="2560" w:type="dxa"/>
            <w:vAlign w:val="bottom"/>
          </w:tcPr>
          <w:p>
            <w:pPr>
              <w:spacing w:after="0"/>
              <w:rPr>
                <w:sz w:val="13"/>
                <w:szCs w:val="13"/>
                <w:color w:val="auto"/>
              </w:rPr>
            </w:pPr>
          </w:p>
        </w:tc>
        <w:tc>
          <w:tcPr>
            <w:tcW w:w="170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52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bl>
    <w:p>
      <w:pPr>
        <w:spacing w:after="0" w:line="313"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2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40" w:type="dxa"/>
            <w:vAlign w:val="bottom"/>
            <w:gridSpan w:val="2"/>
          </w:tcPr>
          <w:p>
            <w:pPr>
              <w:jc w:val="right"/>
              <w:ind w:right="413"/>
              <w:spacing w:after="0"/>
              <w:rPr>
                <w:sz w:val="20"/>
                <w:szCs w:val="20"/>
                <w:color w:val="auto"/>
              </w:rPr>
            </w:pPr>
            <w:r>
              <w:rPr>
                <w:rFonts w:ascii="Courier New" w:cs="Courier New" w:eastAsia="Courier New" w:hAnsi="Courier New"/>
                <w:sz w:val="13"/>
                <w:szCs w:val="13"/>
                <w:b w:val="1"/>
                <w:bCs w:val="1"/>
                <w:color w:val="auto"/>
              </w:rPr>
              <w:t>Year ended December 31, 2001</w:t>
            </w:r>
          </w:p>
        </w:tc>
        <w:tc>
          <w:tcPr>
            <w:tcW w:w="1440" w:type="dxa"/>
            <w:vAlign w:val="bottom"/>
          </w:tcPr>
          <w:p>
            <w:pPr>
              <w:spacing w:after="0"/>
              <w:rPr>
                <w:sz w:val="12"/>
                <w:szCs w:val="12"/>
                <w:color w:val="auto"/>
              </w:rPr>
            </w:pPr>
          </w:p>
        </w:tc>
      </w:tr>
      <w:tr>
        <w:trPr>
          <w:trHeight w:val="154"/>
        </w:trPr>
        <w:tc>
          <w:tcPr>
            <w:tcW w:w="28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March</w:t>
            </w:r>
          </w:p>
        </w:tc>
        <w:tc>
          <w:tcPr>
            <w:tcW w:w="680" w:type="dxa"/>
            <w:vAlign w:val="bottom"/>
          </w:tcPr>
          <w:p>
            <w:pPr>
              <w:jc w:val="right"/>
              <w:ind w:right="413"/>
              <w:spacing w:after="0"/>
              <w:rPr>
                <w:sz w:val="20"/>
                <w:szCs w:val="20"/>
                <w:color w:val="auto"/>
              </w:rPr>
            </w:pPr>
            <w:r>
              <w:rPr>
                <w:rFonts w:ascii="Courier New" w:cs="Courier New" w:eastAsia="Courier New" w:hAnsi="Courier New"/>
                <w:sz w:val="13"/>
                <w:szCs w:val="13"/>
                <w:b w:val="1"/>
                <w:bCs w:val="1"/>
                <w:color w:val="auto"/>
              </w:rPr>
              <w:t>31</w:t>
            </w:r>
          </w:p>
        </w:tc>
        <w:tc>
          <w:tcPr>
            <w:tcW w:w="1520" w:type="dxa"/>
            <w:vAlign w:val="bottom"/>
          </w:tcPr>
          <w:p>
            <w:pPr>
              <w:jc w:val="right"/>
              <w:ind w:right="493"/>
              <w:spacing w:after="0"/>
              <w:rPr>
                <w:sz w:val="20"/>
                <w:szCs w:val="20"/>
                <w:color w:val="auto"/>
              </w:rPr>
            </w:pPr>
            <w:r>
              <w:rPr>
                <w:rFonts w:ascii="Courier New" w:cs="Courier New" w:eastAsia="Courier New" w:hAnsi="Courier New"/>
                <w:sz w:val="13"/>
                <w:szCs w:val="13"/>
                <w:b w:val="1"/>
                <w:bCs w:val="1"/>
                <w:color w:val="auto"/>
              </w:rPr>
              <w:t>June 30</w:t>
            </w:r>
          </w:p>
        </w:tc>
        <w:tc>
          <w:tcPr>
            <w:tcW w:w="1520" w:type="dxa"/>
            <w:vAlign w:val="bottom"/>
          </w:tcPr>
          <w:p>
            <w:pPr>
              <w:jc w:val="right"/>
              <w:ind w:right="413"/>
              <w:spacing w:after="0"/>
              <w:rPr>
                <w:sz w:val="20"/>
                <w:szCs w:val="20"/>
                <w:color w:val="auto"/>
              </w:rPr>
            </w:pPr>
            <w:r>
              <w:rPr>
                <w:rFonts w:ascii="Courier New" w:cs="Courier New" w:eastAsia="Courier New" w:hAnsi="Courier New"/>
                <w:sz w:val="13"/>
                <w:szCs w:val="13"/>
                <w:b w:val="1"/>
                <w:bCs w:val="1"/>
                <w:color w:val="auto"/>
              </w:rPr>
              <w:t>Sept. 30</w:t>
            </w:r>
          </w:p>
        </w:tc>
        <w:tc>
          <w:tcPr>
            <w:tcW w:w="1440" w:type="dxa"/>
            <w:vAlign w:val="bottom"/>
          </w:tcPr>
          <w:p>
            <w:pPr>
              <w:jc w:val="right"/>
              <w:ind w:right="413"/>
              <w:spacing w:after="0"/>
              <w:rPr>
                <w:sz w:val="20"/>
                <w:szCs w:val="20"/>
                <w:color w:val="auto"/>
              </w:rPr>
            </w:pPr>
            <w:r>
              <w:rPr>
                <w:rFonts w:ascii="Courier New" w:cs="Courier New" w:eastAsia="Courier New" w:hAnsi="Courier New"/>
                <w:sz w:val="13"/>
                <w:szCs w:val="13"/>
                <w:b w:val="1"/>
                <w:bCs w:val="1"/>
                <w:color w:val="auto"/>
              </w:rPr>
              <w:t>Dec. 31</w:t>
            </w:r>
          </w:p>
        </w:tc>
      </w:tr>
      <w:tr>
        <w:trPr>
          <w:trHeight w:val="154"/>
        </w:trPr>
        <w:tc>
          <w:tcPr>
            <w:tcW w:w="2860" w:type="dxa"/>
            <w:vAlign w:val="bottom"/>
          </w:tcPr>
          <w:p>
            <w:pPr>
              <w:spacing w:after="0"/>
              <w:rPr>
                <w:sz w:val="13"/>
                <w:szCs w:val="13"/>
                <w:color w:val="auto"/>
              </w:rPr>
            </w:pPr>
          </w:p>
        </w:tc>
        <w:tc>
          <w:tcPr>
            <w:tcW w:w="1640" w:type="dxa"/>
            <w:vAlign w:val="bottom"/>
            <w:gridSpan w:val="2"/>
          </w:tcPr>
          <w:p>
            <w:pPr>
              <w:jc w:val="right"/>
              <w:ind w:right="13"/>
              <w:spacing w:after="0"/>
              <w:rPr>
                <w:sz w:val="20"/>
                <w:szCs w:val="20"/>
                <w:color w:val="auto"/>
              </w:rPr>
            </w:pPr>
            <w:r>
              <w:rPr>
                <w:rFonts w:ascii="Courier New" w:cs="Courier New" w:eastAsia="Courier New" w:hAnsi="Courier New"/>
                <w:sz w:val="13"/>
                <w:szCs w:val="13"/>
                <w:b w:val="1"/>
                <w:bCs w:val="1"/>
                <w:color w:val="auto"/>
              </w:rPr>
              <w:t>-----------------</w:t>
            </w:r>
          </w:p>
        </w:tc>
        <w:tc>
          <w:tcPr>
            <w:tcW w:w="1520" w:type="dxa"/>
            <w:vAlign w:val="bottom"/>
          </w:tcPr>
          <w:p>
            <w:pPr>
              <w:jc w:val="right"/>
              <w:ind w:right="13"/>
              <w:spacing w:after="0"/>
              <w:rPr>
                <w:sz w:val="20"/>
                <w:szCs w:val="20"/>
                <w:color w:val="auto"/>
              </w:rPr>
            </w:pPr>
            <w:r>
              <w:rPr>
                <w:rFonts w:ascii="Courier New" w:cs="Courier New" w:eastAsia="Courier New" w:hAnsi="Courier New"/>
                <w:sz w:val="13"/>
                <w:szCs w:val="13"/>
                <w:b w:val="1"/>
                <w:bCs w:val="1"/>
                <w:color w:val="auto"/>
              </w:rPr>
              <w:t>-----------------</w:t>
            </w:r>
          </w:p>
        </w:tc>
        <w:tc>
          <w:tcPr>
            <w:tcW w:w="1520" w:type="dxa"/>
            <w:vAlign w:val="bottom"/>
          </w:tcPr>
          <w:p>
            <w:pPr>
              <w:jc w:val="right"/>
              <w:ind w:right="13"/>
              <w:spacing w:after="0"/>
              <w:rPr>
                <w:sz w:val="20"/>
                <w:szCs w:val="20"/>
                <w:color w:val="auto"/>
              </w:rPr>
            </w:pPr>
            <w:r>
              <w:rPr>
                <w:rFonts w:ascii="Courier New" w:cs="Courier New" w:eastAsia="Courier New" w:hAnsi="Courier New"/>
                <w:sz w:val="13"/>
                <w:szCs w:val="13"/>
                <w:b w:val="1"/>
                <w:bCs w:val="1"/>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w:t>
            </w:r>
          </w:p>
        </w:tc>
      </w:tr>
      <w:tr>
        <w:trPr>
          <w:trHeight w:val="154"/>
        </w:trPr>
        <w:tc>
          <w:tcPr>
            <w:tcW w:w="2860" w:type="dxa"/>
            <w:vAlign w:val="bottom"/>
          </w:tcPr>
          <w:p>
            <w:pPr>
              <w:spacing w:after="0"/>
              <w:rPr>
                <w:sz w:val="20"/>
                <w:szCs w:val="20"/>
                <w:color w:val="auto"/>
              </w:rPr>
            </w:pPr>
            <w:r>
              <w:rPr>
                <w:rFonts w:ascii="Courier New" w:cs="Courier New" w:eastAsia="Courier New" w:hAnsi="Courier New"/>
                <w:sz w:val="13"/>
                <w:szCs w:val="13"/>
                <w:color w:val="auto"/>
              </w:rPr>
              <w:t>Net sales</w:t>
            </w:r>
          </w:p>
        </w:tc>
        <w:tc>
          <w:tcPr>
            <w:tcW w:w="96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50,227</w:t>
            </w:r>
          </w:p>
        </w:tc>
        <w:tc>
          <w:tcPr>
            <w:tcW w:w="15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  47,350</w:t>
            </w:r>
          </w:p>
        </w:tc>
        <w:tc>
          <w:tcPr>
            <w:tcW w:w="15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  42,576</w:t>
            </w:r>
          </w:p>
        </w:tc>
        <w:tc>
          <w:tcPr>
            <w:tcW w:w="14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  39,998</w:t>
            </w:r>
          </w:p>
        </w:tc>
      </w:tr>
      <w:tr>
        <w:trPr>
          <w:trHeight w:val="154"/>
        </w:trPr>
        <w:tc>
          <w:tcPr>
            <w:tcW w:w="2860" w:type="dxa"/>
            <w:vAlign w:val="bottom"/>
          </w:tcPr>
          <w:p>
            <w:pPr>
              <w:spacing w:after="0"/>
              <w:rPr>
                <w:sz w:val="20"/>
                <w:szCs w:val="20"/>
                <w:color w:val="auto"/>
              </w:rPr>
            </w:pPr>
            <w:r>
              <w:rPr>
                <w:rFonts w:ascii="Courier New" w:cs="Courier New" w:eastAsia="Courier New" w:hAnsi="Courier New"/>
                <w:sz w:val="13"/>
                <w:szCs w:val="13"/>
                <w:color w:val="auto"/>
              </w:rPr>
              <w:t>Gross profit</w:t>
            </w:r>
          </w:p>
        </w:tc>
        <w:tc>
          <w:tcPr>
            <w:tcW w:w="960" w:type="dxa"/>
            <w:vAlign w:val="bottom"/>
          </w:tcPr>
          <w:p>
            <w:pPr>
              <w:spacing w:after="0"/>
              <w:rPr>
                <w:sz w:val="13"/>
                <w:szCs w:val="13"/>
                <w:color w:val="auto"/>
              </w:rPr>
            </w:pPr>
          </w:p>
        </w:tc>
        <w:tc>
          <w:tcPr>
            <w:tcW w:w="6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12,043</w:t>
            </w:r>
          </w:p>
        </w:tc>
        <w:tc>
          <w:tcPr>
            <w:tcW w:w="15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12,030</w:t>
            </w:r>
          </w:p>
        </w:tc>
        <w:tc>
          <w:tcPr>
            <w:tcW w:w="15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9,687</w:t>
            </w:r>
          </w:p>
        </w:tc>
        <w:tc>
          <w:tcPr>
            <w:tcW w:w="14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8,800</w:t>
            </w:r>
          </w:p>
        </w:tc>
      </w:tr>
      <w:tr>
        <w:trPr>
          <w:trHeight w:val="154"/>
        </w:trPr>
        <w:tc>
          <w:tcPr>
            <w:tcW w:w="2860" w:type="dxa"/>
            <w:vAlign w:val="bottom"/>
          </w:tcPr>
          <w:p>
            <w:pPr>
              <w:spacing w:after="0"/>
              <w:rPr>
                <w:sz w:val="20"/>
                <w:szCs w:val="20"/>
                <w:color w:val="auto"/>
              </w:rPr>
            </w:pPr>
            <w:r>
              <w:rPr>
                <w:rFonts w:ascii="Courier New" w:cs="Courier New" w:eastAsia="Courier New" w:hAnsi="Courier New"/>
                <w:sz w:val="13"/>
                <w:szCs w:val="13"/>
                <w:color w:val="auto"/>
              </w:rPr>
              <w:t>Net income (loss)</w:t>
            </w:r>
          </w:p>
        </w:tc>
        <w:tc>
          <w:tcPr>
            <w:tcW w:w="960" w:type="dxa"/>
            <w:vAlign w:val="bottom"/>
          </w:tcPr>
          <w:p>
            <w:pPr>
              <w:spacing w:after="0"/>
              <w:rPr>
                <w:sz w:val="13"/>
                <w:szCs w:val="13"/>
                <w:color w:val="auto"/>
              </w:rPr>
            </w:pPr>
          </w:p>
        </w:tc>
        <w:tc>
          <w:tcPr>
            <w:tcW w:w="6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1,448</w:t>
            </w:r>
          </w:p>
        </w:tc>
        <w:tc>
          <w:tcPr>
            <w:tcW w:w="15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3,506</w:t>
            </w:r>
          </w:p>
        </w:tc>
        <w:tc>
          <w:tcPr>
            <w:tcW w:w="15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744</w:t>
            </w:r>
          </w:p>
        </w:tc>
        <w:tc>
          <w:tcPr>
            <w:tcW w:w="1440" w:type="dxa"/>
            <w:vAlign w:val="bottom"/>
          </w:tcPr>
          <w:p>
            <w:pPr>
              <w:jc w:val="right"/>
              <w:spacing w:after="0"/>
              <w:rPr>
                <w:sz w:val="20"/>
                <w:szCs w:val="20"/>
                <w:color w:val="auto"/>
              </w:rPr>
            </w:pPr>
            <w:r>
              <w:rPr>
                <w:rFonts w:ascii="Courier New" w:cs="Courier New" w:eastAsia="Courier New" w:hAnsi="Courier New"/>
                <w:sz w:val="13"/>
                <w:szCs w:val="13"/>
                <w:color w:val="auto"/>
              </w:rPr>
              <w:t>(1,036)</w:t>
            </w:r>
          </w:p>
        </w:tc>
      </w:tr>
      <w:tr>
        <w:trPr>
          <w:trHeight w:val="154"/>
        </w:trPr>
        <w:tc>
          <w:tcPr>
            <w:tcW w:w="2860" w:type="dxa"/>
            <w:vAlign w:val="bottom"/>
          </w:tcPr>
          <w:p>
            <w:pPr>
              <w:spacing w:after="0"/>
              <w:rPr>
                <w:sz w:val="20"/>
                <w:szCs w:val="20"/>
                <w:color w:val="auto"/>
              </w:rPr>
            </w:pPr>
            <w:r>
              <w:rPr>
                <w:rFonts w:ascii="Courier New" w:cs="Courier New" w:eastAsia="Courier New" w:hAnsi="Courier New"/>
                <w:sz w:val="13"/>
                <w:szCs w:val="13"/>
                <w:color w:val="auto"/>
              </w:rPr>
              <w:t>Basic net income (loss) per share</w:t>
            </w:r>
          </w:p>
        </w:tc>
        <w:tc>
          <w:tcPr>
            <w:tcW w:w="960" w:type="dxa"/>
            <w:vAlign w:val="bottom"/>
          </w:tcPr>
          <w:p>
            <w:pPr>
              <w:spacing w:after="0"/>
              <w:rPr>
                <w:sz w:val="13"/>
                <w:szCs w:val="13"/>
                <w:color w:val="auto"/>
              </w:rPr>
            </w:pPr>
          </w:p>
        </w:tc>
        <w:tc>
          <w:tcPr>
            <w:tcW w:w="6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0.10</w:t>
            </w:r>
          </w:p>
        </w:tc>
        <w:tc>
          <w:tcPr>
            <w:tcW w:w="15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0.23</w:t>
            </w:r>
          </w:p>
        </w:tc>
        <w:tc>
          <w:tcPr>
            <w:tcW w:w="15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0.05</w:t>
            </w:r>
          </w:p>
        </w:tc>
        <w:tc>
          <w:tcPr>
            <w:tcW w:w="1440" w:type="dxa"/>
            <w:vAlign w:val="bottom"/>
          </w:tcPr>
          <w:p>
            <w:pPr>
              <w:jc w:val="right"/>
              <w:spacing w:after="0"/>
              <w:rPr>
                <w:sz w:val="20"/>
                <w:szCs w:val="20"/>
                <w:color w:val="auto"/>
              </w:rPr>
            </w:pPr>
            <w:r>
              <w:rPr>
                <w:rFonts w:ascii="Courier New" w:cs="Courier New" w:eastAsia="Courier New" w:hAnsi="Courier New"/>
                <w:sz w:val="13"/>
                <w:szCs w:val="13"/>
                <w:color w:val="auto"/>
              </w:rPr>
              <w:t>(0.07)</w:t>
            </w:r>
          </w:p>
        </w:tc>
      </w:tr>
      <w:tr>
        <w:trPr>
          <w:trHeight w:val="154"/>
        </w:trPr>
        <w:tc>
          <w:tcPr>
            <w:tcW w:w="2860" w:type="dxa"/>
            <w:vAlign w:val="bottom"/>
          </w:tcPr>
          <w:p>
            <w:pPr>
              <w:spacing w:after="0"/>
              <w:rPr>
                <w:sz w:val="20"/>
                <w:szCs w:val="20"/>
                <w:color w:val="auto"/>
              </w:rPr>
            </w:pPr>
            <w:r>
              <w:rPr>
                <w:rFonts w:ascii="Courier New" w:cs="Courier New" w:eastAsia="Courier New" w:hAnsi="Courier New"/>
                <w:sz w:val="13"/>
                <w:szCs w:val="13"/>
                <w:color w:val="auto"/>
              </w:rPr>
              <w:t>Dilutive net income (loss) per</w:t>
            </w:r>
          </w:p>
        </w:tc>
        <w:tc>
          <w:tcPr>
            <w:tcW w:w="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4"/>
        </w:trPr>
        <w:tc>
          <w:tcPr>
            <w:tcW w:w="2860" w:type="dxa"/>
            <w:vAlign w:val="bottom"/>
          </w:tcPr>
          <w:p>
            <w:pPr>
              <w:ind w:left="320"/>
              <w:spacing w:after="0"/>
              <w:rPr>
                <w:sz w:val="20"/>
                <w:szCs w:val="20"/>
                <w:color w:val="auto"/>
              </w:rPr>
            </w:pPr>
            <w:r>
              <w:rPr>
                <w:rFonts w:ascii="Courier New" w:cs="Courier New" w:eastAsia="Courier New" w:hAnsi="Courier New"/>
                <w:sz w:val="13"/>
                <w:szCs w:val="13"/>
                <w:color w:val="auto"/>
              </w:rPr>
              <w:t>share</w:t>
            </w:r>
          </w:p>
        </w:tc>
        <w:tc>
          <w:tcPr>
            <w:tcW w:w="960" w:type="dxa"/>
            <w:vAlign w:val="bottom"/>
          </w:tcPr>
          <w:p>
            <w:pPr>
              <w:spacing w:after="0"/>
              <w:rPr>
                <w:sz w:val="13"/>
                <w:szCs w:val="13"/>
                <w:color w:val="auto"/>
              </w:rPr>
            </w:pPr>
          </w:p>
        </w:tc>
        <w:tc>
          <w:tcPr>
            <w:tcW w:w="6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0.09</w:t>
            </w:r>
          </w:p>
        </w:tc>
        <w:tc>
          <w:tcPr>
            <w:tcW w:w="15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0.23</w:t>
            </w:r>
          </w:p>
        </w:tc>
        <w:tc>
          <w:tcPr>
            <w:tcW w:w="15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0.05</w:t>
            </w:r>
          </w:p>
        </w:tc>
        <w:tc>
          <w:tcPr>
            <w:tcW w:w="1440" w:type="dxa"/>
            <w:vAlign w:val="bottom"/>
          </w:tcPr>
          <w:p>
            <w:pPr>
              <w:jc w:val="right"/>
              <w:spacing w:after="0"/>
              <w:rPr>
                <w:sz w:val="20"/>
                <w:szCs w:val="20"/>
                <w:color w:val="auto"/>
              </w:rPr>
            </w:pPr>
            <w:r>
              <w:rPr>
                <w:rFonts w:ascii="Courier New" w:cs="Courier New" w:eastAsia="Courier New" w:hAnsi="Courier New"/>
                <w:sz w:val="13"/>
                <w:szCs w:val="13"/>
                <w:color w:val="auto"/>
              </w:rPr>
              <w:t>(0.07)</w:t>
            </w:r>
          </w:p>
        </w:tc>
      </w:tr>
      <w:tr>
        <w:trPr>
          <w:trHeight w:val="154"/>
        </w:trPr>
        <w:tc>
          <w:tcPr>
            <w:tcW w:w="2860" w:type="dxa"/>
            <w:vAlign w:val="bottom"/>
          </w:tcPr>
          <w:p>
            <w:pPr>
              <w:spacing w:after="0"/>
              <w:rPr>
                <w:sz w:val="20"/>
                <w:szCs w:val="20"/>
                <w:color w:val="auto"/>
              </w:rPr>
            </w:pPr>
            <w:r>
              <w:rPr>
                <w:rFonts w:ascii="Courier New" w:cs="Courier New" w:eastAsia="Courier New" w:hAnsi="Courier New"/>
                <w:sz w:val="13"/>
                <w:szCs w:val="13"/>
                <w:color w:val="auto"/>
              </w:rPr>
              <w:t>Weighted average shares</w:t>
            </w:r>
          </w:p>
        </w:tc>
        <w:tc>
          <w:tcPr>
            <w:tcW w:w="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4"/>
        </w:trPr>
        <w:tc>
          <w:tcPr>
            <w:tcW w:w="2860" w:type="dxa"/>
            <w:vAlign w:val="bottom"/>
          </w:tcPr>
          <w:p>
            <w:pPr>
              <w:ind w:left="320"/>
              <w:spacing w:after="0"/>
              <w:rPr>
                <w:sz w:val="20"/>
                <w:szCs w:val="20"/>
                <w:color w:val="auto"/>
              </w:rPr>
            </w:pPr>
            <w:r>
              <w:rPr>
                <w:rFonts w:ascii="Courier New" w:cs="Courier New" w:eastAsia="Courier New" w:hAnsi="Courier New"/>
                <w:sz w:val="13"/>
                <w:szCs w:val="13"/>
                <w:color w:val="auto"/>
              </w:rPr>
              <w:t>outstanding:</w:t>
            </w:r>
          </w:p>
        </w:tc>
        <w:tc>
          <w:tcPr>
            <w:tcW w:w="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4"/>
        </w:trPr>
        <w:tc>
          <w:tcPr>
            <w:tcW w:w="2860" w:type="dxa"/>
            <w:vAlign w:val="bottom"/>
          </w:tcPr>
          <w:p>
            <w:pPr>
              <w:ind w:left="320"/>
              <w:spacing w:after="0"/>
              <w:rPr>
                <w:sz w:val="20"/>
                <w:szCs w:val="20"/>
                <w:color w:val="auto"/>
              </w:rPr>
            </w:pPr>
            <w:r>
              <w:rPr>
                <w:rFonts w:ascii="Courier New" w:cs="Courier New" w:eastAsia="Courier New" w:hAnsi="Courier New"/>
                <w:sz w:val="13"/>
                <w:szCs w:val="13"/>
                <w:color w:val="auto"/>
              </w:rPr>
              <w:t>Basic number of shares</w:t>
            </w:r>
          </w:p>
        </w:tc>
        <w:tc>
          <w:tcPr>
            <w:tcW w:w="960" w:type="dxa"/>
            <w:vAlign w:val="bottom"/>
          </w:tcPr>
          <w:p>
            <w:pPr>
              <w:spacing w:after="0"/>
              <w:rPr>
                <w:sz w:val="13"/>
                <w:szCs w:val="13"/>
                <w:color w:val="auto"/>
              </w:rPr>
            </w:pPr>
          </w:p>
        </w:tc>
        <w:tc>
          <w:tcPr>
            <w:tcW w:w="6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15,247</w:t>
            </w:r>
          </w:p>
        </w:tc>
        <w:tc>
          <w:tcPr>
            <w:tcW w:w="15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15,253</w:t>
            </w:r>
          </w:p>
        </w:tc>
        <w:tc>
          <w:tcPr>
            <w:tcW w:w="15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15,286</w:t>
            </w:r>
          </w:p>
        </w:tc>
        <w:tc>
          <w:tcPr>
            <w:tcW w:w="14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15,302</w:t>
            </w:r>
          </w:p>
        </w:tc>
      </w:tr>
      <w:tr>
        <w:trPr>
          <w:trHeight w:val="154"/>
        </w:trPr>
        <w:tc>
          <w:tcPr>
            <w:tcW w:w="2860" w:type="dxa"/>
            <w:vAlign w:val="bottom"/>
          </w:tcPr>
          <w:p>
            <w:pPr>
              <w:ind w:left="320"/>
              <w:spacing w:after="0"/>
              <w:rPr>
                <w:sz w:val="20"/>
                <w:szCs w:val="20"/>
                <w:color w:val="auto"/>
              </w:rPr>
            </w:pPr>
            <w:r>
              <w:rPr>
                <w:rFonts w:ascii="Courier New" w:cs="Courier New" w:eastAsia="Courier New" w:hAnsi="Courier New"/>
                <w:sz w:val="13"/>
                <w:szCs w:val="13"/>
                <w:color w:val="auto"/>
              </w:rPr>
              <w:t>Effect of dilutive stock</w:t>
            </w:r>
          </w:p>
        </w:tc>
        <w:tc>
          <w:tcPr>
            <w:tcW w:w="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4"/>
        </w:trPr>
        <w:tc>
          <w:tcPr>
            <w:tcW w:w="2860" w:type="dxa"/>
            <w:vAlign w:val="bottom"/>
          </w:tcPr>
          <w:p>
            <w:pPr>
              <w:ind w:left="480"/>
              <w:spacing w:after="0"/>
              <w:rPr>
                <w:sz w:val="20"/>
                <w:szCs w:val="20"/>
                <w:color w:val="auto"/>
              </w:rPr>
            </w:pPr>
            <w:r>
              <w:rPr>
                <w:rFonts w:ascii="Courier New" w:cs="Courier New" w:eastAsia="Courier New" w:hAnsi="Courier New"/>
                <w:sz w:val="13"/>
                <w:szCs w:val="13"/>
                <w:color w:val="auto"/>
              </w:rPr>
              <w:t>options</w:t>
            </w:r>
          </w:p>
        </w:tc>
        <w:tc>
          <w:tcPr>
            <w:tcW w:w="960" w:type="dxa"/>
            <w:vAlign w:val="bottom"/>
          </w:tcPr>
          <w:p>
            <w:pPr>
              <w:spacing w:after="0"/>
              <w:rPr>
                <w:sz w:val="13"/>
                <w:szCs w:val="13"/>
                <w:color w:val="auto"/>
              </w:rPr>
            </w:pPr>
          </w:p>
        </w:tc>
        <w:tc>
          <w:tcPr>
            <w:tcW w:w="6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149</w:t>
            </w:r>
          </w:p>
        </w:tc>
        <w:tc>
          <w:tcPr>
            <w:tcW w:w="15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279</w:t>
            </w:r>
          </w:p>
        </w:tc>
        <w:tc>
          <w:tcPr>
            <w:tcW w:w="15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298</w:t>
            </w:r>
          </w:p>
        </w:tc>
        <w:tc>
          <w:tcPr>
            <w:tcW w:w="14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377</w:t>
            </w:r>
          </w:p>
        </w:tc>
      </w:tr>
      <w:tr>
        <w:trPr>
          <w:trHeight w:val="154"/>
        </w:trPr>
        <w:tc>
          <w:tcPr>
            <w:tcW w:w="2860" w:type="dxa"/>
            <w:vAlign w:val="bottom"/>
          </w:tcPr>
          <w:p>
            <w:pPr>
              <w:spacing w:after="0"/>
              <w:rPr>
                <w:sz w:val="13"/>
                <w:szCs w:val="13"/>
                <w:color w:val="auto"/>
              </w:rPr>
            </w:pPr>
          </w:p>
        </w:tc>
        <w:tc>
          <w:tcPr>
            <w:tcW w:w="164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bl>
    <w:p>
      <w:pPr>
        <w:sectPr>
          <w:pgSz w:w="11900" w:h="16838" w:orient="portrait"/>
          <w:cols w:equalWidth="0" w:num="1">
            <w:col w:w="10239"/>
          </w:cols>
          <w:pgMar w:left="220" w:top="141" w:right="1440" w:bottom="0" w:gutter="0" w:footer="0" w:header="0"/>
        </w:sectPr>
      </w:pPr>
    </w:p>
    <w:bookmarkStart w:id="37" w:name="page38"/>
    <w:bookmarkEnd w:id="37"/>
    <w:p>
      <w:pPr>
        <w:ind w:left="560"/>
        <w:spacing w:after="0"/>
        <w:rPr>
          <w:sz w:val="20"/>
          <w:szCs w:val="20"/>
          <w:color w:val="auto"/>
        </w:rPr>
      </w:pPr>
      <w:r>
        <w:rPr>
          <w:rFonts w:ascii="Courier New" w:cs="Courier New" w:eastAsia="Courier New" w:hAnsi="Courier New"/>
          <w:sz w:val="13"/>
          <w:szCs w:val="13"/>
          <w:color w:val="auto"/>
        </w:rPr>
        <w:t>Diluted number of shares</w:t>
      </w:r>
    </w:p>
    <w:p>
      <w:pPr>
        <w:spacing w:after="0" w:line="20" w:lineRule="exact"/>
        <w:rPr>
          <w:sz w:val="20"/>
          <w:szCs w:val="20"/>
          <w:color w:val="auto"/>
        </w:rPr>
      </w:pPr>
      <w:r>
        <w:rPr>
          <w:sz w:val="20"/>
          <w:szCs w:val="20"/>
          <w:color w:val="auto"/>
        </w:rPr>
        <w:br w:type="column"/>
      </w:r>
    </w:p>
    <w:p>
      <w:pPr>
        <w:ind w:left="800"/>
        <w:spacing w:after="0"/>
        <w:rPr>
          <w:sz w:val="20"/>
          <w:szCs w:val="20"/>
          <w:color w:val="auto"/>
        </w:rPr>
      </w:pPr>
      <w:r>
        <w:rPr>
          <w:rFonts w:ascii="Courier New" w:cs="Courier New" w:eastAsia="Courier New" w:hAnsi="Courier New"/>
          <w:sz w:val="13"/>
          <w:szCs w:val="13"/>
          <w:color w:val="auto"/>
        </w:rPr>
        <w:t>15,396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ind w:left="800"/>
        <w:spacing w:after="0"/>
        <w:rPr>
          <w:sz w:val="20"/>
          <w:szCs w:val="20"/>
          <w:color w:val="auto"/>
        </w:rPr>
      </w:pPr>
      <w:r>
        <w:rPr>
          <w:rFonts w:ascii="Courier New" w:cs="Courier New" w:eastAsia="Courier New" w:hAnsi="Courier New"/>
          <w:sz w:val="13"/>
          <w:szCs w:val="13"/>
          <w:color w:val="auto"/>
        </w:rPr>
        <w:t>15,532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ind w:left="800"/>
        <w:spacing w:after="0"/>
        <w:rPr>
          <w:sz w:val="20"/>
          <w:szCs w:val="20"/>
          <w:color w:val="auto"/>
        </w:rPr>
      </w:pPr>
      <w:r>
        <w:rPr>
          <w:rFonts w:ascii="Courier New" w:cs="Courier New" w:eastAsia="Courier New" w:hAnsi="Courier New"/>
          <w:sz w:val="13"/>
          <w:szCs w:val="13"/>
          <w:color w:val="auto"/>
        </w:rPr>
        <w:t>15,584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ind w:left="800"/>
        <w:spacing w:after="0"/>
        <w:rPr>
          <w:sz w:val="20"/>
          <w:szCs w:val="20"/>
          <w:color w:val="auto"/>
        </w:rPr>
      </w:pPr>
      <w:r>
        <w:rPr>
          <w:rFonts w:ascii="Courier New" w:cs="Courier New" w:eastAsia="Courier New" w:hAnsi="Courier New"/>
          <w:sz w:val="13"/>
          <w:szCs w:val="13"/>
          <w:color w:val="auto"/>
        </w:rPr>
        <w:t>15,679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61" w:lineRule="exact"/>
        <w:rPr>
          <w:sz w:val="20"/>
          <w:szCs w:val="20"/>
          <w:color w:val="auto"/>
        </w:rPr>
      </w:pPr>
    </w:p>
    <w:p>
      <w:pPr>
        <w:sectPr>
          <w:pgSz w:w="11900" w:h="16838" w:orient="portrait"/>
          <w:cols w:equalWidth="0" w:num="5">
            <w:col w:w="2900" w:space="720"/>
            <w:col w:w="1360" w:space="160"/>
            <w:col w:w="1360" w:space="160"/>
            <w:col w:w="1360" w:space="160"/>
            <w:col w:w="2059"/>
          </w:cols>
          <w:pgMar w:left="220" w:top="141" w:right="1440" w:bottom="0" w:gutter="0" w:footer="0" w:header="0"/>
        </w:sectPr>
      </w:pPr>
    </w:p>
    <w:p>
      <w:pPr>
        <w:ind w:left="560" w:right="3819"/>
        <w:spacing w:after="0" w:line="252" w:lineRule="auto"/>
        <w:rPr>
          <w:sz w:val="20"/>
          <w:szCs w:val="20"/>
          <w:color w:val="auto"/>
        </w:rPr>
      </w:pPr>
      <w:r>
        <w:rPr>
          <w:rFonts w:ascii="Courier New" w:cs="Courier New" w:eastAsia="Courier New" w:hAnsi="Courier New"/>
          <w:sz w:val="13"/>
          <w:szCs w:val="13"/>
          <w:color w:val="auto"/>
        </w:rPr>
        <w:t>Fourth quarter results in 2002 include a non-taxable gain of $5,904 related to the Company's purchase of INA/FAG's minority interest in Euroball and a pre-tax charge of $1,199 ($767 after-tax) related to asset write downs on the Company's Walterboro, SC production facility.</w:t>
      </w:r>
    </w:p>
    <w:p>
      <w:pPr>
        <w:spacing w:after="0" w:line="307" w:lineRule="exact"/>
        <w:rPr>
          <w:sz w:val="20"/>
          <w:szCs w:val="20"/>
          <w:color w:val="auto"/>
        </w:rPr>
      </w:pPr>
    </w:p>
    <w:p>
      <w:pPr>
        <w:ind w:left="5700"/>
        <w:spacing w:after="0"/>
        <w:rPr>
          <w:sz w:val="20"/>
          <w:szCs w:val="20"/>
          <w:color w:val="auto"/>
        </w:rPr>
      </w:pPr>
      <w:r>
        <w:rPr>
          <w:rFonts w:ascii="Courier New" w:cs="Courier New" w:eastAsia="Courier New" w:hAnsi="Courier New"/>
          <w:sz w:val="13"/>
          <w:szCs w:val="13"/>
          <w:color w:val="auto"/>
        </w:rPr>
        <w:t>Continued</w:t>
      </w:r>
    </w:p>
    <w:p>
      <w:pPr>
        <w:spacing w:after="0" w:line="161"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75565</wp:posOffset>
            </wp:positionV>
            <wp:extent cx="730440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3"/>
          <w:szCs w:val="13"/>
          <w:b w:val="1"/>
          <w:bCs w:val="1"/>
          <w:color w:val="auto"/>
        </w:rPr>
        <w:t>NN, Inc.</w:t>
      </w:r>
    </w:p>
    <w:p>
      <w:pPr>
        <w:spacing w:after="0" w:line="7"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3"/>
          <w:szCs w:val="13"/>
          <w:b w:val="1"/>
          <w:bCs w:val="1"/>
          <w:color w:val="auto"/>
        </w:rPr>
        <w:t>Notes to Consolidated Financial Statements</w:t>
      </w:r>
    </w:p>
    <w:p>
      <w:pPr>
        <w:spacing w:after="0" w:line="7" w:lineRule="exact"/>
        <w:rPr>
          <w:sz w:val="20"/>
          <w:szCs w:val="20"/>
          <w:color w:val="auto"/>
        </w:rPr>
      </w:pPr>
    </w:p>
    <w:p>
      <w:pPr>
        <w:ind w:left="1920"/>
        <w:spacing w:after="0"/>
        <w:rPr>
          <w:sz w:val="20"/>
          <w:szCs w:val="20"/>
          <w:color w:val="auto"/>
        </w:rPr>
      </w:pPr>
      <w:r>
        <w:rPr>
          <w:rFonts w:ascii="Courier New" w:cs="Courier New" w:eastAsia="Courier New" w:hAnsi="Courier New"/>
          <w:sz w:val="13"/>
          <w:szCs w:val="13"/>
          <w:b w:val="1"/>
          <w:bCs w:val="1"/>
          <w:color w:val="auto"/>
        </w:rPr>
        <w:t>December 31, 2002, 2001 and 2000</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3"/>
          <w:szCs w:val="13"/>
          <w:b w:val="1"/>
          <w:bCs w:val="1"/>
          <w:color w:val="auto"/>
        </w:rPr>
        <w:t>(In thousands, except per share data)</w:t>
      </w:r>
    </w:p>
    <w:p>
      <w:pPr>
        <w:spacing w:after="0" w:line="315" w:lineRule="exact"/>
        <w:rPr>
          <w:sz w:val="20"/>
          <w:szCs w:val="20"/>
          <w:color w:val="auto"/>
        </w:rPr>
      </w:pPr>
    </w:p>
    <w:p>
      <w:pPr>
        <w:ind w:left="560" w:right="3899"/>
        <w:spacing w:after="0" w:line="252" w:lineRule="auto"/>
        <w:rPr>
          <w:sz w:val="20"/>
          <w:szCs w:val="20"/>
          <w:color w:val="auto"/>
        </w:rPr>
      </w:pPr>
      <w:r>
        <w:rPr>
          <w:rFonts w:ascii="Courier New" w:cs="Courier New" w:eastAsia="Courier New" w:hAnsi="Courier New"/>
          <w:sz w:val="13"/>
          <w:szCs w:val="13"/>
          <w:color w:val="auto"/>
        </w:rPr>
        <w:t>Fourth quarter results in 2001 include pre-tax charges of $1,405 ($913 after-tax) related to $1,086 of asset write downs on the Company's Walterboro, SC production facility and $319 of NN Arte minority interest losses absorbed by the Company.</w:t>
      </w:r>
    </w:p>
    <w:p>
      <w:pPr>
        <w:spacing w:after="0" w:line="153" w:lineRule="exact"/>
        <w:rPr>
          <w:sz w:val="20"/>
          <w:szCs w:val="20"/>
          <w:color w:val="auto"/>
        </w:rPr>
      </w:pPr>
    </w:p>
    <w:p>
      <w:pPr>
        <w:ind w:left="560" w:hanging="478"/>
        <w:spacing w:after="0"/>
        <w:tabs>
          <w:tab w:leader="none" w:pos="560" w:val="left"/>
        </w:tabs>
        <w:numPr>
          <w:ilvl w:val="1"/>
          <w:numId w:val="22"/>
        </w:numPr>
        <w:rPr>
          <w:rFonts w:ascii="Courier New" w:cs="Courier New" w:eastAsia="Courier New" w:hAnsi="Courier New"/>
          <w:sz w:val="13"/>
          <w:szCs w:val="13"/>
          <w:b w:val="1"/>
          <w:bCs w:val="1"/>
          <w:color w:val="auto"/>
        </w:rPr>
      </w:pPr>
      <w:r>
        <w:rPr>
          <w:rFonts w:ascii="Courier New" w:cs="Courier New" w:eastAsia="Courier New" w:hAnsi="Courier New"/>
          <w:sz w:val="13"/>
          <w:szCs w:val="13"/>
          <w:b w:val="1"/>
          <w:bCs w:val="1"/>
          <w:color w:val="auto"/>
        </w:rPr>
        <w:t>Fair Value of Financial Instruments</w:t>
      </w:r>
    </w:p>
    <w:p>
      <w:pPr>
        <w:spacing w:after="0" w:line="161" w:lineRule="exact"/>
        <w:rPr>
          <w:rFonts w:ascii="Courier New" w:cs="Courier New" w:eastAsia="Courier New" w:hAnsi="Courier New"/>
          <w:sz w:val="13"/>
          <w:szCs w:val="13"/>
          <w:b w:val="1"/>
          <w:bCs w:val="1"/>
          <w:color w:val="auto"/>
        </w:rPr>
      </w:pPr>
    </w:p>
    <w:p>
      <w:pPr>
        <w:ind w:left="560" w:right="3819"/>
        <w:spacing w:after="0" w:line="252" w:lineRule="auto"/>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Management believes the fair value of financial instruments approximate their carrying value due to the short maturity of these instruments or in the case of the Company's notes receivable and debt, due to the variable interest rates.</w:t>
      </w:r>
    </w:p>
    <w:p>
      <w:pPr>
        <w:spacing w:after="0" w:line="306" w:lineRule="exact"/>
        <w:rPr>
          <w:rFonts w:ascii="Courier New" w:cs="Courier New" w:eastAsia="Courier New" w:hAnsi="Courier New"/>
          <w:sz w:val="13"/>
          <w:szCs w:val="13"/>
          <w:b w:val="1"/>
          <w:bCs w:val="1"/>
          <w:color w:val="auto"/>
        </w:rPr>
      </w:pPr>
    </w:p>
    <w:p>
      <w:pPr>
        <w:ind w:left="560" w:hanging="478"/>
        <w:spacing w:after="0"/>
        <w:tabs>
          <w:tab w:leader="none" w:pos="560" w:val="left"/>
        </w:tabs>
        <w:numPr>
          <w:ilvl w:val="1"/>
          <w:numId w:val="22"/>
        </w:numPr>
        <w:rPr>
          <w:rFonts w:ascii="Courier New" w:cs="Courier New" w:eastAsia="Courier New" w:hAnsi="Courier New"/>
          <w:sz w:val="13"/>
          <w:szCs w:val="13"/>
          <w:b w:val="1"/>
          <w:bCs w:val="1"/>
          <w:color w:val="auto"/>
        </w:rPr>
      </w:pPr>
      <w:r>
        <w:rPr>
          <w:rFonts w:ascii="Courier New" w:cs="Courier New" w:eastAsia="Courier New" w:hAnsi="Courier New"/>
          <w:sz w:val="13"/>
          <w:szCs w:val="13"/>
          <w:b w:val="1"/>
          <w:bCs w:val="1"/>
          <w:color w:val="auto"/>
        </w:rPr>
        <w:t>Involuntary Conversion</w:t>
      </w:r>
    </w:p>
    <w:p>
      <w:pPr>
        <w:spacing w:after="0" w:line="161" w:lineRule="exact"/>
        <w:rPr>
          <w:rFonts w:ascii="Courier New" w:cs="Courier New" w:eastAsia="Courier New" w:hAnsi="Courier New"/>
          <w:sz w:val="13"/>
          <w:szCs w:val="13"/>
          <w:b w:val="1"/>
          <w:bCs w:val="1"/>
          <w:color w:val="auto"/>
        </w:rPr>
      </w:pPr>
    </w:p>
    <w:p>
      <w:pPr>
        <w:ind w:left="560" w:right="3899"/>
        <w:spacing w:after="0" w:line="251" w:lineRule="auto"/>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On March 12, 2000, a fire damaged a portion of the Company's manufacturing plant in Erwin, Tennessee. The fire was contained to approximately 30% of the productions area and did not result in serious injury to any employee. Affected production was shifted to the Company's other facilities as possible as well as the use of other certain suppliers to protect product supply to customers. Insurance coverage for the loss provided for reimbursement of the replacement value of property and equipment damaged in the fire. As of December 31, 2001 the Company has settled the insurance claim. For the years ended December 31, 2002, 2001 and 2000, the net gain on involuntary conversion of $0, $3,901 and $728, respectively, represents insurance proceeds received in excess of costs incurred.</w:t>
      </w:r>
    </w:p>
    <w:p>
      <w:pPr>
        <w:spacing w:after="0" w:line="310" w:lineRule="exact"/>
        <w:rPr>
          <w:rFonts w:ascii="Courier New" w:cs="Courier New" w:eastAsia="Courier New" w:hAnsi="Courier New"/>
          <w:sz w:val="13"/>
          <w:szCs w:val="13"/>
          <w:b w:val="1"/>
          <w:bCs w:val="1"/>
          <w:color w:val="auto"/>
        </w:rPr>
      </w:pPr>
    </w:p>
    <w:p>
      <w:pPr>
        <w:ind w:left="560" w:hanging="558"/>
        <w:spacing w:after="0"/>
        <w:tabs>
          <w:tab w:leader="none" w:pos="560" w:val="left"/>
        </w:tabs>
        <w:numPr>
          <w:ilvl w:val="0"/>
          <w:numId w:val="23"/>
        </w:numPr>
        <w:rPr>
          <w:rFonts w:ascii="Courier New" w:cs="Courier New" w:eastAsia="Courier New" w:hAnsi="Courier New"/>
          <w:sz w:val="13"/>
          <w:szCs w:val="13"/>
          <w:b w:val="1"/>
          <w:bCs w:val="1"/>
          <w:color w:val="auto"/>
        </w:rPr>
      </w:pPr>
      <w:r>
        <w:rPr>
          <w:rFonts w:ascii="Courier New" w:cs="Courier New" w:eastAsia="Courier New" w:hAnsi="Courier New"/>
          <w:sz w:val="13"/>
          <w:szCs w:val="13"/>
          <w:b w:val="1"/>
          <w:bCs w:val="1"/>
          <w:color w:val="auto"/>
        </w:rPr>
        <w:t>Related Party Transactions</w:t>
      </w:r>
    </w:p>
    <w:p>
      <w:pPr>
        <w:spacing w:after="0" w:line="161" w:lineRule="exact"/>
        <w:rPr>
          <w:rFonts w:ascii="Courier New" w:cs="Courier New" w:eastAsia="Courier New" w:hAnsi="Courier New"/>
          <w:sz w:val="13"/>
          <w:szCs w:val="13"/>
          <w:b w:val="1"/>
          <w:bCs w:val="1"/>
          <w:color w:val="auto"/>
        </w:rPr>
      </w:pPr>
    </w:p>
    <w:p>
      <w:pPr>
        <w:ind w:left="560" w:right="3819"/>
        <w:spacing w:after="0" w:line="252" w:lineRule="auto"/>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The minority shareholder of NN Euroball ApS, SKF, is a significant customer of the Company. For the years ended December 31, 2002, 2001 and 2000 sales to SKF amounted to $64,235, $62,539 and $73,232, respectively. At December 31, 2002 and 2001, accounts receivable from SKF amounted to $9,768 and $ 7,534, respectively.</w:t>
      </w:r>
    </w:p>
    <w:p>
      <w:pPr>
        <w:spacing w:after="0" w:line="152" w:lineRule="exact"/>
        <w:rPr>
          <w:rFonts w:ascii="Courier New" w:cs="Courier New" w:eastAsia="Courier New" w:hAnsi="Courier New"/>
          <w:sz w:val="13"/>
          <w:szCs w:val="13"/>
          <w:b w:val="1"/>
          <w:bCs w:val="1"/>
          <w:color w:val="auto"/>
        </w:rPr>
      </w:pPr>
    </w:p>
    <w:p>
      <w:pPr>
        <w:ind w:left="560" w:right="3899"/>
        <w:spacing w:after="0" w:line="252" w:lineRule="auto"/>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In connection with the Euroball transaction described in note 2, SKF provided administrative services to NN Euroball ApS. Charges for these services amounted to approximately $1,768, $1,700 and $864 for the years ended December 31, 2002, 2001 and 2000, respectively. At December 31, 2002 and 2001, amounts payable to SKF amounted to $773 and $522, respectively.</w:t>
      </w:r>
    </w:p>
    <w:p>
      <w:pPr>
        <w:spacing w:after="0" w:line="306" w:lineRule="exact"/>
        <w:rPr>
          <w:rFonts w:ascii="Courier New" w:cs="Courier New" w:eastAsia="Courier New" w:hAnsi="Courier New"/>
          <w:sz w:val="13"/>
          <w:szCs w:val="13"/>
          <w:b w:val="1"/>
          <w:bCs w:val="1"/>
          <w:color w:val="auto"/>
        </w:rPr>
      </w:pPr>
    </w:p>
    <w:p>
      <w:pPr>
        <w:ind w:left="560" w:right="3819"/>
        <w:spacing w:after="0" w:line="252" w:lineRule="auto"/>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Certain sales agreements are in effect with SKF and INA/FAG, which provide for minimum purchase quantities and specified, annual sales price adjustments that may be modified up or down for changes in material costs. These agreements expire during 2006.</w:t>
      </w:r>
    </w:p>
    <w:p>
      <w:pPr>
        <w:spacing w:after="0" w:line="152" w:lineRule="exact"/>
        <w:rPr>
          <w:rFonts w:ascii="Courier New" w:cs="Courier New" w:eastAsia="Courier New" w:hAnsi="Courier New"/>
          <w:sz w:val="13"/>
          <w:szCs w:val="13"/>
          <w:b w:val="1"/>
          <w:bCs w:val="1"/>
          <w:color w:val="auto"/>
        </w:rPr>
      </w:pPr>
    </w:p>
    <w:p>
      <w:pPr>
        <w:ind w:left="560" w:right="4379"/>
        <w:spacing w:after="0" w:line="253" w:lineRule="auto"/>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The Company leases the Eltmann, Germany facility of the Euroball division, from INA/FAG. Annual minimum lease payments are Euro 944 ($893). The lease expires in 2020.</w:t>
      </w:r>
    </w:p>
    <w:p>
      <w:pPr>
        <w:spacing w:after="0" w:line="151" w:lineRule="exact"/>
        <w:rPr>
          <w:rFonts w:ascii="Courier New" w:cs="Courier New" w:eastAsia="Courier New" w:hAnsi="Courier New"/>
          <w:sz w:val="13"/>
          <w:szCs w:val="13"/>
          <w:b w:val="1"/>
          <w:bCs w:val="1"/>
          <w:color w:val="auto"/>
        </w:rPr>
      </w:pPr>
    </w:p>
    <w:p>
      <w:pPr>
        <w:ind w:left="560" w:hanging="558"/>
        <w:spacing w:after="0"/>
        <w:tabs>
          <w:tab w:leader="none" w:pos="560" w:val="left"/>
        </w:tabs>
        <w:numPr>
          <w:ilvl w:val="0"/>
          <w:numId w:val="23"/>
        </w:numPr>
        <w:rPr>
          <w:rFonts w:ascii="Courier New" w:cs="Courier New" w:eastAsia="Courier New" w:hAnsi="Courier New"/>
          <w:sz w:val="13"/>
          <w:szCs w:val="13"/>
          <w:b w:val="1"/>
          <w:bCs w:val="1"/>
          <w:color w:val="auto"/>
        </w:rPr>
      </w:pPr>
      <w:r>
        <w:rPr>
          <w:rFonts w:ascii="Courier New" w:cs="Courier New" w:eastAsia="Courier New" w:hAnsi="Courier New"/>
          <w:sz w:val="13"/>
          <w:szCs w:val="13"/>
          <w:b w:val="1"/>
          <w:bCs w:val="1"/>
          <w:color w:val="auto"/>
        </w:rPr>
        <w:t>Accumulated Other Comprehensive Income</w:t>
      </w:r>
    </w:p>
    <w:p>
      <w:pPr>
        <w:spacing w:after="0" w:line="161" w:lineRule="exact"/>
        <w:rPr>
          <w:rFonts w:ascii="Courier New" w:cs="Courier New" w:eastAsia="Courier New" w:hAnsi="Courier New"/>
          <w:sz w:val="13"/>
          <w:szCs w:val="13"/>
          <w:b w:val="1"/>
          <w:bCs w:val="1"/>
          <w:color w:val="auto"/>
        </w:rPr>
      </w:pPr>
    </w:p>
    <w:p>
      <w:pPr>
        <w:ind w:left="560" w:right="3819"/>
        <w:spacing w:after="0" w:line="251" w:lineRule="auto"/>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For the years ended December 31, 2002, 2001 and 2000, the Company included in accumulated other comprehensive loss an unrealized loss due to foreign currency translation of ($2,869), ($5,042) and ($1,685), respectively. Income taxes on the foreign currency translation adjustment in other comprehensive income (loss) were not recognized because the earnings are intended to be indefinitely reinvested in those operations. Also included in accumulated other comprehensive loss as of December 31, 2002, 2001 and 2000 were additional minimum pension liability, net of tax of ($81), ($53) and $0, respectively.</w:t>
      </w:r>
    </w:p>
    <w:p>
      <w:pPr>
        <w:spacing w:after="0" w:line="310"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3"/>
          <w:szCs w:val="13"/>
          <w:b w:val="1"/>
          <w:bCs w:val="1"/>
          <w:color w:val="auto"/>
        </w:rPr>
        <w:t>Item 9.</w:t>
        <w:tab/>
        <w:t>Changes in and Disagreements with Accountants on Accounting and Financial</w:t>
      </w:r>
    </w:p>
    <w:p>
      <w:pPr>
        <w:spacing w:after="0" w:line="7" w:lineRule="exact"/>
        <w:rPr>
          <w:sz w:val="20"/>
          <w:szCs w:val="20"/>
          <w:color w:val="auto"/>
        </w:rPr>
      </w:pPr>
    </w:p>
    <w:p>
      <w:pPr>
        <w:ind w:left="720"/>
        <w:spacing w:after="0"/>
        <w:rPr>
          <w:sz w:val="20"/>
          <w:szCs w:val="20"/>
          <w:color w:val="auto"/>
        </w:rPr>
      </w:pPr>
      <w:r>
        <w:rPr>
          <w:rFonts w:ascii="Courier New" w:cs="Courier New" w:eastAsia="Courier New" w:hAnsi="Courier New"/>
          <w:sz w:val="13"/>
          <w:szCs w:val="13"/>
          <w:b w:val="1"/>
          <w:bCs w:val="1"/>
          <w:color w:val="auto"/>
        </w:rPr>
        <w:t>Disclosure</w:t>
      </w:r>
    </w:p>
    <w:p>
      <w:pPr>
        <w:spacing w:after="0" w:line="161" w:lineRule="exact"/>
        <w:rPr>
          <w:sz w:val="20"/>
          <w:szCs w:val="20"/>
          <w:color w:val="auto"/>
        </w:rPr>
      </w:pPr>
    </w:p>
    <w:p>
      <w:pPr>
        <w:ind w:left="720"/>
        <w:spacing w:after="0"/>
        <w:rPr>
          <w:sz w:val="20"/>
          <w:szCs w:val="20"/>
          <w:color w:val="auto"/>
        </w:rPr>
      </w:pPr>
      <w:r>
        <w:rPr>
          <w:rFonts w:ascii="Courier New" w:cs="Courier New" w:eastAsia="Courier New" w:hAnsi="Courier New"/>
          <w:sz w:val="13"/>
          <w:szCs w:val="13"/>
          <w:color w:val="auto"/>
        </w:rPr>
        <w:t>None.</w:t>
      </w:r>
    </w:p>
    <w:p>
      <w:pPr>
        <w:spacing w:after="0" w:line="161" w:lineRule="exact"/>
        <w:rPr>
          <w:sz w:val="20"/>
          <w:szCs w:val="20"/>
          <w:color w:val="auto"/>
        </w:rPr>
      </w:pPr>
    </w:p>
    <w:p>
      <w:pPr>
        <w:ind w:left="2880"/>
        <w:spacing w:after="0"/>
        <w:rPr>
          <w:sz w:val="20"/>
          <w:szCs w:val="20"/>
          <w:color w:val="auto"/>
        </w:rPr>
      </w:pPr>
      <w:r>
        <w:rPr>
          <w:rFonts w:ascii="Courier New" w:cs="Courier New" w:eastAsia="Courier New" w:hAnsi="Courier New"/>
          <w:sz w:val="13"/>
          <w:szCs w:val="13"/>
          <w:b w:val="1"/>
          <w:bCs w:val="1"/>
          <w:color w:val="auto"/>
        </w:rPr>
        <w:t>Part III</w:t>
      </w:r>
    </w:p>
    <w:p>
      <w:pPr>
        <w:spacing w:after="0" w:line="161"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3"/>
          <w:szCs w:val="13"/>
          <w:b w:val="1"/>
          <w:bCs w:val="1"/>
          <w:color w:val="auto"/>
        </w:rPr>
        <w:t>Item 10.</w:t>
      </w:r>
      <w:r>
        <w:rPr>
          <w:sz w:val="20"/>
          <w:szCs w:val="20"/>
          <w:color w:val="auto"/>
        </w:rPr>
        <w:tab/>
      </w:r>
      <w:r>
        <w:rPr>
          <w:rFonts w:ascii="Courier New" w:cs="Courier New" w:eastAsia="Courier New" w:hAnsi="Courier New"/>
          <w:sz w:val="13"/>
          <w:szCs w:val="13"/>
          <w:b w:val="1"/>
          <w:bCs w:val="1"/>
          <w:color w:val="auto"/>
        </w:rPr>
        <w:t>Directors and Executive Officers of the Registrant</w:t>
      </w:r>
    </w:p>
    <w:p>
      <w:pPr>
        <w:spacing w:after="0" w:line="161" w:lineRule="exact"/>
        <w:rPr>
          <w:sz w:val="20"/>
          <w:szCs w:val="20"/>
          <w:color w:val="auto"/>
        </w:rPr>
      </w:pPr>
    </w:p>
    <w:p>
      <w:pPr>
        <w:ind w:right="3979" w:firstLine="722"/>
        <w:spacing w:after="0" w:line="251" w:lineRule="auto"/>
        <w:rPr>
          <w:sz w:val="20"/>
          <w:szCs w:val="20"/>
          <w:color w:val="auto"/>
        </w:rPr>
      </w:pPr>
      <w:r>
        <w:rPr>
          <w:rFonts w:ascii="Courier New" w:cs="Courier New" w:eastAsia="Courier New" w:hAnsi="Courier New"/>
          <w:sz w:val="13"/>
          <w:szCs w:val="13"/>
          <w:i w:val="1"/>
          <w:iCs w:val="1"/>
          <w:color w:val="auto"/>
        </w:rPr>
        <w:t xml:space="preserve">Directors. </w:t>
      </w:r>
      <w:r>
        <w:rPr>
          <w:rFonts w:ascii="Courier New" w:cs="Courier New" w:eastAsia="Courier New" w:hAnsi="Courier New"/>
          <w:sz w:val="13"/>
          <w:szCs w:val="13"/>
          <w:color w:val="auto"/>
        </w:rPr>
        <w:t>The information required by Item 401 of Regulation S-K</w:t>
      </w:r>
      <w:r>
        <w:rPr>
          <w:rFonts w:ascii="Courier New" w:cs="Courier New" w:eastAsia="Courier New" w:hAnsi="Courier New"/>
          <w:sz w:val="13"/>
          <w:szCs w:val="13"/>
          <w:i w:val="1"/>
          <w:iCs w:val="1"/>
          <w:color w:val="auto"/>
        </w:rPr>
        <w:t xml:space="preserve"> </w:t>
      </w:r>
      <w:r>
        <w:rPr>
          <w:rFonts w:ascii="Courier New" w:cs="Courier New" w:eastAsia="Courier New" w:hAnsi="Courier New"/>
          <w:sz w:val="13"/>
          <w:szCs w:val="13"/>
          <w:color w:val="auto"/>
        </w:rPr>
        <w:t>concerning the Company's directors is contained in the section entitled "Election of Directors -- Information about the Directors" of the Company's definitive Proxy Statement (to be filed with the Securities and Exchange Commission within 120 days after December 31, 2002, in accordance with General Instruction G to Form 10-K, is hereby incorporated herein by reference.</w:t>
      </w:r>
    </w:p>
    <w:p>
      <w:pPr>
        <w:sectPr>
          <w:pgSz w:w="11900" w:h="16838" w:orient="portrait"/>
          <w:cols w:equalWidth="0" w:num="1">
            <w:col w:w="10239"/>
          </w:cols>
          <w:pgMar w:left="220" w:top="141" w:right="1440" w:bottom="0" w:gutter="0" w:footer="0" w:header="0"/>
          <w:type w:val="continuous"/>
        </w:sectPr>
      </w:pPr>
    </w:p>
    <w:bookmarkStart w:id="38" w:name="page39"/>
    <w:bookmarkEnd w:id="38"/>
    <w:p>
      <w:pPr>
        <w:jc w:val="both"/>
        <w:ind w:right="3899" w:firstLine="722"/>
        <w:spacing w:after="0" w:line="253" w:lineRule="auto"/>
        <w:rPr>
          <w:sz w:val="20"/>
          <w:szCs w:val="20"/>
          <w:color w:val="auto"/>
        </w:rPr>
      </w:pPr>
      <w:r>
        <w:rPr>
          <w:rFonts w:ascii="Courier New" w:cs="Courier New" w:eastAsia="Courier New" w:hAnsi="Courier New"/>
          <w:sz w:val="13"/>
          <w:szCs w:val="13"/>
          <w:i w:val="1"/>
          <w:iCs w:val="1"/>
          <w:color w:val="auto"/>
        </w:rPr>
        <w:t xml:space="preserve">Executive Officers. </w:t>
      </w:r>
      <w:r>
        <w:rPr>
          <w:rFonts w:ascii="Courier New" w:cs="Courier New" w:eastAsia="Courier New" w:hAnsi="Courier New"/>
          <w:sz w:val="13"/>
          <w:szCs w:val="13"/>
          <w:color w:val="auto"/>
        </w:rPr>
        <w:t>Information required by Item 401 of Regulation S-K</w:t>
      </w:r>
      <w:r>
        <w:rPr>
          <w:rFonts w:ascii="Courier New" w:cs="Courier New" w:eastAsia="Courier New" w:hAnsi="Courier New"/>
          <w:sz w:val="13"/>
          <w:szCs w:val="13"/>
          <w:i w:val="1"/>
          <w:iCs w:val="1"/>
          <w:color w:val="auto"/>
        </w:rPr>
        <w:t xml:space="preserve"> </w:t>
      </w:r>
      <w:r>
        <w:rPr>
          <w:rFonts w:ascii="Courier New" w:cs="Courier New" w:eastAsia="Courier New" w:hAnsi="Courier New"/>
          <w:sz w:val="13"/>
          <w:szCs w:val="13"/>
          <w:color w:val="auto"/>
        </w:rPr>
        <w:t>concerning the Company's executive officers is set forth in Item 1 hereof under the caption "Executive Officers of the Registrant."</w:t>
      </w:r>
    </w:p>
    <w:p>
      <w:pPr>
        <w:spacing w:after="0" w:line="15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i w:val="1"/>
          <w:iCs w:val="1"/>
          <w:color w:val="auto"/>
        </w:rPr>
        <w:t xml:space="preserve">Compliance with Section 16(a) of the Securities Exchange Act. </w:t>
      </w:r>
      <w:r>
        <w:rPr>
          <w:rFonts w:ascii="Courier New" w:cs="Courier New" w:eastAsia="Courier New" w:hAnsi="Courier New"/>
          <w:sz w:val="13"/>
          <w:szCs w:val="13"/>
          <w:color w:val="auto"/>
        </w:rPr>
        <w:t>The</w:t>
      </w:r>
      <w:r>
        <w:rPr>
          <w:rFonts w:ascii="Courier New" w:cs="Courier New" w:eastAsia="Courier New" w:hAnsi="Courier New"/>
          <w:sz w:val="13"/>
          <w:szCs w:val="13"/>
          <w:i w:val="1"/>
          <w:iCs w:val="1"/>
          <w:color w:val="auto"/>
        </w:rPr>
        <w:t xml:space="preserve"> </w:t>
      </w:r>
      <w:r>
        <w:rPr>
          <w:rFonts w:ascii="Courier New" w:cs="Courier New" w:eastAsia="Courier New" w:hAnsi="Courier New"/>
          <w:sz w:val="13"/>
          <w:szCs w:val="13"/>
          <w:color w:val="auto"/>
        </w:rPr>
        <w:t>information required by Item 405 of Regulation S-K concerning compliance with Section 16(a) of the Securities Exchange Act by the Company's directors and executive officers and any 10% beneficial owners is contained in the section entitled "Section 16(a) Beneficial Ownership Reporting Compliance" of the Company's definitive Proxy Statement and, in accordance with General Instruction G to Form 10-K, is hereby incorporated herein by reference.</w:t>
      </w:r>
    </w:p>
    <w:p>
      <w:pPr>
        <w:spacing w:after="0" w:line="156"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3"/>
          <w:szCs w:val="13"/>
          <w:b w:val="1"/>
          <w:bCs w:val="1"/>
          <w:color w:val="auto"/>
        </w:rPr>
        <w:t>Item 11.</w:t>
      </w:r>
      <w:r>
        <w:rPr>
          <w:sz w:val="20"/>
          <w:szCs w:val="20"/>
          <w:color w:val="auto"/>
        </w:rPr>
        <w:tab/>
      </w:r>
      <w:r>
        <w:rPr>
          <w:rFonts w:ascii="Courier New" w:cs="Courier New" w:eastAsia="Courier New" w:hAnsi="Courier New"/>
          <w:sz w:val="13"/>
          <w:szCs w:val="13"/>
          <w:b w:val="1"/>
          <w:bCs w:val="1"/>
          <w:color w:val="auto"/>
        </w:rPr>
        <w:t>Executive Compensation</w:t>
      </w:r>
    </w:p>
    <w:p>
      <w:pPr>
        <w:spacing w:after="0" w:line="161" w:lineRule="exact"/>
        <w:rPr>
          <w:sz w:val="20"/>
          <w:szCs w:val="20"/>
          <w:color w:val="auto"/>
        </w:rPr>
      </w:pPr>
    </w:p>
    <w:p>
      <w:pPr>
        <w:ind w:right="3819" w:firstLine="722"/>
        <w:spacing w:after="0" w:line="252" w:lineRule="auto"/>
        <w:rPr>
          <w:sz w:val="20"/>
          <w:szCs w:val="20"/>
          <w:color w:val="auto"/>
        </w:rPr>
      </w:pPr>
      <w:r>
        <w:rPr>
          <w:rFonts w:ascii="Courier New" w:cs="Courier New" w:eastAsia="Courier New" w:hAnsi="Courier New"/>
          <w:sz w:val="13"/>
          <w:szCs w:val="13"/>
          <w:color w:val="auto"/>
        </w:rPr>
        <w:t>The information required by Item 402 of Regulation S-K is contained in the sections entitled "Information about the Election of Directors -- Compensation of Directors" and "Executive Compensation" of the Company's definitive Proxy Statement and, in accordance with General Instruction G to Form 10-K, is hereby incorporated herein by reference.</w:t>
      </w:r>
    </w:p>
    <w:p>
      <w:pPr>
        <w:spacing w:after="0" w:line="152"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3"/>
          <w:szCs w:val="13"/>
          <w:b w:val="1"/>
          <w:bCs w:val="1"/>
          <w:color w:val="auto"/>
        </w:rPr>
        <w:t>Item 12.</w:t>
      </w:r>
      <w:r>
        <w:rPr>
          <w:sz w:val="20"/>
          <w:szCs w:val="20"/>
          <w:color w:val="auto"/>
        </w:rPr>
        <w:tab/>
      </w:r>
      <w:r>
        <w:rPr>
          <w:rFonts w:ascii="Courier New" w:cs="Courier New" w:eastAsia="Courier New" w:hAnsi="Courier New"/>
          <w:sz w:val="13"/>
          <w:szCs w:val="13"/>
          <w:b w:val="1"/>
          <w:bCs w:val="1"/>
          <w:color w:val="auto"/>
        </w:rPr>
        <w:t>Security Ownership of Certain Beneficial Owners and Management</w:t>
      </w:r>
    </w:p>
    <w:p>
      <w:pPr>
        <w:spacing w:after="0" w:line="161" w:lineRule="exact"/>
        <w:rPr>
          <w:sz w:val="20"/>
          <w:szCs w:val="20"/>
          <w:color w:val="auto"/>
        </w:rPr>
      </w:pPr>
    </w:p>
    <w:p>
      <w:pPr>
        <w:ind w:right="3819" w:firstLine="722"/>
        <w:spacing w:after="0" w:line="252" w:lineRule="auto"/>
        <w:rPr>
          <w:sz w:val="20"/>
          <w:szCs w:val="20"/>
          <w:color w:val="auto"/>
        </w:rPr>
      </w:pPr>
      <w:r>
        <w:rPr>
          <w:rFonts w:ascii="Courier New" w:cs="Courier New" w:eastAsia="Courier New" w:hAnsi="Courier New"/>
          <w:sz w:val="13"/>
          <w:szCs w:val="13"/>
          <w:color w:val="auto"/>
        </w:rPr>
        <w:t>The information required by Items 201(d) and 403 of Regulation S-K is contained in the section entitled "Beneficial Ownership of Common Stock" of the Company's definitive Proxy Statement and, in accordance with General Instruction G to Form 10-K, is hereby incorporated herein by reference.</w:t>
      </w:r>
    </w:p>
    <w:p>
      <w:pPr>
        <w:spacing w:after="0" w:line="307"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3"/>
          <w:szCs w:val="13"/>
          <w:b w:val="1"/>
          <w:bCs w:val="1"/>
          <w:color w:val="auto"/>
        </w:rPr>
        <w:t>Item 13.</w:t>
      </w:r>
      <w:r>
        <w:rPr>
          <w:sz w:val="20"/>
          <w:szCs w:val="20"/>
          <w:color w:val="auto"/>
        </w:rPr>
        <w:tab/>
      </w:r>
      <w:r>
        <w:rPr>
          <w:rFonts w:ascii="Courier New" w:cs="Courier New" w:eastAsia="Courier New" w:hAnsi="Courier New"/>
          <w:sz w:val="13"/>
          <w:szCs w:val="13"/>
          <w:b w:val="1"/>
          <w:bCs w:val="1"/>
          <w:color w:val="auto"/>
        </w:rPr>
        <w:t>Related Party Relationships</w:t>
      </w:r>
    </w:p>
    <w:p>
      <w:pPr>
        <w:spacing w:after="0" w:line="161" w:lineRule="exact"/>
        <w:rPr>
          <w:sz w:val="20"/>
          <w:szCs w:val="20"/>
          <w:color w:val="auto"/>
        </w:rPr>
      </w:pPr>
    </w:p>
    <w:p>
      <w:pPr>
        <w:ind w:left="720"/>
        <w:spacing w:after="0"/>
        <w:rPr>
          <w:sz w:val="20"/>
          <w:szCs w:val="20"/>
          <w:color w:val="auto"/>
        </w:rPr>
      </w:pPr>
      <w:r>
        <w:rPr>
          <w:rFonts w:ascii="Courier New" w:cs="Courier New" w:eastAsia="Courier New" w:hAnsi="Courier New"/>
          <w:sz w:val="13"/>
          <w:szCs w:val="13"/>
          <w:color w:val="auto"/>
        </w:rPr>
        <w:t>None.</w:t>
      </w:r>
    </w:p>
    <w:p>
      <w:pPr>
        <w:spacing w:after="0" w:line="315"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3"/>
          <w:szCs w:val="13"/>
          <w:b w:val="1"/>
          <w:bCs w:val="1"/>
          <w:color w:val="auto"/>
        </w:rPr>
        <w:t>Item 14.</w:t>
      </w:r>
      <w:r>
        <w:rPr>
          <w:sz w:val="20"/>
          <w:szCs w:val="20"/>
          <w:color w:val="auto"/>
        </w:rPr>
        <w:tab/>
      </w:r>
      <w:r>
        <w:rPr>
          <w:rFonts w:ascii="Courier New" w:cs="Courier New" w:eastAsia="Courier New" w:hAnsi="Courier New"/>
          <w:sz w:val="13"/>
          <w:szCs w:val="13"/>
          <w:b w:val="1"/>
          <w:bCs w:val="1"/>
          <w:color w:val="auto"/>
        </w:rPr>
        <w:t>Controls and Procedures</w:t>
      </w:r>
    </w:p>
    <w:p>
      <w:pPr>
        <w:spacing w:after="0" w:line="161" w:lineRule="exact"/>
        <w:rPr>
          <w:sz w:val="20"/>
          <w:szCs w:val="20"/>
          <w:color w:val="auto"/>
        </w:rPr>
      </w:pPr>
    </w:p>
    <w:p>
      <w:pPr>
        <w:ind w:right="3819" w:firstLine="724"/>
        <w:spacing w:after="0" w:line="251" w:lineRule="auto"/>
        <w:tabs>
          <w:tab w:leader="none" w:pos="962" w:val="left"/>
        </w:tabs>
        <w:numPr>
          <w:ilvl w:val="0"/>
          <w:numId w:val="24"/>
        </w:numPr>
        <w:rPr>
          <w:rFonts w:ascii="Courier New" w:cs="Courier New" w:eastAsia="Courier New" w:hAnsi="Courier New"/>
          <w:sz w:val="13"/>
          <w:szCs w:val="13"/>
          <w:color w:val="auto"/>
        </w:rPr>
      </w:pPr>
      <w:r>
        <w:rPr>
          <w:rFonts w:ascii="Courier New" w:cs="Courier New" w:eastAsia="Courier New" w:hAnsi="Courier New"/>
          <w:sz w:val="13"/>
          <w:szCs w:val="13"/>
          <w:color w:val="auto"/>
        </w:rPr>
        <w:t>Within the 90-day period prior to the date of this report,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pursuant to Rule 13a-14 and 15d-14 of the Securities Exchange Act of 1934 (the "Exchange Act"). Based upon that evaluation, the Company's management, including the Chief Executive Officer and Chief Financial Officer, concluded that the Company's disclosure controls and procedures are effective in timely alerting them to material information relating to the Company (including its consolidated subsidiaries) required to be included in the Company's Exchange Act filings.</w:t>
      </w:r>
    </w:p>
    <w:p>
      <w:pPr>
        <w:spacing w:after="0" w:line="156" w:lineRule="exact"/>
        <w:rPr>
          <w:rFonts w:ascii="Courier New" w:cs="Courier New" w:eastAsia="Courier New" w:hAnsi="Courier New"/>
          <w:sz w:val="13"/>
          <w:szCs w:val="13"/>
          <w:color w:val="auto"/>
        </w:rPr>
      </w:pPr>
    </w:p>
    <w:p>
      <w:pPr>
        <w:ind w:right="3899" w:firstLine="724"/>
        <w:spacing w:after="0" w:line="253" w:lineRule="auto"/>
        <w:tabs>
          <w:tab w:leader="none" w:pos="962" w:val="left"/>
        </w:tabs>
        <w:numPr>
          <w:ilvl w:val="0"/>
          <w:numId w:val="2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There have been no significant changes in the Company's internal controls or in other factors which could significantly affect internal controls subsequent to the date the Company carried out its evaluation.</w:t>
      </w:r>
    </w:p>
    <w:p>
      <w:pPr>
        <w:spacing w:after="0" w:line="305"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3"/>
          <w:szCs w:val="13"/>
          <w:b w:val="1"/>
          <w:bCs w:val="1"/>
          <w:color w:val="auto"/>
        </w:rPr>
        <w:t>Part IV</w:t>
      </w:r>
    </w:p>
    <w:p>
      <w:pPr>
        <w:spacing w:after="0" w:line="161"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3"/>
          <w:szCs w:val="13"/>
          <w:b w:val="1"/>
          <w:bCs w:val="1"/>
          <w:color w:val="auto"/>
        </w:rPr>
        <w:t>Item 15.</w:t>
      </w:r>
      <w:r>
        <w:rPr>
          <w:sz w:val="20"/>
          <w:szCs w:val="20"/>
          <w:color w:val="auto"/>
        </w:rPr>
        <w:tab/>
      </w:r>
      <w:r>
        <w:rPr>
          <w:rFonts w:ascii="Courier New" w:cs="Courier New" w:eastAsia="Courier New" w:hAnsi="Courier New"/>
          <w:sz w:val="13"/>
          <w:szCs w:val="13"/>
          <w:b w:val="1"/>
          <w:bCs w:val="1"/>
          <w:color w:val="auto"/>
        </w:rPr>
        <w:t>Exhibits Financial Statement Schedules, and Reports on Form 8-K</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 List of Documents Filed as Part of this Report</w:t>
      </w:r>
    </w:p>
    <w:p>
      <w:pPr>
        <w:spacing w:after="0" w:line="161"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1. Financial Statements</w:t>
      </w:r>
    </w:p>
    <w:p>
      <w:pPr>
        <w:spacing w:after="0" w:line="161" w:lineRule="exact"/>
        <w:rPr>
          <w:sz w:val="20"/>
          <w:szCs w:val="20"/>
          <w:color w:val="auto"/>
        </w:rPr>
      </w:pPr>
    </w:p>
    <w:p>
      <w:pPr>
        <w:ind w:right="4059" w:firstLine="722"/>
        <w:spacing w:after="0" w:line="254" w:lineRule="auto"/>
        <w:rPr>
          <w:sz w:val="20"/>
          <w:szCs w:val="20"/>
          <w:color w:val="auto"/>
        </w:rPr>
      </w:pPr>
      <w:r>
        <w:rPr>
          <w:rFonts w:ascii="Courier New" w:cs="Courier New" w:eastAsia="Courier New" w:hAnsi="Courier New"/>
          <w:sz w:val="13"/>
          <w:szCs w:val="13"/>
          <w:color w:val="auto"/>
        </w:rPr>
        <w:t>The financial statements of the Company filed as part of this Annual Report on Form 10-K begin on the following pages hereof:</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320" w:type="dxa"/>
            <w:vAlign w:val="bottom"/>
          </w:tcPr>
          <w:p>
            <w:pPr>
              <w:jc w:val="center"/>
              <w:spacing w:after="0"/>
              <w:rPr>
                <w:sz w:val="20"/>
                <w:szCs w:val="20"/>
                <w:color w:val="auto"/>
              </w:rPr>
            </w:pPr>
            <w:r>
              <w:rPr>
                <w:rFonts w:ascii="Courier New" w:cs="Courier New" w:eastAsia="Courier New" w:hAnsi="Courier New"/>
                <w:sz w:val="13"/>
                <w:szCs w:val="13"/>
                <w:color w:val="auto"/>
              </w:rPr>
              <w:t>Page</w:t>
            </w:r>
          </w:p>
        </w:tc>
      </w:tr>
      <w:tr>
        <w:trPr>
          <w:trHeight w:val="308"/>
        </w:trPr>
        <w:tc>
          <w:tcPr>
            <w:tcW w:w="320" w:type="dxa"/>
            <w:vAlign w:val="bottom"/>
          </w:tcPr>
          <w:p>
            <w:pPr>
              <w:spacing w:after="0"/>
              <w:rPr>
                <w:sz w:val="24"/>
                <w:szCs w:val="24"/>
                <w:color w:val="auto"/>
              </w:rPr>
            </w:pPr>
          </w:p>
        </w:tc>
        <w:tc>
          <w:tcPr>
            <w:tcW w:w="7940" w:type="dxa"/>
            <w:vAlign w:val="bottom"/>
            <w:gridSpan w:val="2"/>
          </w:tcPr>
          <w:p>
            <w:pPr>
              <w:ind w:left="400"/>
              <w:spacing w:after="0"/>
              <w:rPr>
                <w:sz w:val="20"/>
                <w:szCs w:val="20"/>
                <w:color w:val="auto"/>
              </w:rPr>
            </w:pPr>
            <w:r>
              <w:rPr>
                <w:rFonts w:ascii="Courier New" w:cs="Courier New" w:eastAsia="Courier New" w:hAnsi="Courier New"/>
                <w:sz w:val="13"/>
                <w:szCs w:val="13"/>
                <w:color w:val="auto"/>
              </w:rPr>
              <w:t>Report of Independent Auditors for the years ended December 31, 2002, December 31, 2001 and</w:t>
            </w:r>
          </w:p>
        </w:tc>
        <w:tc>
          <w:tcPr>
            <w:tcW w:w="320" w:type="dxa"/>
            <w:vAlign w:val="bottom"/>
          </w:tcPr>
          <w:p>
            <w:pPr>
              <w:spacing w:after="0"/>
              <w:rPr>
                <w:sz w:val="24"/>
                <w:szCs w:val="24"/>
                <w:color w:val="auto"/>
              </w:rPr>
            </w:pPr>
          </w:p>
        </w:tc>
      </w:tr>
      <w:tr>
        <w:trPr>
          <w:trHeight w:val="154"/>
        </w:trPr>
        <w:tc>
          <w:tcPr>
            <w:tcW w:w="320" w:type="dxa"/>
            <w:vAlign w:val="bottom"/>
          </w:tcPr>
          <w:p>
            <w:pPr>
              <w:spacing w:after="0"/>
              <w:rPr>
                <w:sz w:val="13"/>
                <w:szCs w:val="13"/>
                <w:color w:val="auto"/>
              </w:rPr>
            </w:pPr>
          </w:p>
        </w:tc>
        <w:tc>
          <w:tcPr>
            <w:tcW w:w="1080" w:type="dxa"/>
            <w:vAlign w:val="bottom"/>
          </w:tcPr>
          <w:p>
            <w:pPr>
              <w:ind w:left="400"/>
              <w:spacing w:after="0"/>
              <w:rPr>
                <w:sz w:val="20"/>
                <w:szCs w:val="20"/>
                <w:color w:val="auto"/>
              </w:rPr>
            </w:pPr>
            <w:r>
              <w:rPr>
                <w:rFonts w:ascii="Courier New" w:cs="Courier New" w:eastAsia="Courier New" w:hAnsi="Courier New"/>
                <w:sz w:val="13"/>
                <w:szCs w:val="13"/>
                <w:color w:val="auto"/>
              </w:rPr>
              <w:t>December</w:t>
            </w:r>
          </w:p>
        </w:tc>
        <w:tc>
          <w:tcPr>
            <w:tcW w:w="6860" w:type="dxa"/>
            <w:vAlign w:val="bottom"/>
          </w:tcPr>
          <w:p>
            <w:pPr>
              <w:ind w:left="40"/>
              <w:spacing w:after="0"/>
              <w:rPr>
                <w:sz w:val="20"/>
                <w:szCs w:val="20"/>
                <w:color w:val="auto"/>
              </w:rPr>
            </w:pPr>
            <w:r>
              <w:rPr>
                <w:rFonts w:ascii="Courier New" w:cs="Courier New" w:eastAsia="Courier New" w:hAnsi="Courier New"/>
                <w:sz w:val="13"/>
                <w:szCs w:val="13"/>
                <w:color w:val="auto"/>
              </w:rPr>
              <w:t>31, 2000..............................................................................</w:t>
            </w:r>
          </w:p>
        </w:tc>
        <w:tc>
          <w:tcPr>
            <w:tcW w:w="320" w:type="dxa"/>
            <w:vAlign w:val="bottom"/>
          </w:tcPr>
          <w:p>
            <w:pPr>
              <w:jc w:val="center"/>
              <w:spacing w:after="0"/>
              <w:rPr>
                <w:sz w:val="20"/>
                <w:szCs w:val="20"/>
                <w:color w:val="auto"/>
              </w:rPr>
            </w:pPr>
            <w:r>
              <w:rPr>
                <w:rFonts w:ascii="Courier New" w:cs="Courier New" w:eastAsia="Courier New" w:hAnsi="Courier New"/>
                <w:sz w:val="13"/>
                <w:szCs w:val="13"/>
                <w:color w:val="auto"/>
              </w:rPr>
              <w:t>26</w:t>
            </w:r>
          </w:p>
        </w:tc>
      </w:tr>
      <w:tr>
        <w:trPr>
          <w:trHeight w:val="308"/>
        </w:trPr>
        <w:tc>
          <w:tcPr>
            <w:tcW w:w="320" w:type="dxa"/>
            <w:vAlign w:val="bottom"/>
          </w:tcPr>
          <w:p>
            <w:pPr>
              <w:spacing w:after="0"/>
              <w:rPr>
                <w:sz w:val="24"/>
                <w:szCs w:val="24"/>
                <w:color w:val="auto"/>
              </w:rPr>
            </w:pPr>
          </w:p>
        </w:tc>
        <w:tc>
          <w:tcPr>
            <w:tcW w:w="7940" w:type="dxa"/>
            <w:vAlign w:val="bottom"/>
            <w:gridSpan w:val="2"/>
          </w:tcPr>
          <w:p>
            <w:pPr>
              <w:ind w:left="400"/>
              <w:spacing w:after="0"/>
              <w:rPr>
                <w:sz w:val="20"/>
                <w:szCs w:val="20"/>
                <w:color w:val="auto"/>
              </w:rPr>
            </w:pPr>
            <w:r>
              <w:rPr>
                <w:rFonts w:ascii="Courier New" w:cs="Courier New" w:eastAsia="Courier New" w:hAnsi="Courier New"/>
                <w:sz w:val="13"/>
                <w:szCs w:val="13"/>
                <w:color w:val="auto"/>
              </w:rPr>
              <w:t>Consolidated Balance Sheets at December 31, 2002 and 2001......................................</w:t>
            </w:r>
          </w:p>
        </w:tc>
        <w:tc>
          <w:tcPr>
            <w:tcW w:w="320" w:type="dxa"/>
            <w:vAlign w:val="bottom"/>
          </w:tcPr>
          <w:p>
            <w:pPr>
              <w:jc w:val="center"/>
              <w:spacing w:after="0"/>
              <w:rPr>
                <w:sz w:val="20"/>
                <w:szCs w:val="20"/>
                <w:color w:val="auto"/>
              </w:rPr>
            </w:pPr>
            <w:r>
              <w:rPr>
                <w:rFonts w:ascii="Courier New" w:cs="Courier New" w:eastAsia="Courier New" w:hAnsi="Courier New"/>
                <w:sz w:val="13"/>
                <w:szCs w:val="13"/>
                <w:color w:val="auto"/>
              </w:rPr>
              <w:t>27</w:t>
            </w:r>
          </w:p>
        </w:tc>
      </w:tr>
      <w:tr>
        <w:trPr>
          <w:trHeight w:val="308"/>
        </w:trPr>
        <w:tc>
          <w:tcPr>
            <w:tcW w:w="320" w:type="dxa"/>
            <w:vAlign w:val="bottom"/>
          </w:tcPr>
          <w:p>
            <w:pPr>
              <w:spacing w:after="0"/>
              <w:rPr>
                <w:sz w:val="24"/>
                <w:szCs w:val="24"/>
                <w:color w:val="auto"/>
              </w:rPr>
            </w:pPr>
          </w:p>
        </w:tc>
        <w:tc>
          <w:tcPr>
            <w:tcW w:w="7940" w:type="dxa"/>
            <w:vAlign w:val="bottom"/>
            <w:gridSpan w:val="2"/>
          </w:tcPr>
          <w:p>
            <w:pPr>
              <w:ind w:left="400"/>
              <w:spacing w:after="0"/>
              <w:rPr>
                <w:sz w:val="20"/>
                <w:szCs w:val="20"/>
                <w:color w:val="auto"/>
              </w:rPr>
            </w:pPr>
            <w:r>
              <w:rPr>
                <w:rFonts w:ascii="Courier New" w:cs="Courier New" w:eastAsia="Courier New" w:hAnsi="Courier New"/>
                <w:sz w:val="13"/>
                <w:szCs w:val="13"/>
                <w:color w:val="auto"/>
              </w:rPr>
              <w:t>Consolidated Statements of Income and Comprehensive Income for the Three Years</w:t>
            </w:r>
          </w:p>
        </w:tc>
        <w:tc>
          <w:tcPr>
            <w:tcW w:w="320" w:type="dxa"/>
            <w:vAlign w:val="bottom"/>
          </w:tcPr>
          <w:p>
            <w:pPr>
              <w:spacing w:after="0"/>
              <w:rPr>
                <w:sz w:val="24"/>
                <w:szCs w:val="24"/>
                <w:color w:val="auto"/>
              </w:rPr>
            </w:pPr>
          </w:p>
        </w:tc>
      </w:tr>
      <w:tr>
        <w:trPr>
          <w:trHeight w:val="154"/>
        </w:trPr>
        <w:tc>
          <w:tcPr>
            <w:tcW w:w="320" w:type="dxa"/>
            <w:vAlign w:val="bottom"/>
          </w:tcPr>
          <w:p>
            <w:pPr>
              <w:spacing w:after="0"/>
              <w:rPr>
                <w:sz w:val="13"/>
                <w:szCs w:val="13"/>
                <w:color w:val="auto"/>
              </w:rPr>
            </w:pPr>
          </w:p>
        </w:tc>
        <w:tc>
          <w:tcPr>
            <w:tcW w:w="7940" w:type="dxa"/>
            <w:vAlign w:val="bottom"/>
            <w:gridSpan w:val="2"/>
          </w:tcPr>
          <w:p>
            <w:pPr>
              <w:ind w:left="400"/>
              <w:spacing w:after="0"/>
              <w:rPr>
                <w:sz w:val="20"/>
                <w:szCs w:val="20"/>
                <w:color w:val="auto"/>
              </w:rPr>
            </w:pPr>
            <w:r>
              <w:rPr>
                <w:rFonts w:ascii="Courier New" w:cs="Courier New" w:eastAsia="Courier New" w:hAnsi="Courier New"/>
                <w:sz w:val="13"/>
                <w:szCs w:val="13"/>
                <w:color w:val="auto"/>
              </w:rPr>
              <w:t>ended December 31, 2002........................................................................</w:t>
            </w:r>
          </w:p>
        </w:tc>
        <w:tc>
          <w:tcPr>
            <w:tcW w:w="320" w:type="dxa"/>
            <w:vAlign w:val="bottom"/>
          </w:tcPr>
          <w:p>
            <w:pPr>
              <w:jc w:val="center"/>
              <w:spacing w:after="0"/>
              <w:rPr>
                <w:sz w:val="20"/>
                <w:szCs w:val="20"/>
                <w:color w:val="auto"/>
              </w:rPr>
            </w:pPr>
            <w:r>
              <w:rPr>
                <w:rFonts w:ascii="Courier New" w:cs="Courier New" w:eastAsia="Courier New" w:hAnsi="Courier New"/>
                <w:sz w:val="13"/>
                <w:szCs w:val="13"/>
                <w:color w:val="auto"/>
              </w:rPr>
              <w:t>28</w:t>
            </w:r>
          </w:p>
        </w:tc>
      </w:tr>
      <w:tr>
        <w:trPr>
          <w:trHeight w:val="308"/>
        </w:trPr>
        <w:tc>
          <w:tcPr>
            <w:tcW w:w="320" w:type="dxa"/>
            <w:vAlign w:val="bottom"/>
          </w:tcPr>
          <w:p>
            <w:pPr>
              <w:spacing w:after="0"/>
              <w:rPr>
                <w:sz w:val="24"/>
                <w:szCs w:val="24"/>
                <w:color w:val="auto"/>
              </w:rPr>
            </w:pPr>
          </w:p>
        </w:tc>
        <w:tc>
          <w:tcPr>
            <w:tcW w:w="7940" w:type="dxa"/>
            <w:vAlign w:val="bottom"/>
            <w:gridSpan w:val="2"/>
          </w:tcPr>
          <w:p>
            <w:pPr>
              <w:ind w:left="400"/>
              <w:spacing w:after="0"/>
              <w:rPr>
                <w:sz w:val="20"/>
                <w:szCs w:val="20"/>
                <w:color w:val="auto"/>
              </w:rPr>
            </w:pPr>
            <w:r>
              <w:rPr>
                <w:rFonts w:ascii="Courier New" w:cs="Courier New" w:eastAsia="Courier New" w:hAnsi="Courier New"/>
                <w:sz w:val="13"/>
                <w:szCs w:val="13"/>
                <w:color w:val="auto"/>
              </w:rPr>
              <w:t>Consolidated Statements of Changes in Stockholders' Equity for the Three Years</w:t>
            </w:r>
          </w:p>
        </w:tc>
        <w:tc>
          <w:tcPr>
            <w:tcW w:w="320" w:type="dxa"/>
            <w:vAlign w:val="bottom"/>
          </w:tcPr>
          <w:p>
            <w:pPr>
              <w:spacing w:after="0"/>
              <w:rPr>
                <w:sz w:val="24"/>
                <w:szCs w:val="24"/>
                <w:color w:val="auto"/>
              </w:rPr>
            </w:pPr>
          </w:p>
        </w:tc>
      </w:tr>
      <w:tr>
        <w:trPr>
          <w:trHeight w:val="154"/>
        </w:trPr>
        <w:tc>
          <w:tcPr>
            <w:tcW w:w="320" w:type="dxa"/>
            <w:vAlign w:val="bottom"/>
          </w:tcPr>
          <w:p>
            <w:pPr>
              <w:spacing w:after="0"/>
              <w:rPr>
                <w:sz w:val="13"/>
                <w:szCs w:val="13"/>
                <w:color w:val="auto"/>
              </w:rPr>
            </w:pPr>
          </w:p>
        </w:tc>
        <w:tc>
          <w:tcPr>
            <w:tcW w:w="7940" w:type="dxa"/>
            <w:vAlign w:val="bottom"/>
            <w:gridSpan w:val="2"/>
          </w:tcPr>
          <w:p>
            <w:pPr>
              <w:ind w:left="400"/>
              <w:spacing w:after="0"/>
              <w:rPr>
                <w:sz w:val="20"/>
                <w:szCs w:val="20"/>
                <w:color w:val="auto"/>
              </w:rPr>
            </w:pPr>
            <w:r>
              <w:rPr>
                <w:rFonts w:ascii="Courier New" w:cs="Courier New" w:eastAsia="Courier New" w:hAnsi="Courier New"/>
                <w:sz w:val="13"/>
                <w:szCs w:val="13"/>
                <w:color w:val="auto"/>
              </w:rPr>
              <w:t>Ended December 31, 2002........................................................................</w:t>
            </w:r>
          </w:p>
        </w:tc>
        <w:tc>
          <w:tcPr>
            <w:tcW w:w="320" w:type="dxa"/>
            <w:vAlign w:val="bottom"/>
          </w:tcPr>
          <w:p>
            <w:pPr>
              <w:jc w:val="center"/>
              <w:spacing w:after="0"/>
              <w:rPr>
                <w:sz w:val="20"/>
                <w:szCs w:val="20"/>
                <w:color w:val="auto"/>
              </w:rPr>
            </w:pPr>
            <w:r>
              <w:rPr>
                <w:rFonts w:ascii="Courier New" w:cs="Courier New" w:eastAsia="Courier New" w:hAnsi="Courier New"/>
                <w:sz w:val="13"/>
                <w:szCs w:val="13"/>
                <w:color w:val="auto"/>
              </w:rPr>
              <w:t>29</w:t>
            </w:r>
          </w:p>
        </w:tc>
      </w:tr>
      <w:tr>
        <w:trPr>
          <w:trHeight w:val="308"/>
        </w:trPr>
        <w:tc>
          <w:tcPr>
            <w:tcW w:w="320" w:type="dxa"/>
            <w:vAlign w:val="bottom"/>
          </w:tcPr>
          <w:p>
            <w:pPr>
              <w:spacing w:after="0"/>
              <w:rPr>
                <w:sz w:val="24"/>
                <w:szCs w:val="24"/>
                <w:color w:val="auto"/>
              </w:rPr>
            </w:pPr>
          </w:p>
        </w:tc>
        <w:tc>
          <w:tcPr>
            <w:tcW w:w="7940" w:type="dxa"/>
            <w:vAlign w:val="bottom"/>
            <w:gridSpan w:val="2"/>
          </w:tcPr>
          <w:p>
            <w:pPr>
              <w:ind w:left="400"/>
              <w:spacing w:after="0"/>
              <w:rPr>
                <w:sz w:val="20"/>
                <w:szCs w:val="20"/>
                <w:color w:val="auto"/>
              </w:rPr>
            </w:pPr>
            <w:r>
              <w:rPr>
                <w:rFonts w:ascii="Courier New" w:cs="Courier New" w:eastAsia="Courier New" w:hAnsi="Courier New"/>
                <w:sz w:val="13"/>
                <w:szCs w:val="13"/>
                <w:color w:val="auto"/>
              </w:rPr>
              <w:t>Consolidated Statements of Cash Flows for the Three Years Ended December 31, 2002..............</w:t>
            </w:r>
          </w:p>
        </w:tc>
        <w:tc>
          <w:tcPr>
            <w:tcW w:w="320" w:type="dxa"/>
            <w:vAlign w:val="bottom"/>
          </w:tcPr>
          <w:p>
            <w:pPr>
              <w:jc w:val="center"/>
              <w:spacing w:after="0"/>
              <w:rPr>
                <w:sz w:val="20"/>
                <w:szCs w:val="20"/>
                <w:color w:val="auto"/>
              </w:rPr>
            </w:pPr>
            <w:r>
              <w:rPr>
                <w:rFonts w:ascii="Courier New" w:cs="Courier New" w:eastAsia="Courier New" w:hAnsi="Courier New"/>
                <w:sz w:val="13"/>
                <w:szCs w:val="13"/>
                <w:color w:val="auto"/>
              </w:rPr>
              <w:t>30</w:t>
            </w:r>
          </w:p>
        </w:tc>
      </w:tr>
      <w:tr>
        <w:trPr>
          <w:trHeight w:val="308"/>
        </w:trPr>
        <w:tc>
          <w:tcPr>
            <w:tcW w:w="320" w:type="dxa"/>
            <w:vAlign w:val="bottom"/>
          </w:tcPr>
          <w:p>
            <w:pPr>
              <w:spacing w:after="0"/>
              <w:rPr>
                <w:sz w:val="24"/>
                <w:szCs w:val="24"/>
                <w:color w:val="auto"/>
              </w:rPr>
            </w:pPr>
          </w:p>
        </w:tc>
        <w:tc>
          <w:tcPr>
            <w:tcW w:w="1080" w:type="dxa"/>
            <w:vAlign w:val="bottom"/>
          </w:tcPr>
          <w:p>
            <w:pPr>
              <w:ind w:left="400"/>
              <w:spacing w:after="0"/>
              <w:rPr>
                <w:sz w:val="20"/>
                <w:szCs w:val="20"/>
                <w:color w:val="auto"/>
              </w:rPr>
            </w:pPr>
            <w:r>
              <w:rPr>
                <w:rFonts w:ascii="Courier New" w:cs="Courier New" w:eastAsia="Courier New" w:hAnsi="Courier New"/>
                <w:sz w:val="13"/>
                <w:szCs w:val="13"/>
                <w:color w:val="auto"/>
              </w:rPr>
              <w:t>Notes to</w:t>
            </w:r>
          </w:p>
        </w:tc>
        <w:tc>
          <w:tcPr>
            <w:tcW w:w="6860" w:type="dxa"/>
            <w:vAlign w:val="bottom"/>
          </w:tcPr>
          <w:p>
            <w:pPr>
              <w:ind w:left="40"/>
              <w:spacing w:after="0"/>
              <w:rPr>
                <w:sz w:val="20"/>
                <w:szCs w:val="20"/>
                <w:color w:val="auto"/>
              </w:rPr>
            </w:pPr>
            <w:r>
              <w:rPr>
                <w:rFonts w:ascii="Courier New" w:cs="Courier New" w:eastAsia="Courier New" w:hAnsi="Courier New"/>
                <w:sz w:val="13"/>
                <w:szCs w:val="13"/>
                <w:color w:val="auto"/>
              </w:rPr>
              <w:t>Consolidated Financial Statements.....................................................</w:t>
            </w:r>
          </w:p>
        </w:tc>
        <w:tc>
          <w:tcPr>
            <w:tcW w:w="320" w:type="dxa"/>
            <w:vAlign w:val="bottom"/>
          </w:tcPr>
          <w:p>
            <w:pPr>
              <w:jc w:val="center"/>
              <w:spacing w:after="0"/>
              <w:rPr>
                <w:sz w:val="20"/>
                <w:szCs w:val="20"/>
                <w:color w:val="auto"/>
              </w:rPr>
            </w:pPr>
            <w:r>
              <w:rPr>
                <w:rFonts w:ascii="Courier New" w:cs="Courier New" w:eastAsia="Courier New" w:hAnsi="Courier New"/>
                <w:sz w:val="13"/>
                <w:szCs w:val="13"/>
                <w:color w:val="auto"/>
              </w:rPr>
              <w:t>31</w:t>
            </w:r>
          </w:p>
        </w:tc>
      </w:tr>
      <w:tr>
        <w:trPr>
          <w:trHeight w:val="308"/>
        </w:trPr>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3"/>
                <w:szCs w:val="13"/>
                <w:color w:val="auto"/>
              </w:rPr>
              <w:t>2. Financial</w:t>
            </w:r>
          </w:p>
        </w:tc>
        <w:tc>
          <w:tcPr>
            <w:tcW w:w="6860" w:type="dxa"/>
            <w:vAlign w:val="bottom"/>
          </w:tcPr>
          <w:p>
            <w:pPr>
              <w:ind w:left="40"/>
              <w:spacing w:after="0"/>
              <w:rPr>
                <w:sz w:val="20"/>
                <w:szCs w:val="20"/>
                <w:color w:val="auto"/>
              </w:rPr>
            </w:pPr>
            <w:r>
              <w:rPr>
                <w:rFonts w:ascii="Courier New" w:cs="Courier New" w:eastAsia="Courier New" w:hAnsi="Courier New"/>
                <w:sz w:val="13"/>
                <w:szCs w:val="13"/>
                <w:color w:val="auto"/>
              </w:rPr>
              <w:t>Statement Schedules</w:t>
            </w:r>
          </w:p>
        </w:tc>
        <w:tc>
          <w:tcPr>
            <w:tcW w:w="320" w:type="dxa"/>
            <w:vAlign w:val="bottom"/>
          </w:tcPr>
          <w:p>
            <w:pPr>
              <w:spacing w:after="0"/>
              <w:rPr>
                <w:sz w:val="24"/>
                <w:szCs w:val="24"/>
                <w:color w:val="auto"/>
              </w:rPr>
            </w:pPr>
          </w:p>
        </w:tc>
      </w:tr>
      <w:tr>
        <w:trPr>
          <w:trHeight w:val="308"/>
        </w:trPr>
        <w:tc>
          <w:tcPr>
            <w:tcW w:w="320" w:type="dxa"/>
            <w:vAlign w:val="bottom"/>
          </w:tcPr>
          <w:p>
            <w:pPr>
              <w:spacing w:after="0"/>
              <w:rPr>
                <w:sz w:val="24"/>
                <w:szCs w:val="24"/>
                <w:color w:val="auto"/>
              </w:rPr>
            </w:pPr>
          </w:p>
        </w:tc>
        <w:tc>
          <w:tcPr>
            <w:tcW w:w="7940" w:type="dxa"/>
            <w:vAlign w:val="bottom"/>
            <w:gridSpan w:val="2"/>
          </w:tcPr>
          <w:p>
            <w:pPr>
              <w:ind w:left="400"/>
              <w:spacing w:after="0"/>
              <w:rPr>
                <w:sz w:val="20"/>
                <w:szCs w:val="20"/>
                <w:color w:val="auto"/>
              </w:rPr>
            </w:pPr>
            <w:r>
              <w:rPr>
                <w:rFonts w:ascii="Courier New" w:cs="Courier New" w:eastAsia="Courier New" w:hAnsi="Courier New"/>
                <w:sz w:val="13"/>
                <w:szCs w:val="13"/>
                <w:color w:val="auto"/>
              </w:rPr>
              <w:t>Not applicable.</w:t>
            </w:r>
          </w:p>
        </w:tc>
        <w:tc>
          <w:tcPr>
            <w:tcW w:w="320" w:type="dxa"/>
            <w:vAlign w:val="bottom"/>
          </w:tcPr>
          <w:p>
            <w:pPr>
              <w:spacing w:after="0"/>
              <w:rPr>
                <w:sz w:val="24"/>
                <w:szCs w:val="24"/>
                <w:color w:val="auto"/>
              </w:rPr>
            </w:pPr>
          </w:p>
        </w:tc>
      </w:tr>
      <w:tr>
        <w:trPr>
          <w:trHeight w:val="308"/>
        </w:trPr>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3"/>
                <w:szCs w:val="13"/>
                <w:color w:val="auto"/>
              </w:rPr>
              <w:t>3. See Index</w:t>
            </w:r>
          </w:p>
        </w:tc>
        <w:tc>
          <w:tcPr>
            <w:tcW w:w="6860" w:type="dxa"/>
            <w:vAlign w:val="bottom"/>
          </w:tcPr>
          <w:p>
            <w:pPr>
              <w:ind w:left="40"/>
              <w:spacing w:after="0"/>
              <w:rPr>
                <w:sz w:val="20"/>
                <w:szCs w:val="20"/>
                <w:color w:val="auto"/>
              </w:rPr>
            </w:pPr>
            <w:r>
              <w:rPr>
                <w:rFonts w:ascii="Courier New" w:cs="Courier New" w:eastAsia="Courier New" w:hAnsi="Courier New"/>
                <w:sz w:val="13"/>
                <w:szCs w:val="13"/>
                <w:color w:val="auto"/>
              </w:rPr>
              <w:t>to Exhibits (attached hereto)</w:t>
            </w:r>
          </w:p>
        </w:tc>
        <w:tc>
          <w:tcPr>
            <w:tcW w:w="320" w:type="dxa"/>
            <w:vAlign w:val="bottom"/>
          </w:tcPr>
          <w:p>
            <w:pPr>
              <w:spacing w:after="0"/>
              <w:rPr>
                <w:sz w:val="24"/>
                <w:szCs w:val="24"/>
                <w:color w:val="auto"/>
              </w:rPr>
            </w:pPr>
          </w:p>
        </w:tc>
      </w:tr>
      <w:tr>
        <w:trPr>
          <w:trHeight w:val="308"/>
        </w:trPr>
        <w:tc>
          <w:tcPr>
            <w:tcW w:w="320" w:type="dxa"/>
            <w:vAlign w:val="bottom"/>
          </w:tcPr>
          <w:p>
            <w:pPr>
              <w:spacing w:after="0"/>
              <w:rPr>
                <w:sz w:val="20"/>
                <w:szCs w:val="20"/>
                <w:color w:val="auto"/>
              </w:rPr>
            </w:pPr>
            <w:r>
              <w:rPr>
                <w:rFonts w:ascii="Courier New" w:cs="Courier New" w:eastAsia="Courier New" w:hAnsi="Courier New"/>
                <w:sz w:val="13"/>
                <w:szCs w:val="13"/>
                <w:color w:val="auto"/>
              </w:rPr>
              <w:t>(b)</w:t>
            </w:r>
          </w:p>
        </w:tc>
        <w:tc>
          <w:tcPr>
            <w:tcW w:w="1080" w:type="dxa"/>
            <w:vAlign w:val="bottom"/>
          </w:tcPr>
          <w:p>
            <w:pPr>
              <w:jc w:val="right"/>
              <w:spacing w:after="0"/>
              <w:rPr>
                <w:sz w:val="20"/>
                <w:szCs w:val="20"/>
                <w:color w:val="auto"/>
              </w:rPr>
            </w:pPr>
            <w:r>
              <w:rPr>
                <w:rFonts w:ascii="Courier New" w:cs="Courier New" w:eastAsia="Courier New" w:hAnsi="Courier New"/>
                <w:sz w:val="13"/>
                <w:szCs w:val="13"/>
                <w:color w:val="auto"/>
              </w:rPr>
              <w:t>Reports on</w:t>
            </w:r>
          </w:p>
        </w:tc>
        <w:tc>
          <w:tcPr>
            <w:tcW w:w="6860" w:type="dxa"/>
            <w:vAlign w:val="bottom"/>
          </w:tcPr>
          <w:p>
            <w:pPr>
              <w:ind w:left="40"/>
              <w:spacing w:after="0"/>
              <w:rPr>
                <w:sz w:val="20"/>
                <w:szCs w:val="20"/>
                <w:color w:val="auto"/>
              </w:rPr>
            </w:pPr>
            <w:r>
              <w:rPr>
                <w:rFonts w:ascii="Courier New" w:cs="Courier New" w:eastAsia="Courier New" w:hAnsi="Courier New"/>
                <w:sz w:val="13"/>
                <w:szCs w:val="13"/>
                <w:color w:val="auto"/>
              </w:rPr>
              <w:t>Form 8-K</w:t>
            </w:r>
          </w:p>
        </w:tc>
        <w:tc>
          <w:tcPr>
            <w:tcW w:w="320" w:type="dxa"/>
            <w:vAlign w:val="bottom"/>
          </w:tcPr>
          <w:p>
            <w:pPr>
              <w:spacing w:after="0"/>
              <w:rPr>
                <w:sz w:val="24"/>
                <w:szCs w:val="24"/>
                <w:color w:val="auto"/>
              </w:rPr>
            </w:pPr>
          </w:p>
        </w:tc>
      </w:tr>
    </w:tbl>
    <w:p>
      <w:pPr>
        <w:spacing w:after="0" w:line="159" w:lineRule="exact"/>
        <w:rPr>
          <w:sz w:val="20"/>
          <w:szCs w:val="20"/>
          <w:color w:val="auto"/>
        </w:rPr>
      </w:pPr>
    </w:p>
    <w:p>
      <w:pPr>
        <w:ind w:left="640" w:right="3979"/>
        <w:spacing w:after="0" w:line="254" w:lineRule="auto"/>
        <w:rPr>
          <w:sz w:val="20"/>
          <w:szCs w:val="20"/>
          <w:color w:val="auto"/>
        </w:rPr>
      </w:pPr>
      <w:r>
        <w:rPr>
          <w:rFonts w:ascii="Courier New" w:cs="Courier New" w:eastAsia="Courier New" w:hAnsi="Courier New"/>
          <w:sz w:val="13"/>
          <w:szCs w:val="13"/>
          <w:color w:val="auto"/>
        </w:rPr>
        <w:t>The Company filed a Form 8-K on November 1, 2002, announcing its third quarter earnings.</w:t>
      </w:r>
    </w:p>
    <w:p>
      <w:pPr>
        <w:spacing w:after="0" w:line="151" w:lineRule="exact"/>
        <w:rPr>
          <w:sz w:val="20"/>
          <w:szCs w:val="20"/>
          <w:color w:val="auto"/>
        </w:rPr>
      </w:pPr>
    </w:p>
    <w:p>
      <w:pPr>
        <w:ind w:left="640" w:right="3899"/>
        <w:spacing w:after="0" w:line="254" w:lineRule="auto"/>
        <w:rPr>
          <w:sz w:val="20"/>
          <w:szCs w:val="20"/>
          <w:color w:val="auto"/>
        </w:rPr>
      </w:pPr>
      <w:r>
        <w:rPr>
          <w:rFonts w:ascii="Courier New" w:cs="Courier New" w:eastAsia="Courier New" w:hAnsi="Courier New"/>
          <w:sz w:val="13"/>
          <w:szCs w:val="13"/>
          <w:color w:val="auto"/>
        </w:rPr>
        <w:t>The Cmpany filed a Form 8-K on November 5, 2002, announcing its payment of a regular quarterly cash dividend.</w:t>
      </w:r>
    </w:p>
    <w:p>
      <w:pPr>
        <w:spacing w:after="0" w:line="151" w:lineRule="exact"/>
        <w:rPr>
          <w:sz w:val="20"/>
          <w:szCs w:val="20"/>
          <w:color w:val="auto"/>
        </w:rPr>
      </w:pPr>
    </w:p>
    <w:p>
      <w:pPr>
        <w:ind w:left="640" w:right="3659"/>
        <w:spacing w:after="0" w:line="254" w:lineRule="auto"/>
        <w:rPr>
          <w:sz w:val="20"/>
          <w:szCs w:val="20"/>
          <w:color w:val="auto"/>
        </w:rPr>
      </w:pPr>
      <w:r>
        <w:rPr>
          <w:rFonts w:ascii="Courier New" w:cs="Courier New" w:eastAsia="Courier New" w:hAnsi="Courier New"/>
          <w:sz w:val="13"/>
          <w:szCs w:val="13"/>
          <w:color w:val="auto"/>
        </w:rPr>
        <w:t>The Company filed a Form 8-K on December 9, 2002, announcing its intention to acquire SKF's manufacturing operation in Veenendaal, The Netherlands.</w:t>
      </w:r>
    </w:p>
    <w:p>
      <w:pPr>
        <w:spacing w:after="0" w:line="151" w:lineRule="exact"/>
        <w:rPr>
          <w:sz w:val="20"/>
          <w:szCs w:val="20"/>
          <w:color w:val="auto"/>
        </w:rPr>
      </w:pPr>
    </w:p>
    <w:p>
      <w:pPr>
        <w:ind w:left="640" w:right="3659"/>
        <w:spacing w:after="0" w:line="253" w:lineRule="auto"/>
        <w:rPr>
          <w:sz w:val="20"/>
          <w:szCs w:val="20"/>
          <w:color w:val="auto"/>
        </w:rPr>
      </w:pPr>
      <w:r>
        <w:rPr>
          <w:rFonts w:ascii="Courier New" w:cs="Courier New" w:eastAsia="Courier New" w:hAnsi="Courier New"/>
          <w:sz w:val="13"/>
          <w:szCs w:val="13"/>
          <w:color w:val="auto"/>
        </w:rPr>
        <w:t>The Company filed a Form 8-K on December 20, 2002, announcing it purchased FAG Kugelfischer George-Schaefer AG's interest in NN Euroball, ApS, a Joint venture company.</w:t>
      </w:r>
    </w:p>
    <w:p>
      <w:pPr>
        <w:sectPr>
          <w:pgSz w:w="11900" w:h="16838" w:orient="portrait"/>
          <w:cols w:equalWidth="0" w:num="1">
            <w:col w:w="10239"/>
          </w:cols>
          <w:pgMar w:left="220" w:top="296" w:right="1440" w:bottom="0" w:gutter="0" w:footer="0" w:header="0"/>
        </w:sectPr>
      </w:pPr>
    </w:p>
    <w:bookmarkStart w:id="39" w:name="page40"/>
    <w:bookmarkEnd w:id="39"/>
    <w:p>
      <w:pPr>
        <w:ind w:left="640" w:hanging="638"/>
        <w:spacing w:after="0"/>
        <w:tabs>
          <w:tab w:leader="none" w:pos="640" w:val="left"/>
        </w:tabs>
        <w:numPr>
          <w:ilvl w:val="0"/>
          <w:numId w:val="25"/>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Exhibits:  See Index to Exhibits (attached hereto).</w:t>
      </w:r>
    </w:p>
    <w:p>
      <w:pPr>
        <w:spacing w:after="0" w:line="161" w:lineRule="exact"/>
        <w:rPr>
          <w:rFonts w:ascii="Courier New" w:cs="Courier New" w:eastAsia="Courier New" w:hAnsi="Courier New"/>
          <w:sz w:val="13"/>
          <w:szCs w:val="13"/>
          <w:color w:val="auto"/>
        </w:rPr>
      </w:pPr>
    </w:p>
    <w:p>
      <w:pPr>
        <w:ind w:left="640" w:right="3819"/>
        <w:spacing w:after="0" w:line="254"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 will provide without charge to any person, upon the written request of such person, a copy of any of the Exhibits to this Form 10-K.</w:t>
      </w:r>
    </w:p>
    <w:p>
      <w:pPr>
        <w:spacing w:after="0" w:line="200" w:lineRule="exact"/>
        <w:rPr>
          <w:sz w:val="20"/>
          <w:szCs w:val="20"/>
          <w:color w:val="auto"/>
        </w:rPr>
      </w:pPr>
    </w:p>
    <w:p>
      <w:pPr>
        <w:spacing w:after="0" w:line="259"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SIGNATURES</w:t>
      </w:r>
    </w:p>
    <w:p>
      <w:pPr>
        <w:spacing w:after="0" w:line="161" w:lineRule="exact"/>
        <w:rPr>
          <w:sz w:val="20"/>
          <w:szCs w:val="20"/>
          <w:color w:val="auto"/>
        </w:rPr>
      </w:pPr>
    </w:p>
    <w:p>
      <w:pPr>
        <w:ind w:right="3819" w:firstLine="722"/>
        <w:spacing w:after="0" w:line="253" w:lineRule="auto"/>
        <w:rPr>
          <w:sz w:val="20"/>
          <w:szCs w:val="20"/>
          <w:color w:val="auto"/>
        </w:rPr>
      </w:pPr>
      <w:r>
        <w:rPr>
          <w:rFonts w:ascii="Courier New" w:cs="Courier New" w:eastAsia="Courier New" w:hAnsi="Courier New"/>
          <w:sz w:val="13"/>
          <w:szCs w:val="13"/>
          <w:color w:val="auto"/>
        </w:rPr>
        <w:t>Pursuant to the requirements of Section 13 or 15(d) of the Securities Exchange Act of 1934, the registrant has duly caused this report to be signed on its behalf by the undersigned, thereunto duly authorized.</w:t>
      </w:r>
    </w:p>
    <w:p>
      <w:pPr>
        <w:sectPr>
          <w:pgSz w:w="11900" w:h="16838" w:orient="portrait"/>
          <w:cols w:equalWidth="0" w:num="1">
            <w:col w:w="10239"/>
          </w:cols>
          <w:pgMar w:left="220" w:top="296" w:right="1440" w:bottom="0" w:gutter="0" w:footer="0" w:header="0"/>
        </w:sectPr>
      </w:pPr>
    </w:p>
    <w:p>
      <w:pPr>
        <w:spacing w:after="0" w:line="200" w:lineRule="exact"/>
        <w:rPr>
          <w:sz w:val="20"/>
          <w:szCs w:val="20"/>
          <w:color w:val="auto"/>
        </w:rPr>
      </w:pPr>
    </w:p>
    <w:p>
      <w:pPr>
        <w:spacing w:after="0" w:line="260" w:lineRule="exact"/>
        <w:rPr>
          <w:sz w:val="20"/>
          <w:szCs w:val="20"/>
          <w:color w:val="auto"/>
        </w:rPr>
      </w:pPr>
    </w:p>
    <w:p>
      <w:pPr>
        <w:ind w:left="2400"/>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ind w:left="820"/>
        <w:spacing w:after="0"/>
        <w:rPr>
          <w:sz w:val="20"/>
          <w:szCs w:val="20"/>
          <w:color w:val="auto"/>
        </w:rPr>
      </w:pPr>
      <w:r>
        <w:rPr>
          <w:rFonts w:ascii="Courier New" w:cs="Courier New" w:eastAsia="Courier New" w:hAnsi="Courier New"/>
          <w:sz w:val="13"/>
          <w:szCs w:val="13"/>
          <w:color w:val="auto"/>
        </w:rPr>
        <w:t>/S/ RODERICK R. BATY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7" w:lineRule="exact"/>
        <w:rPr>
          <w:sz w:val="20"/>
          <w:szCs w:val="20"/>
          <w:color w:val="auto"/>
        </w:rPr>
      </w:pPr>
    </w:p>
    <w:p>
      <w:pPr>
        <w:ind w:left="820"/>
        <w:spacing w:after="0"/>
        <w:rPr>
          <w:sz w:val="20"/>
          <w:szCs w:val="20"/>
          <w:color w:val="auto"/>
        </w:rPr>
      </w:pPr>
      <w:r>
        <w:rPr>
          <w:rFonts w:ascii="Courier New" w:cs="Courier New" w:eastAsia="Courier New" w:hAnsi="Courier New"/>
          <w:sz w:val="13"/>
          <w:szCs w:val="13"/>
          <w:color w:val="auto"/>
        </w:rPr>
        <w:t>Roderick R. Baty</w:t>
      </w:r>
    </w:p>
    <w:p>
      <w:pPr>
        <w:spacing w:after="0" w:line="7" w:lineRule="exact"/>
        <w:rPr>
          <w:sz w:val="20"/>
          <w:szCs w:val="20"/>
          <w:color w:val="auto"/>
        </w:rPr>
      </w:pPr>
    </w:p>
    <w:p>
      <w:pPr>
        <w:ind w:left="820"/>
        <w:spacing w:after="0"/>
        <w:rPr>
          <w:sz w:val="20"/>
          <w:szCs w:val="20"/>
          <w:color w:val="auto"/>
        </w:rPr>
      </w:pPr>
      <w:r>
        <w:rPr>
          <w:rFonts w:ascii="Courier New" w:cs="Courier New" w:eastAsia="Courier New" w:hAnsi="Courier New"/>
          <w:sz w:val="13"/>
          <w:szCs w:val="13"/>
          <w:i w:val="1"/>
          <w:iCs w:val="1"/>
          <w:color w:val="auto"/>
        </w:rPr>
        <w:t>Chairman and Director</w:t>
      </w:r>
    </w:p>
    <w:p>
      <w:pPr>
        <w:spacing w:after="0" w:line="161" w:lineRule="exact"/>
        <w:rPr>
          <w:sz w:val="20"/>
          <w:szCs w:val="20"/>
          <w:color w:val="auto"/>
        </w:rPr>
      </w:pPr>
    </w:p>
    <w:p>
      <w:pPr>
        <w:sectPr>
          <w:pgSz w:w="11900" w:h="16838" w:orient="portrait"/>
          <w:cols w:equalWidth="0" w:num="2">
            <w:col w:w="2640" w:space="480"/>
            <w:col w:w="7119"/>
          </w:cols>
          <w:pgMar w:left="220" w:top="296" w:right="1440" w:bottom="0" w:gutter="0" w:footer="0" w:header="0"/>
          <w:type w:val="continuous"/>
        </w:sectPr>
      </w:pPr>
    </w:p>
    <w:p>
      <w:pPr>
        <w:ind w:left="3940"/>
        <w:spacing w:after="0"/>
        <w:rPr>
          <w:sz w:val="20"/>
          <w:szCs w:val="20"/>
          <w:color w:val="auto"/>
        </w:rPr>
      </w:pPr>
      <w:r>
        <w:rPr>
          <w:rFonts w:ascii="Courier New" w:cs="Courier New" w:eastAsia="Courier New" w:hAnsi="Courier New"/>
          <w:sz w:val="13"/>
          <w:szCs w:val="13"/>
          <w:color w:val="auto"/>
        </w:rPr>
        <w:t>Dated: March 31, 2003</w:t>
      </w:r>
    </w:p>
    <w:p>
      <w:pPr>
        <w:sectPr>
          <w:pgSz w:w="11900" w:h="16838" w:orient="portrait"/>
          <w:cols w:equalWidth="0" w:num="1">
            <w:col w:w="10239"/>
          </w:cols>
          <w:pgMar w:left="220" w:top="296" w:right="1440" w:bottom="0" w:gutter="0" w:footer="0" w:header="0"/>
          <w:type w:val="continuous"/>
        </w:sectPr>
      </w:pPr>
    </w:p>
    <w:p>
      <w:pPr>
        <w:spacing w:after="0" w:line="161" w:lineRule="exact"/>
        <w:rPr>
          <w:sz w:val="20"/>
          <w:szCs w:val="20"/>
          <w:color w:val="auto"/>
        </w:rPr>
      </w:pPr>
    </w:p>
    <w:p>
      <w:pPr>
        <w:ind w:right="4059" w:firstLine="722"/>
        <w:spacing w:after="0" w:line="253" w:lineRule="auto"/>
        <w:rPr>
          <w:sz w:val="20"/>
          <w:szCs w:val="20"/>
          <w:color w:val="auto"/>
        </w:rPr>
      </w:pPr>
      <w:r>
        <w:rPr>
          <w:rFonts w:ascii="Courier New" w:cs="Courier New" w:eastAsia="Courier New" w:hAnsi="Courier New"/>
          <w:sz w:val="13"/>
          <w:szCs w:val="13"/>
          <w:color w:val="auto"/>
        </w:rPr>
        <w:t>Pursuant to the requirements of the Securities Exchange Act of 1934, this report has been signed below by the following persons on behalf of the Registrant and in the capacities and on the date indicated.</w:t>
      </w:r>
    </w:p>
    <w:p>
      <w:pPr>
        <w:sectPr>
          <w:pgSz w:w="11900" w:h="16838" w:orient="portrait"/>
          <w:cols w:equalWidth="0" w:num="1">
            <w:col w:w="10239"/>
          </w:cols>
          <w:pgMar w:left="220" w:top="296" w:right="1440" w:bottom="0" w:gutter="0" w:footer="0" w:header="0"/>
          <w:type w:val="continuous"/>
        </w:sectPr>
      </w:pPr>
    </w:p>
    <w:p>
      <w:pPr>
        <w:spacing w:after="0" w:line="151" w:lineRule="exact"/>
        <w:rPr>
          <w:sz w:val="20"/>
          <w:szCs w:val="20"/>
          <w:color w:val="auto"/>
        </w:rPr>
      </w:pPr>
    </w:p>
    <w:p>
      <w:pPr>
        <w:ind w:left="1200"/>
        <w:spacing w:after="0"/>
        <w:tabs>
          <w:tab w:leader="none" w:pos="5520" w:val="left"/>
        </w:tabs>
        <w:rPr>
          <w:sz w:val="20"/>
          <w:szCs w:val="20"/>
          <w:color w:val="auto"/>
        </w:rPr>
      </w:pPr>
      <w:r>
        <w:rPr>
          <w:rFonts w:ascii="Courier New" w:cs="Courier New" w:eastAsia="Courier New" w:hAnsi="Courier New"/>
          <w:sz w:val="13"/>
          <w:szCs w:val="13"/>
          <w:color w:val="auto"/>
        </w:rPr>
        <w:t>Name and Signature</w:t>
      </w:r>
      <w:r>
        <w:rPr>
          <w:sz w:val="20"/>
          <w:szCs w:val="20"/>
          <w:color w:val="auto"/>
        </w:rPr>
        <w:tab/>
      </w:r>
      <w:r>
        <w:rPr>
          <w:rFonts w:ascii="Courier New" w:cs="Courier New" w:eastAsia="Courier New" w:hAnsi="Courier New"/>
          <w:sz w:val="13"/>
          <w:szCs w:val="13"/>
          <w:color w:val="auto"/>
        </w:rPr>
        <w:t>Title</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3"/>
          <w:szCs w:val="13"/>
          <w:color w:val="auto"/>
        </w:rPr>
        <w:t>Chairman, Chief Executive Officer,</w:t>
      </w:r>
    </w:p>
    <w:p>
      <w:pPr>
        <w:spacing w:after="0" w:line="7" w:lineRule="exact"/>
        <w:rPr>
          <w:sz w:val="20"/>
          <w:szCs w:val="20"/>
          <w:color w:val="auto"/>
        </w:rPr>
      </w:pPr>
    </w:p>
    <w:p>
      <w:pPr>
        <w:ind w:left="4260"/>
        <w:spacing w:after="0"/>
        <w:rPr>
          <w:sz w:val="20"/>
          <w:szCs w:val="20"/>
          <w:color w:val="auto"/>
        </w:rPr>
      </w:pPr>
      <w:r>
        <w:rPr>
          <w:rFonts w:ascii="Courier New" w:cs="Courier New" w:eastAsia="Courier New" w:hAnsi="Courier New"/>
          <w:sz w:val="13"/>
          <w:szCs w:val="13"/>
          <w:color w:val="auto"/>
        </w:rPr>
        <w:t>President and Director (Principal</w:t>
      </w:r>
    </w:p>
    <w:p>
      <w:pPr>
        <w:spacing w:after="0" w:line="7" w:lineRule="exact"/>
        <w:rPr>
          <w:sz w:val="20"/>
          <w:szCs w:val="20"/>
          <w:color w:val="auto"/>
        </w:rPr>
      </w:pPr>
    </w:p>
    <w:p>
      <w:pPr>
        <w:ind w:left="1120"/>
        <w:spacing w:after="0"/>
        <w:tabs>
          <w:tab w:leader="none" w:pos="4240" w:val="left"/>
        </w:tabs>
        <w:rPr>
          <w:sz w:val="20"/>
          <w:szCs w:val="20"/>
          <w:color w:val="auto"/>
        </w:rPr>
      </w:pPr>
      <w:r>
        <w:rPr>
          <w:rFonts w:ascii="Courier New" w:cs="Courier New" w:eastAsia="Courier New" w:hAnsi="Courier New"/>
          <w:sz w:val="13"/>
          <w:szCs w:val="13"/>
          <w:color w:val="auto"/>
        </w:rPr>
        <w:t>/S/ RODERICK R. BATY</w:t>
      </w:r>
      <w:r>
        <w:rPr>
          <w:sz w:val="20"/>
          <w:szCs w:val="20"/>
          <w:color w:val="auto"/>
        </w:rPr>
        <w:tab/>
      </w:r>
      <w:r>
        <w:rPr>
          <w:rFonts w:ascii="Courier New" w:cs="Courier New" w:eastAsia="Courier New" w:hAnsi="Courier New"/>
          <w:sz w:val="13"/>
          <w:szCs w:val="13"/>
          <w:color w:val="auto"/>
        </w:rPr>
        <w:t>Executive Officer)</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Date</w:t>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March 31, 2003</w:t>
      </w:r>
    </w:p>
    <w:p>
      <w:pPr>
        <w:spacing w:after="0" w:line="7" w:lineRule="exact"/>
        <w:rPr>
          <w:sz w:val="20"/>
          <w:szCs w:val="20"/>
          <w:color w:val="auto"/>
        </w:rPr>
      </w:pPr>
    </w:p>
    <w:p>
      <w:pPr>
        <w:sectPr>
          <w:pgSz w:w="11900" w:h="16838" w:orient="portrait"/>
          <w:cols w:equalWidth="0" w:num="2">
            <w:col w:w="6900" w:space="640"/>
            <w:col w:w="2699"/>
          </w:cols>
          <w:pgMar w:left="220" w:top="296" w:right="1440" w:bottom="0" w:gutter="0" w:footer="0" w:header="0"/>
          <w:type w:val="continuous"/>
        </w:sectPr>
      </w:pPr>
    </w:p>
    <w:p>
      <w:pPr>
        <w:ind w:left="160" w:hanging="158"/>
        <w:spacing w:after="0"/>
        <w:tabs>
          <w:tab w:leader="none" w:pos="160" w:val="left"/>
        </w:tabs>
        <w:numPr>
          <w:ilvl w:val="0"/>
          <w:numId w:val="26"/>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6" w:lineRule="exact"/>
        <w:rPr>
          <w:rFonts w:ascii="Courier New" w:cs="Courier New" w:eastAsia="Courier New" w:hAnsi="Courier New"/>
          <w:sz w:val="13"/>
          <w:szCs w:val="13"/>
          <w:color w:val="auto"/>
        </w:rPr>
      </w:pPr>
    </w:p>
    <w:p>
      <w:pPr>
        <w:ind w:left="1280"/>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Roderick R. Baty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00" w:type="dxa"/>
            <w:vAlign w:val="bottom"/>
          </w:tcPr>
          <w:p>
            <w:pPr>
              <w:spacing w:after="0"/>
              <w:rPr>
                <w:sz w:val="12"/>
                <w:szCs w:val="12"/>
                <w:color w:val="auto"/>
              </w:rPr>
            </w:pPr>
          </w:p>
        </w:tc>
        <w:tc>
          <w:tcPr>
            <w:tcW w:w="3320" w:type="dxa"/>
            <w:vAlign w:val="bottom"/>
          </w:tcPr>
          <w:p>
            <w:pPr>
              <w:spacing w:after="0"/>
              <w:rPr>
                <w:sz w:val="20"/>
                <w:szCs w:val="20"/>
                <w:color w:val="auto"/>
              </w:rPr>
            </w:pPr>
            <w:r>
              <w:rPr>
                <w:rFonts w:ascii="Courier New" w:cs="Courier New" w:eastAsia="Courier New" w:hAnsi="Courier New"/>
                <w:sz w:val="13"/>
                <w:szCs w:val="13"/>
                <w:color w:val="auto"/>
              </w:rPr>
              <w:t>Treasurer, Secretary and Chief</w:t>
            </w:r>
          </w:p>
        </w:tc>
        <w:tc>
          <w:tcPr>
            <w:tcW w:w="1240" w:type="dxa"/>
            <w:vAlign w:val="bottom"/>
          </w:tcPr>
          <w:p>
            <w:pPr>
              <w:spacing w:after="0"/>
              <w:rPr>
                <w:sz w:val="12"/>
                <w:szCs w:val="12"/>
                <w:color w:val="auto"/>
              </w:rPr>
            </w:pPr>
          </w:p>
        </w:tc>
      </w:tr>
      <w:tr>
        <w:trPr>
          <w:trHeight w:val="154"/>
        </w:trPr>
        <w:tc>
          <w:tcPr>
            <w:tcW w:w="4100" w:type="dxa"/>
            <w:vAlign w:val="bottom"/>
          </w:tcPr>
          <w:p>
            <w:pPr>
              <w:jc w:val="center"/>
              <w:ind w:right="113"/>
              <w:spacing w:after="0"/>
              <w:rPr>
                <w:sz w:val="20"/>
                <w:szCs w:val="20"/>
                <w:color w:val="auto"/>
              </w:rPr>
            </w:pPr>
            <w:r>
              <w:rPr>
                <w:rFonts w:ascii="Courier New" w:cs="Courier New" w:eastAsia="Courier New" w:hAnsi="Courier New"/>
                <w:sz w:val="13"/>
                <w:szCs w:val="13"/>
                <w:color w:val="auto"/>
              </w:rPr>
              <w:t>/S/ WILLIAM C. KELLY, JR.</w:t>
            </w:r>
          </w:p>
        </w:tc>
        <w:tc>
          <w:tcPr>
            <w:tcW w:w="3320" w:type="dxa"/>
            <w:vAlign w:val="bottom"/>
          </w:tcPr>
          <w:p>
            <w:pPr>
              <w:ind w:left="160"/>
              <w:spacing w:after="0"/>
              <w:rPr>
                <w:sz w:val="20"/>
                <w:szCs w:val="20"/>
                <w:color w:val="auto"/>
              </w:rPr>
            </w:pPr>
            <w:r>
              <w:rPr>
                <w:rFonts w:ascii="Courier New" w:cs="Courier New" w:eastAsia="Courier New" w:hAnsi="Courier New"/>
                <w:sz w:val="13"/>
                <w:szCs w:val="13"/>
                <w:color w:val="auto"/>
              </w:rPr>
              <w:t>Administrative Officer (Principal</w:t>
            </w:r>
          </w:p>
        </w:tc>
        <w:tc>
          <w:tcPr>
            <w:tcW w:w="1240" w:type="dxa"/>
            <w:vAlign w:val="bottom"/>
          </w:tcPr>
          <w:p>
            <w:pPr>
              <w:ind w:left="120"/>
              <w:spacing w:after="0"/>
              <w:rPr>
                <w:sz w:val="20"/>
                <w:szCs w:val="20"/>
                <w:color w:val="auto"/>
              </w:rPr>
            </w:pPr>
            <w:r>
              <w:rPr>
                <w:rFonts w:ascii="Courier New" w:cs="Courier New" w:eastAsia="Courier New" w:hAnsi="Courier New"/>
                <w:sz w:val="13"/>
                <w:szCs w:val="13"/>
                <w:color w:val="auto"/>
              </w:rPr>
              <w:t>March 31, 2003</w:t>
            </w:r>
          </w:p>
        </w:tc>
      </w:tr>
      <w:tr>
        <w:trPr>
          <w:trHeight w:val="154"/>
        </w:trPr>
        <w:tc>
          <w:tcPr>
            <w:tcW w:w="4100" w:type="dxa"/>
            <w:vAlign w:val="bottom"/>
          </w:tcPr>
          <w:p>
            <w:pPr>
              <w:spacing w:after="0"/>
              <w:rPr>
                <w:sz w:val="20"/>
                <w:szCs w:val="20"/>
                <w:color w:val="auto"/>
              </w:rPr>
            </w:pPr>
            <w:r>
              <w:rPr>
                <w:rFonts w:ascii="Courier New" w:cs="Courier New" w:eastAsia="Courier New" w:hAnsi="Courier New"/>
                <w:sz w:val="13"/>
                <w:szCs w:val="13"/>
                <w:color w:val="auto"/>
              </w:rPr>
              <w:t>- --------------------------------------------------</w:t>
            </w:r>
          </w:p>
        </w:tc>
        <w:tc>
          <w:tcPr>
            <w:tcW w:w="3320" w:type="dxa"/>
            <w:vAlign w:val="bottom"/>
          </w:tcPr>
          <w:p>
            <w:pPr>
              <w:ind w:left="320"/>
              <w:spacing w:after="0"/>
              <w:rPr>
                <w:sz w:val="20"/>
                <w:szCs w:val="20"/>
                <w:color w:val="auto"/>
              </w:rPr>
            </w:pPr>
            <w:r>
              <w:rPr>
                <w:rFonts w:ascii="Courier New" w:cs="Courier New" w:eastAsia="Courier New" w:hAnsi="Courier New"/>
                <w:sz w:val="13"/>
                <w:szCs w:val="13"/>
                <w:color w:val="auto"/>
              </w:rPr>
              <w:t>Accounting Officer)</w:t>
            </w:r>
          </w:p>
        </w:tc>
        <w:tc>
          <w:tcPr>
            <w:tcW w:w="1240" w:type="dxa"/>
            <w:vAlign w:val="bottom"/>
          </w:tcPr>
          <w:p>
            <w:pPr>
              <w:spacing w:after="0"/>
              <w:rPr>
                <w:sz w:val="13"/>
                <w:szCs w:val="13"/>
                <w:color w:val="auto"/>
              </w:rPr>
            </w:pPr>
          </w:p>
        </w:tc>
      </w:tr>
      <w:tr>
        <w:trPr>
          <w:trHeight w:val="154"/>
        </w:trPr>
        <w:tc>
          <w:tcPr>
            <w:tcW w:w="4100" w:type="dxa"/>
            <w:vAlign w:val="bottom"/>
          </w:tcPr>
          <w:p>
            <w:pPr>
              <w:jc w:val="center"/>
              <w:ind w:right="113"/>
              <w:spacing w:after="0"/>
              <w:rPr>
                <w:sz w:val="20"/>
                <w:szCs w:val="20"/>
                <w:color w:val="auto"/>
              </w:rPr>
            </w:pPr>
            <w:r>
              <w:rPr>
                <w:rFonts w:ascii="Courier New" w:cs="Courier New" w:eastAsia="Courier New" w:hAnsi="Courier New"/>
                <w:sz w:val="13"/>
                <w:szCs w:val="13"/>
                <w:color w:val="auto"/>
              </w:rPr>
              <w:t>William C. Kelly, Jr.</w:t>
            </w:r>
          </w:p>
        </w:tc>
        <w:tc>
          <w:tcPr>
            <w:tcW w:w="33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308"/>
        </w:trPr>
        <w:tc>
          <w:tcPr>
            <w:tcW w:w="4100" w:type="dxa"/>
            <w:vAlign w:val="bottom"/>
          </w:tcPr>
          <w:p>
            <w:pPr>
              <w:spacing w:after="0"/>
              <w:rPr>
                <w:sz w:val="24"/>
                <w:szCs w:val="24"/>
                <w:color w:val="auto"/>
              </w:rPr>
            </w:pPr>
          </w:p>
        </w:tc>
        <w:tc>
          <w:tcPr>
            <w:tcW w:w="3320" w:type="dxa"/>
            <w:vAlign w:val="bottom"/>
          </w:tcPr>
          <w:p>
            <w:pPr>
              <w:spacing w:after="0"/>
              <w:rPr>
                <w:sz w:val="20"/>
                <w:szCs w:val="20"/>
                <w:color w:val="auto"/>
              </w:rPr>
            </w:pPr>
            <w:r>
              <w:rPr>
                <w:rFonts w:ascii="Courier New" w:cs="Courier New" w:eastAsia="Courier New" w:hAnsi="Courier New"/>
                <w:sz w:val="13"/>
                <w:szCs w:val="13"/>
                <w:color w:val="auto"/>
              </w:rPr>
              <w:t>Vice President - Corporate Development</w:t>
            </w:r>
          </w:p>
        </w:tc>
        <w:tc>
          <w:tcPr>
            <w:tcW w:w="1240" w:type="dxa"/>
            <w:vAlign w:val="bottom"/>
          </w:tcPr>
          <w:p>
            <w:pPr>
              <w:spacing w:after="0"/>
              <w:rPr>
                <w:sz w:val="24"/>
                <w:szCs w:val="24"/>
                <w:color w:val="auto"/>
              </w:rPr>
            </w:pPr>
          </w:p>
        </w:tc>
      </w:tr>
      <w:tr>
        <w:trPr>
          <w:trHeight w:val="154"/>
        </w:trPr>
        <w:tc>
          <w:tcPr>
            <w:tcW w:w="4100" w:type="dxa"/>
            <w:vAlign w:val="bottom"/>
          </w:tcPr>
          <w:p>
            <w:pPr>
              <w:spacing w:after="0"/>
              <w:rPr>
                <w:sz w:val="13"/>
                <w:szCs w:val="13"/>
                <w:color w:val="auto"/>
              </w:rPr>
            </w:pPr>
          </w:p>
        </w:tc>
        <w:tc>
          <w:tcPr>
            <w:tcW w:w="3320" w:type="dxa"/>
            <w:vAlign w:val="bottom"/>
          </w:tcPr>
          <w:p>
            <w:pPr>
              <w:ind w:left="160"/>
              <w:spacing w:after="0"/>
              <w:rPr>
                <w:sz w:val="20"/>
                <w:szCs w:val="20"/>
                <w:color w:val="auto"/>
              </w:rPr>
            </w:pPr>
            <w:r>
              <w:rPr>
                <w:rFonts w:ascii="Courier New" w:cs="Courier New" w:eastAsia="Courier New" w:hAnsi="Courier New"/>
                <w:sz w:val="13"/>
                <w:szCs w:val="13"/>
                <w:color w:val="auto"/>
              </w:rPr>
              <w:t>and Chief Financial Officer (Principal</w:t>
            </w:r>
          </w:p>
        </w:tc>
        <w:tc>
          <w:tcPr>
            <w:tcW w:w="1240" w:type="dxa"/>
            <w:vAlign w:val="bottom"/>
          </w:tcPr>
          <w:p>
            <w:pPr>
              <w:spacing w:after="0"/>
              <w:rPr>
                <w:sz w:val="13"/>
                <w:szCs w:val="13"/>
                <w:color w:val="auto"/>
              </w:rPr>
            </w:pPr>
          </w:p>
        </w:tc>
      </w:tr>
      <w:tr>
        <w:trPr>
          <w:trHeight w:val="154"/>
        </w:trPr>
        <w:tc>
          <w:tcPr>
            <w:tcW w:w="4100" w:type="dxa"/>
            <w:vAlign w:val="bottom"/>
          </w:tcPr>
          <w:p>
            <w:pPr>
              <w:jc w:val="center"/>
              <w:ind w:right="193"/>
              <w:spacing w:after="0"/>
              <w:rPr>
                <w:sz w:val="20"/>
                <w:szCs w:val="20"/>
                <w:color w:val="auto"/>
              </w:rPr>
            </w:pPr>
            <w:r>
              <w:rPr>
                <w:rFonts w:ascii="Courier New" w:cs="Courier New" w:eastAsia="Courier New" w:hAnsi="Courier New"/>
                <w:sz w:val="13"/>
                <w:szCs w:val="13"/>
                <w:color w:val="auto"/>
              </w:rPr>
              <w:t>/S/ DAVID L. DYCKMAN</w:t>
            </w:r>
          </w:p>
        </w:tc>
        <w:tc>
          <w:tcPr>
            <w:tcW w:w="3320" w:type="dxa"/>
            <w:vAlign w:val="bottom"/>
          </w:tcPr>
          <w:p>
            <w:pPr>
              <w:ind w:left="160"/>
              <w:spacing w:after="0"/>
              <w:rPr>
                <w:sz w:val="20"/>
                <w:szCs w:val="20"/>
                <w:color w:val="auto"/>
              </w:rPr>
            </w:pPr>
            <w:r>
              <w:rPr>
                <w:rFonts w:ascii="Courier New" w:cs="Courier New" w:eastAsia="Courier New" w:hAnsi="Courier New"/>
                <w:sz w:val="13"/>
                <w:szCs w:val="13"/>
                <w:color w:val="auto"/>
              </w:rPr>
              <w:t>Financial Officer)</w:t>
            </w:r>
          </w:p>
        </w:tc>
        <w:tc>
          <w:tcPr>
            <w:tcW w:w="1240" w:type="dxa"/>
            <w:vAlign w:val="bottom"/>
          </w:tcPr>
          <w:p>
            <w:pPr>
              <w:ind w:left="120"/>
              <w:spacing w:after="0"/>
              <w:rPr>
                <w:sz w:val="20"/>
                <w:szCs w:val="20"/>
                <w:color w:val="auto"/>
              </w:rPr>
            </w:pPr>
            <w:r>
              <w:rPr>
                <w:rFonts w:ascii="Courier New" w:cs="Courier New" w:eastAsia="Courier New" w:hAnsi="Courier New"/>
                <w:sz w:val="13"/>
                <w:szCs w:val="13"/>
                <w:color w:val="auto"/>
              </w:rPr>
              <w:t>March 31, 2003</w:t>
            </w:r>
          </w:p>
        </w:tc>
      </w:tr>
      <w:tr>
        <w:trPr>
          <w:trHeight w:val="154"/>
        </w:trPr>
        <w:tc>
          <w:tcPr>
            <w:tcW w:w="7420" w:type="dxa"/>
            <w:vAlign w:val="bottom"/>
            <w:gridSpan w:val="2"/>
          </w:tcPr>
          <w:p>
            <w:pPr>
              <w:spacing w:after="0"/>
              <w:rPr>
                <w:sz w:val="20"/>
                <w:szCs w:val="20"/>
                <w:color w:val="auto"/>
              </w:rPr>
            </w:pPr>
            <w:r>
              <w:rPr>
                <w:rFonts w:ascii="Courier New" w:cs="Courier New" w:eastAsia="Courier New" w:hAnsi="Courier New"/>
                <w:sz w:val="13"/>
                <w:szCs w:val="13"/>
                <w:color w:val="auto"/>
              </w:rPr>
              <w:t>- --------------------------------------------------</w:t>
            </w:r>
          </w:p>
        </w:tc>
        <w:tc>
          <w:tcPr>
            <w:tcW w:w="1240" w:type="dxa"/>
            <w:vAlign w:val="bottom"/>
          </w:tcPr>
          <w:p>
            <w:pPr>
              <w:spacing w:after="0"/>
              <w:rPr>
                <w:sz w:val="13"/>
                <w:szCs w:val="13"/>
                <w:color w:val="auto"/>
              </w:rPr>
            </w:pPr>
          </w:p>
        </w:tc>
      </w:tr>
      <w:tr>
        <w:trPr>
          <w:trHeight w:val="154"/>
        </w:trPr>
        <w:tc>
          <w:tcPr>
            <w:tcW w:w="4100" w:type="dxa"/>
            <w:vAlign w:val="bottom"/>
          </w:tcPr>
          <w:p>
            <w:pPr>
              <w:jc w:val="center"/>
              <w:ind w:right="193"/>
              <w:spacing w:after="0"/>
              <w:rPr>
                <w:sz w:val="20"/>
                <w:szCs w:val="20"/>
                <w:color w:val="auto"/>
              </w:rPr>
            </w:pPr>
            <w:r>
              <w:rPr>
                <w:rFonts w:ascii="Courier New" w:cs="Courier New" w:eastAsia="Courier New" w:hAnsi="Courier New"/>
                <w:sz w:val="13"/>
                <w:szCs w:val="13"/>
                <w:color w:val="auto"/>
              </w:rPr>
              <w:t>David L. Dyckman</w:t>
            </w:r>
          </w:p>
        </w:tc>
        <w:tc>
          <w:tcPr>
            <w:tcW w:w="33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308"/>
        </w:trPr>
        <w:tc>
          <w:tcPr>
            <w:tcW w:w="4100" w:type="dxa"/>
            <w:vAlign w:val="bottom"/>
          </w:tcPr>
          <w:p>
            <w:pPr>
              <w:jc w:val="center"/>
              <w:ind w:right="193"/>
              <w:spacing w:after="0"/>
              <w:rPr>
                <w:sz w:val="20"/>
                <w:szCs w:val="20"/>
                <w:color w:val="auto"/>
              </w:rPr>
            </w:pPr>
            <w:r>
              <w:rPr>
                <w:rFonts w:ascii="Courier New" w:cs="Courier New" w:eastAsia="Courier New" w:hAnsi="Courier New"/>
                <w:sz w:val="13"/>
                <w:szCs w:val="13"/>
                <w:color w:val="auto"/>
              </w:rPr>
              <w:t>/S/ RICHARD D. ENNEN</w:t>
            </w:r>
          </w:p>
        </w:tc>
        <w:tc>
          <w:tcPr>
            <w:tcW w:w="3320" w:type="dxa"/>
            <w:vAlign w:val="bottom"/>
          </w:tcPr>
          <w:p>
            <w:pPr>
              <w:spacing w:after="0"/>
              <w:rPr>
                <w:sz w:val="20"/>
                <w:szCs w:val="20"/>
                <w:color w:val="auto"/>
              </w:rPr>
            </w:pPr>
            <w:r>
              <w:rPr>
                <w:rFonts w:ascii="Courier New" w:cs="Courier New" w:eastAsia="Courier New" w:hAnsi="Courier New"/>
                <w:sz w:val="13"/>
                <w:szCs w:val="13"/>
                <w:color w:val="auto"/>
              </w:rPr>
              <w:t>Director</w:t>
            </w:r>
          </w:p>
        </w:tc>
        <w:tc>
          <w:tcPr>
            <w:tcW w:w="1240" w:type="dxa"/>
            <w:vAlign w:val="bottom"/>
          </w:tcPr>
          <w:p>
            <w:pPr>
              <w:ind w:left="120"/>
              <w:spacing w:after="0"/>
              <w:rPr>
                <w:sz w:val="20"/>
                <w:szCs w:val="20"/>
                <w:color w:val="auto"/>
              </w:rPr>
            </w:pPr>
            <w:r>
              <w:rPr>
                <w:rFonts w:ascii="Courier New" w:cs="Courier New" w:eastAsia="Courier New" w:hAnsi="Courier New"/>
                <w:sz w:val="13"/>
                <w:szCs w:val="13"/>
                <w:color w:val="auto"/>
              </w:rPr>
              <w:t>March 31, 2003</w:t>
            </w:r>
          </w:p>
        </w:tc>
      </w:tr>
      <w:tr>
        <w:trPr>
          <w:trHeight w:val="154"/>
        </w:trPr>
        <w:tc>
          <w:tcPr>
            <w:tcW w:w="7420" w:type="dxa"/>
            <w:vAlign w:val="bottom"/>
            <w:gridSpan w:val="2"/>
          </w:tcPr>
          <w:p>
            <w:pPr>
              <w:spacing w:after="0"/>
              <w:rPr>
                <w:sz w:val="20"/>
                <w:szCs w:val="20"/>
                <w:color w:val="auto"/>
              </w:rPr>
            </w:pPr>
            <w:r>
              <w:rPr>
                <w:rFonts w:ascii="Courier New" w:cs="Courier New" w:eastAsia="Courier New" w:hAnsi="Courier New"/>
                <w:sz w:val="13"/>
                <w:szCs w:val="13"/>
                <w:color w:val="auto"/>
              </w:rPr>
              <w:t>- --------------------------------------------------</w:t>
            </w:r>
          </w:p>
        </w:tc>
        <w:tc>
          <w:tcPr>
            <w:tcW w:w="1240" w:type="dxa"/>
            <w:vAlign w:val="bottom"/>
          </w:tcPr>
          <w:p>
            <w:pPr>
              <w:spacing w:after="0"/>
              <w:rPr>
                <w:sz w:val="13"/>
                <w:szCs w:val="13"/>
                <w:color w:val="auto"/>
              </w:rPr>
            </w:pPr>
          </w:p>
        </w:tc>
      </w:tr>
      <w:tr>
        <w:trPr>
          <w:trHeight w:val="154"/>
        </w:trPr>
        <w:tc>
          <w:tcPr>
            <w:tcW w:w="4100" w:type="dxa"/>
            <w:vAlign w:val="bottom"/>
          </w:tcPr>
          <w:p>
            <w:pPr>
              <w:jc w:val="center"/>
              <w:ind w:right="193"/>
              <w:spacing w:after="0"/>
              <w:rPr>
                <w:sz w:val="20"/>
                <w:szCs w:val="20"/>
                <w:color w:val="auto"/>
              </w:rPr>
            </w:pPr>
            <w:r>
              <w:rPr>
                <w:rFonts w:ascii="Courier New" w:cs="Courier New" w:eastAsia="Courier New" w:hAnsi="Courier New"/>
                <w:sz w:val="13"/>
                <w:szCs w:val="13"/>
                <w:color w:val="auto"/>
              </w:rPr>
              <w:t>Richard D. Ennen</w:t>
            </w:r>
          </w:p>
        </w:tc>
        <w:tc>
          <w:tcPr>
            <w:tcW w:w="33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308"/>
        </w:trPr>
        <w:tc>
          <w:tcPr>
            <w:tcW w:w="4100" w:type="dxa"/>
            <w:vAlign w:val="bottom"/>
          </w:tcPr>
          <w:p>
            <w:pPr>
              <w:jc w:val="center"/>
              <w:ind w:right="113"/>
              <w:spacing w:after="0"/>
              <w:rPr>
                <w:sz w:val="20"/>
                <w:szCs w:val="20"/>
                <w:color w:val="auto"/>
              </w:rPr>
            </w:pPr>
            <w:r>
              <w:rPr>
                <w:rFonts w:ascii="Courier New" w:cs="Courier New" w:eastAsia="Courier New" w:hAnsi="Courier New"/>
                <w:sz w:val="13"/>
                <w:szCs w:val="13"/>
                <w:color w:val="auto"/>
              </w:rPr>
              <w:t>/S/ MICHAEL D. HUFF</w:t>
            </w:r>
          </w:p>
        </w:tc>
        <w:tc>
          <w:tcPr>
            <w:tcW w:w="3320" w:type="dxa"/>
            <w:vAlign w:val="bottom"/>
          </w:tcPr>
          <w:p>
            <w:pPr>
              <w:spacing w:after="0"/>
              <w:rPr>
                <w:sz w:val="20"/>
                <w:szCs w:val="20"/>
                <w:color w:val="auto"/>
              </w:rPr>
            </w:pPr>
            <w:r>
              <w:rPr>
                <w:rFonts w:ascii="Courier New" w:cs="Courier New" w:eastAsia="Courier New" w:hAnsi="Courier New"/>
                <w:sz w:val="13"/>
                <w:szCs w:val="13"/>
                <w:color w:val="auto"/>
              </w:rPr>
              <w:t>Director</w:t>
            </w:r>
          </w:p>
        </w:tc>
        <w:tc>
          <w:tcPr>
            <w:tcW w:w="1240" w:type="dxa"/>
            <w:vAlign w:val="bottom"/>
          </w:tcPr>
          <w:p>
            <w:pPr>
              <w:ind w:left="120"/>
              <w:spacing w:after="0"/>
              <w:rPr>
                <w:sz w:val="20"/>
                <w:szCs w:val="20"/>
                <w:color w:val="auto"/>
              </w:rPr>
            </w:pPr>
            <w:r>
              <w:rPr>
                <w:rFonts w:ascii="Courier New" w:cs="Courier New" w:eastAsia="Courier New" w:hAnsi="Courier New"/>
                <w:sz w:val="13"/>
                <w:szCs w:val="13"/>
                <w:color w:val="auto"/>
              </w:rPr>
              <w:t>March 31, 2003</w:t>
            </w:r>
          </w:p>
        </w:tc>
      </w:tr>
      <w:tr>
        <w:trPr>
          <w:trHeight w:val="154"/>
        </w:trPr>
        <w:tc>
          <w:tcPr>
            <w:tcW w:w="7420" w:type="dxa"/>
            <w:vAlign w:val="bottom"/>
            <w:gridSpan w:val="2"/>
          </w:tcPr>
          <w:p>
            <w:pPr>
              <w:spacing w:after="0"/>
              <w:rPr>
                <w:sz w:val="20"/>
                <w:szCs w:val="20"/>
                <w:color w:val="auto"/>
              </w:rPr>
            </w:pPr>
            <w:r>
              <w:rPr>
                <w:rFonts w:ascii="Courier New" w:cs="Courier New" w:eastAsia="Courier New" w:hAnsi="Courier New"/>
                <w:sz w:val="13"/>
                <w:szCs w:val="13"/>
                <w:color w:val="auto"/>
              </w:rPr>
              <w:t>- --------------------------------------------------</w:t>
            </w:r>
          </w:p>
        </w:tc>
        <w:tc>
          <w:tcPr>
            <w:tcW w:w="1240" w:type="dxa"/>
            <w:vAlign w:val="bottom"/>
          </w:tcPr>
          <w:p>
            <w:pPr>
              <w:spacing w:after="0"/>
              <w:rPr>
                <w:sz w:val="13"/>
                <w:szCs w:val="13"/>
                <w:color w:val="auto"/>
              </w:rPr>
            </w:pPr>
          </w:p>
        </w:tc>
      </w:tr>
      <w:tr>
        <w:trPr>
          <w:trHeight w:val="154"/>
        </w:trPr>
        <w:tc>
          <w:tcPr>
            <w:tcW w:w="4100" w:type="dxa"/>
            <w:vAlign w:val="bottom"/>
          </w:tcPr>
          <w:p>
            <w:pPr>
              <w:jc w:val="center"/>
              <w:ind w:right="113"/>
              <w:spacing w:after="0"/>
              <w:rPr>
                <w:sz w:val="20"/>
                <w:szCs w:val="20"/>
                <w:color w:val="auto"/>
              </w:rPr>
            </w:pPr>
            <w:r>
              <w:rPr>
                <w:rFonts w:ascii="Courier New" w:cs="Courier New" w:eastAsia="Courier New" w:hAnsi="Courier New"/>
                <w:sz w:val="13"/>
                <w:szCs w:val="13"/>
                <w:color w:val="auto"/>
              </w:rPr>
              <w:t>Michael D. Huff</w:t>
            </w:r>
          </w:p>
        </w:tc>
        <w:tc>
          <w:tcPr>
            <w:tcW w:w="33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308"/>
        </w:trPr>
        <w:tc>
          <w:tcPr>
            <w:tcW w:w="4100" w:type="dxa"/>
            <w:vAlign w:val="bottom"/>
          </w:tcPr>
          <w:p>
            <w:pPr>
              <w:jc w:val="center"/>
              <w:ind w:right="193"/>
              <w:spacing w:after="0"/>
              <w:rPr>
                <w:sz w:val="20"/>
                <w:szCs w:val="20"/>
                <w:color w:val="auto"/>
              </w:rPr>
            </w:pPr>
            <w:r>
              <w:rPr>
                <w:rFonts w:ascii="Courier New" w:cs="Courier New" w:eastAsia="Courier New" w:hAnsi="Courier New"/>
                <w:sz w:val="13"/>
                <w:szCs w:val="13"/>
                <w:color w:val="auto"/>
              </w:rPr>
              <w:t>/S/ G. RONALD MORRIS</w:t>
            </w:r>
          </w:p>
        </w:tc>
        <w:tc>
          <w:tcPr>
            <w:tcW w:w="3320" w:type="dxa"/>
            <w:vAlign w:val="bottom"/>
          </w:tcPr>
          <w:p>
            <w:pPr>
              <w:spacing w:after="0"/>
              <w:rPr>
                <w:sz w:val="20"/>
                <w:szCs w:val="20"/>
                <w:color w:val="auto"/>
              </w:rPr>
            </w:pPr>
            <w:r>
              <w:rPr>
                <w:rFonts w:ascii="Courier New" w:cs="Courier New" w:eastAsia="Courier New" w:hAnsi="Courier New"/>
                <w:sz w:val="13"/>
                <w:szCs w:val="13"/>
                <w:color w:val="auto"/>
              </w:rPr>
              <w:t>Director</w:t>
            </w:r>
          </w:p>
        </w:tc>
        <w:tc>
          <w:tcPr>
            <w:tcW w:w="1240" w:type="dxa"/>
            <w:vAlign w:val="bottom"/>
          </w:tcPr>
          <w:p>
            <w:pPr>
              <w:ind w:left="120"/>
              <w:spacing w:after="0"/>
              <w:rPr>
                <w:sz w:val="20"/>
                <w:szCs w:val="20"/>
                <w:color w:val="auto"/>
              </w:rPr>
            </w:pPr>
            <w:r>
              <w:rPr>
                <w:rFonts w:ascii="Courier New" w:cs="Courier New" w:eastAsia="Courier New" w:hAnsi="Courier New"/>
                <w:sz w:val="13"/>
                <w:szCs w:val="13"/>
                <w:color w:val="auto"/>
              </w:rPr>
              <w:t>March 31, 2003</w:t>
            </w:r>
          </w:p>
        </w:tc>
      </w:tr>
      <w:tr>
        <w:trPr>
          <w:trHeight w:val="154"/>
        </w:trPr>
        <w:tc>
          <w:tcPr>
            <w:tcW w:w="7420" w:type="dxa"/>
            <w:vAlign w:val="bottom"/>
            <w:gridSpan w:val="2"/>
          </w:tcPr>
          <w:p>
            <w:pPr>
              <w:spacing w:after="0"/>
              <w:rPr>
                <w:sz w:val="20"/>
                <w:szCs w:val="20"/>
                <w:color w:val="auto"/>
              </w:rPr>
            </w:pPr>
            <w:r>
              <w:rPr>
                <w:rFonts w:ascii="Courier New" w:cs="Courier New" w:eastAsia="Courier New" w:hAnsi="Courier New"/>
                <w:sz w:val="13"/>
                <w:szCs w:val="13"/>
                <w:color w:val="auto"/>
              </w:rPr>
              <w:t>- --------------------------------------------------</w:t>
            </w:r>
          </w:p>
        </w:tc>
        <w:tc>
          <w:tcPr>
            <w:tcW w:w="1240" w:type="dxa"/>
            <w:vAlign w:val="bottom"/>
          </w:tcPr>
          <w:p>
            <w:pPr>
              <w:spacing w:after="0"/>
              <w:rPr>
                <w:sz w:val="13"/>
                <w:szCs w:val="13"/>
                <w:color w:val="auto"/>
              </w:rPr>
            </w:pPr>
          </w:p>
        </w:tc>
      </w:tr>
      <w:tr>
        <w:trPr>
          <w:trHeight w:val="154"/>
        </w:trPr>
        <w:tc>
          <w:tcPr>
            <w:tcW w:w="4100" w:type="dxa"/>
            <w:vAlign w:val="bottom"/>
          </w:tcPr>
          <w:p>
            <w:pPr>
              <w:jc w:val="center"/>
              <w:ind w:right="193"/>
              <w:spacing w:after="0"/>
              <w:rPr>
                <w:sz w:val="20"/>
                <w:szCs w:val="20"/>
                <w:color w:val="auto"/>
              </w:rPr>
            </w:pPr>
            <w:r>
              <w:rPr>
                <w:rFonts w:ascii="Courier New" w:cs="Courier New" w:eastAsia="Courier New" w:hAnsi="Courier New"/>
                <w:sz w:val="13"/>
                <w:szCs w:val="13"/>
                <w:color w:val="auto"/>
              </w:rPr>
              <w:t>G. Ronald Morris</w:t>
            </w:r>
          </w:p>
        </w:tc>
        <w:tc>
          <w:tcPr>
            <w:tcW w:w="33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308"/>
        </w:trPr>
        <w:tc>
          <w:tcPr>
            <w:tcW w:w="4100" w:type="dxa"/>
            <w:vAlign w:val="bottom"/>
          </w:tcPr>
          <w:p>
            <w:pPr>
              <w:jc w:val="center"/>
              <w:ind w:right="113"/>
              <w:spacing w:after="0"/>
              <w:rPr>
                <w:sz w:val="20"/>
                <w:szCs w:val="20"/>
                <w:color w:val="auto"/>
              </w:rPr>
            </w:pPr>
            <w:r>
              <w:rPr>
                <w:rFonts w:ascii="Courier New" w:cs="Courier New" w:eastAsia="Courier New" w:hAnsi="Courier New"/>
                <w:sz w:val="13"/>
                <w:szCs w:val="13"/>
                <w:color w:val="auto"/>
              </w:rPr>
              <w:t>/S/ MICHAEL E. WERNER</w:t>
            </w:r>
          </w:p>
        </w:tc>
        <w:tc>
          <w:tcPr>
            <w:tcW w:w="3320" w:type="dxa"/>
            <w:vAlign w:val="bottom"/>
          </w:tcPr>
          <w:p>
            <w:pPr>
              <w:spacing w:after="0"/>
              <w:rPr>
                <w:sz w:val="20"/>
                <w:szCs w:val="20"/>
                <w:color w:val="auto"/>
              </w:rPr>
            </w:pPr>
            <w:r>
              <w:rPr>
                <w:rFonts w:ascii="Courier New" w:cs="Courier New" w:eastAsia="Courier New" w:hAnsi="Courier New"/>
                <w:sz w:val="13"/>
                <w:szCs w:val="13"/>
                <w:color w:val="auto"/>
              </w:rPr>
              <w:t>Director</w:t>
            </w:r>
          </w:p>
        </w:tc>
        <w:tc>
          <w:tcPr>
            <w:tcW w:w="1240" w:type="dxa"/>
            <w:vAlign w:val="bottom"/>
          </w:tcPr>
          <w:p>
            <w:pPr>
              <w:ind w:left="120"/>
              <w:spacing w:after="0"/>
              <w:rPr>
                <w:sz w:val="20"/>
                <w:szCs w:val="20"/>
                <w:color w:val="auto"/>
              </w:rPr>
            </w:pPr>
            <w:r>
              <w:rPr>
                <w:rFonts w:ascii="Courier New" w:cs="Courier New" w:eastAsia="Courier New" w:hAnsi="Courier New"/>
                <w:sz w:val="13"/>
                <w:szCs w:val="13"/>
                <w:color w:val="auto"/>
              </w:rPr>
              <w:t>March 31, 2003</w:t>
            </w:r>
          </w:p>
        </w:tc>
      </w:tr>
      <w:tr>
        <w:trPr>
          <w:trHeight w:val="154"/>
        </w:trPr>
        <w:tc>
          <w:tcPr>
            <w:tcW w:w="7420" w:type="dxa"/>
            <w:vAlign w:val="bottom"/>
            <w:gridSpan w:val="2"/>
          </w:tcPr>
          <w:p>
            <w:pPr>
              <w:spacing w:after="0"/>
              <w:rPr>
                <w:sz w:val="20"/>
                <w:szCs w:val="20"/>
                <w:color w:val="auto"/>
              </w:rPr>
            </w:pPr>
            <w:r>
              <w:rPr>
                <w:rFonts w:ascii="Courier New" w:cs="Courier New" w:eastAsia="Courier New" w:hAnsi="Courier New"/>
                <w:sz w:val="13"/>
                <w:szCs w:val="13"/>
                <w:color w:val="auto"/>
              </w:rPr>
              <w:t>- --------------------------------------------------</w:t>
            </w:r>
          </w:p>
        </w:tc>
        <w:tc>
          <w:tcPr>
            <w:tcW w:w="1240" w:type="dxa"/>
            <w:vAlign w:val="bottom"/>
          </w:tcPr>
          <w:p>
            <w:pPr>
              <w:spacing w:after="0"/>
              <w:rPr>
                <w:sz w:val="13"/>
                <w:szCs w:val="13"/>
                <w:color w:val="auto"/>
              </w:rPr>
            </w:pPr>
          </w:p>
        </w:tc>
      </w:tr>
      <w:tr>
        <w:trPr>
          <w:trHeight w:val="154"/>
        </w:trPr>
        <w:tc>
          <w:tcPr>
            <w:tcW w:w="4100" w:type="dxa"/>
            <w:vAlign w:val="bottom"/>
          </w:tcPr>
          <w:p>
            <w:pPr>
              <w:jc w:val="center"/>
              <w:ind w:right="113"/>
              <w:spacing w:after="0"/>
              <w:rPr>
                <w:sz w:val="20"/>
                <w:szCs w:val="20"/>
                <w:color w:val="auto"/>
              </w:rPr>
            </w:pPr>
            <w:r>
              <w:rPr>
                <w:rFonts w:ascii="Courier New" w:cs="Courier New" w:eastAsia="Courier New" w:hAnsi="Courier New"/>
                <w:sz w:val="13"/>
                <w:szCs w:val="13"/>
                <w:color w:val="auto"/>
              </w:rPr>
              <w:t>Michael E. Werner</w:t>
            </w:r>
          </w:p>
        </w:tc>
        <w:tc>
          <w:tcPr>
            <w:tcW w:w="33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308"/>
        </w:trPr>
        <w:tc>
          <w:tcPr>
            <w:tcW w:w="4100" w:type="dxa"/>
            <w:vAlign w:val="bottom"/>
          </w:tcPr>
          <w:p>
            <w:pPr>
              <w:jc w:val="center"/>
              <w:ind w:right="113"/>
              <w:spacing w:after="0"/>
              <w:rPr>
                <w:sz w:val="20"/>
                <w:szCs w:val="20"/>
                <w:color w:val="auto"/>
              </w:rPr>
            </w:pPr>
            <w:r>
              <w:rPr>
                <w:rFonts w:ascii="Courier New" w:cs="Courier New" w:eastAsia="Courier New" w:hAnsi="Courier New"/>
                <w:sz w:val="13"/>
                <w:szCs w:val="13"/>
                <w:color w:val="auto"/>
              </w:rPr>
              <w:t>/S/ STEVEN T. WARSHAW</w:t>
            </w:r>
          </w:p>
        </w:tc>
        <w:tc>
          <w:tcPr>
            <w:tcW w:w="3320" w:type="dxa"/>
            <w:vAlign w:val="bottom"/>
          </w:tcPr>
          <w:p>
            <w:pPr>
              <w:spacing w:after="0"/>
              <w:rPr>
                <w:sz w:val="20"/>
                <w:szCs w:val="20"/>
                <w:color w:val="auto"/>
              </w:rPr>
            </w:pPr>
            <w:r>
              <w:rPr>
                <w:rFonts w:ascii="Courier New" w:cs="Courier New" w:eastAsia="Courier New" w:hAnsi="Courier New"/>
                <w:sz w:val="13"/>
                <w:szCs w:val="13"/>
                <w:color w:val="auto"/>
              </w:rPr>
              <w:t>Director</w:t>
            </w:r>
          </w:p>
        </w:tc>
        <w:tc>
          <w:tcPr>
            <w:tcW w:w="1240" w:type="dxa"/>
            <w:vAlign w:val="bottom"/>
          </w:tcPr>
          <w:p>
            <w:pPr>
              <w:ind w:left="120"/>
              <w:spacing w:after="0"/>
              <w:rPr>
                <w:sz w:val="20"/>
                <w:szCs w:val="20"/>
                <w:color w:val="auto"/>
              </w:rPr>
            </w:pPr>
            <w:r>
              <w:rPr>
                <w:rFonts w:ascii="Courier New" w:cs="Courier New" w:eastAsia="Courier New" w:hAnsi="Courier New"/>
                <w:sz w:val="13"/>
                <w:szCs w:val="13"/>
                <w:color w:val="auto"/>
              </w:rPr>
              <w:t>March 31, 2003</w:t>
            </w:r>
          </w:p>
        </w:tc>
      </w:tr>
      <w:tr>
        <w:trPr>
          <w:trHeight w:val="154"/>
        </w:trPr>
        <w:tc>
          <w:tcPr>
            <w:tcW w:w="7420" w:type="dxa"/>
            <w:vAlign w:val="bottom"/>
            <w:gridSpan w:val="2"/>
          </w:tcPr>
          <w:p>
            <w:pPr>
              <w:spacing w:after="0"/>
              <w:rPr>
                <w:sz w:val="20"/>
                <w:szCs w:val="20"/>
                <w:color w:val="auto"/>
              </w:rPr>
            </w:pPr>
            <w:r>
              <w:rPr>
                <w:rFonts w:ascii="Courier New" w:cs="Courier New" w:eastAsia="Courier New" w:hAnsi="Courier New"/>
                <w:sz w:val="13"/>
                <w:szCs w:val="13"/>
                <w:color w:val="auto"/>
              </w:rPr>
              <w:t>- --------------------------------------------------</w:t>
            </w:r>
          </w:p>
        </w:tc>
        <w:tc>
          <w:tcPr>
            <w:tcW w:w="1240" w:type="dxa"/>
            <w:vAlign w:val="bottom"/>
          </w:tcPr>
          <w:p>
            <w:pPr>
              <w:spacing w:after="0"/>
              <w:rPr>
                <w:sz w:val="13"/>
                <w:szCs w:val="13"/>
                <w:color w:val="auto"/>
              </w:rPr>
            </w:pPr>
          </w:p>
        </w:tc>
      </w:tr>
      <w:tr>
        <w:trPr>
          <w:trHeight w:val="154"/>
        </w:trPr>
        <w:tc>
          <w:tcPr>
            <w:tcW w:w="4100" w:type="dxa"/>
            <w:vAlign w:val="bottom"/>
          </w:tcPr>
          <w:p>
            <w:pPr>
              <w:jc w:val="center"/>
              <w:ind w:right="113"/>
              <w:spacing w:after="0"/>
              <w:rPr>
                <w:sz w:val="20"/>
                <w:szCs w:val="20"/>
                <w:color w:val="auto"/>
              </w:rPr>
            </w:pPr>
            <w:r>
              <w:rPr>
                <w:rFonts w:ascii="Courier New" w:cs="Courier New" w:eastAsia="Courier New" w:hAnsi="Courier New"/>
                <w:sz w:val="13"/>
                <w:szCs w:val="13"/>
                <w:color w:val="auto"/>
              </w:rPr>
              <w:t>Steven T. Warshaw</w:t>
            </w:r>
          </w:p>
        </w:tc>
        <w:tc>
          <w:tcPr>
            <w:tcW w:w="33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308"/>
        </w:trPr>
        <w:tc>
          <w:tcPr>
            <w:tcW w:w="4100" w:type="dxa"/>
            <w:vAlign w:val="bottom"/>
          </w:tcPr>
          <w:p>
            <w:pPr>
              <w:jc w:val="center"/>
              <w:ind w:right="193"/>
              <w:spacing w:after="0"/>
              <w:rPr>
                <w:sz w:val="20"/>
                <w:szCs w:val="20"/>
                <w:color w:val="auto"/>
              </w:rPr>
            </w:pPr>
            <w:r>
              <w:rPr>
                <w:rFonts w:ascii="Courier New" w:cs="Courier New" w:eastAsia="Courier New" w:hAnsi="Courier New"/>
                <w:sz w:val="13"/>
                <w:szCs w:val="13"/>
                <w:color w:val="auto"/>
              </w:rPr>
              <w:t>/S/ JAMES L. EARSLEY</w:t>
            </w:r>
          </w:p>
        </w:tc>
        <w:tc>
          <w:tcPr>
            <w:tcW w:w="3320" w:type="dxa"/>
            <w:vAlign w:val="bottom"/>
          </w:tcPr>
          <w:p>
            <w:pPr>
              <w:spacing w:after="0"/>
              <w:rPr>
                <w:sz w:val="20"/>
                <w:szCs w:val="20"/>
                <w:color w:val="auto"/>
              </w:rPr>
            </w:pPr>
            <w:r>
              <w:rPr>
                <w:rFonts w:ascii="Courier New" w:cs="Courier New" w:eastAsia="Courier New" w:hAnsi="Courier New"/>
                <w:sz w:val="13"/>
                <w:szCs w:val="13"/>
                <w:color w:val="auto"/>
              </w:rPr>
              <w:t>Director</w:t>
            </w:r>
          </w:p>
        </w:tc>
        <w:tc>
          <w:tcPr>
            <w:tcW w:w="1240" w:type="dxa"/>
            <w:vAlign w:val="bottom"/>
          </w:tcPr>
          <w:p>
            <w:pPr>
              <w:ind w:left="120"/>
              <w:spacing w:after="0"/>
              <w:rPr>
                <w:sz w:val="20"/>
                <w:szCs w:val="20"/>
                <w:color w:val="auto"/>
              </w:rPr>
            </w:pPr>
            <w:r>
              <w:rPr>
                <w:rFonts w:ascii="Courier New" w:cs="Courier New" w:eastAsia="Courier New" w:hAnsi="Courier New"/>
                <w:sz w:val="13"/>
                <w:szCs w:val="13"/>
                <w:color w:val="auto"/>
              </w:rPr>
              <w:t>March 31, 2003</w:t>
            </w:r>
          </w:p>
        </w:tc>
      </w:tr>
    </w:tbl>
    <w:p>
      <w:pPr>
        <w:spacing w:after="0" w:line="5" w:lineRule="exact"/>
        <w:rPr>
          <w:sz w:val="20"/>
          <w:szCs w:val="20"/>
          <w:color w:val="auto"/>
        </w:rPr>
      </w:pPr>
    </w:p>
    <w:p>
      <w:pPr>
        <w:ind w:left="160" w:hanging="158"/>
        <w:spacing w:after="0"/>
        <w:tabs>
          <w:tab w:leader="none" w:pos="160" w:val="left"/>
        </w:tabs>
        <w:numPr>
          <w:ilvl w:val="0"/>
          <w:numId w:val="27"/>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6" w:lineRule="exact"/>
        <w:rPr>
          <w:rFonts w:ascii="Courier New" w:cs="Courier New" w:eastAsia="Courier New" w:hAnsi="Courier New"/>
          <w:sz w:val="13"/>
          <w:szCs w:val="13"/>
          <w:color w:val="auto"/>
        </w:rPr>
      </w:pPr>
    </w:p>
    <w:p>
      <w:pPr>
        <w:ind w:left="1280"/>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James L. Earsley</w:t>
      </w:r>
    </w:p>
    <w:p>
      <w:pPr>
        <w:spacing w:after="0" w:line="200" w:lineRule="exact"/>
        <w:rPr>
          <w:sz w:val="20"/>
          <w:szCs w:val="20"/>
          <w:color w:val="auto"/>
        </w:rPr>
      </w:pPr>
    </w:p>
    <w:p>
      <w:pPr>
        <w:spacing w:after="0" w:line="270"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2640"/>
        <w:spacing w:after="0"/>
        <w:rPr>
          <w:sz w:val="20"/>
          <w:szCs w:val="20"/>
          <w:color w:val="auto"/>
        </w:rPr>
      </w:pPr>
      <w:r>
        <w:rPr>
          <w:rFonts w:ascii="Courier New" w:cs="Courier New" w:eastAsia="Courier New" w:hAnsi="Courier New"/>
          <w:sz w:val="13"/>
          <w:szCs w:val="13"/>
          <w:color w:val="auto"/>
        </w:rPr>
        <w:t>CERTIFICATIONS</w:t>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 Roderick R. Baty, certify that:</w:t>
      </w:r>
    </w:p>
    <w:p>
      <w:pPr>
        <w:spacing w:after="0" w:line="161" w:lineRule="exact"/>
        <w:rPr>
          <w:sz w:val="20"/>
          <w:szCs w:val="20"/>
          <w:color w:val="auto"/>
        </w:rPr>
      </w:pPr>
    </w:p>
    <w:p>
      <w:pPr>
        <w:ind w:left="400" w:hanging="398"/>
        <w:spacing w:after="0"/>
        <w:tabs>
          <w:tab w:leader="none" w:pos="400" w:val="left"/>
        </w:tabs>
        <w:numPr>
          <w:ilvl w:val="0"/>
          <w:numId w:val="28"/>
        </w:numPr>
        <w:rPr>
          <w:rFonts w:ascii="Courier New" w:cs="Courier New" w:eastAsia="Courier New" w:hAnsi="Courier New"/>
          <w:sz w:val="13"/>
          <w:szCs w:val="13"/>
          <w:color w:val="auto"/>
        </w:rPr>
      </w:pPr>
      <w:r>
        <w:rPr>
          <w:rFonts w:ascii="Courier New" w:cs="Courier New" w:eastAsia="Courier New" w:hAnsi="Courier New"/>
          <w:sz w:val="13"/>
          <w:szCs w:val="13"/>
          <w:color w:val="auto"/>
        </w:rPr>
        <w:t>I have reviewed this annual report on Form 10-K of NN, Inc.;</w:t>
      </w:r>
    </w:p>
    <w:p>
      <w:pPr>
        <w:spacing w:after="0" w:line="6" w:lineRule="exact"/>
        <w:rPr>
          <w:rFonts w:ascii="Courier New" w:cs="Courier New" w:eastAsia="Courier New" w:hAnsi="Courier New"/>
          <w:sz w:val="13"/>
          <w:szCs w:val="13"/>
          <w:color w:val="auto"/>
        </w:rPr>
      </w:pPr>
    </w:p>
    <w:p>
      <w:pPr>
        <w:ind w:left="400" w:right="3899" w:hanging="398"/>
        <w:spacing w:after="0" w:line="251" w:lineRule="auto"/>
        <w:tabs>
          <w:tab w:leader="none" w:pos="400" w:val="left"/>
        </w:tabs>
        <w:numPr>
          <w:ilvl w:val="0"/>
          <w:numId w:val="28"/>
        </w:numPr>
        <w:rPr>
          <w:rFonts w:ascii="Courier New" w:cs="Courier New" w:eastAsia="Courier New" w:hAnsi="Courier New"/>
          <w:sz w:val="13"/>
          <w:szCs w:val="13"/>
          <w:color w:val="auto"/>
        </w:rPr>
      </w:pPr>
      <w:r>
        <w:rPr>
          <w:rFonts w:ascii="Courier New" w:cs="Courier New" w:eastAsia="Courier New" w:hAnsi="Courier New"/>
          <w:sz w:val="13"/>
          <w:szCs w:val="13"/>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ind w:left="400" w:right="3819" w:hanging="398"/>
        <w:spacing w:after="0" w:line="251" w:lineRule="auto"/>
        <w:tabs>
          <w:tab w:leader="none" w:pos="400" w:val="left"/>
        </w:tabs>
        <w:numPr>
          <w:ilvl w:val="0"/>
          <w:numId w:val="28"/>
        </w:numPr>
        <w:rPr>
          <w:rFonts w:ascii="Courier New" w:cs="Courier New" w:eastAsia="Courier New" w:hAnsi="Courier New"/>
          <w:sz w:val="13"/>
          <w:szCs w:val="13"/>
          <w:color w:val="auto"/>
        </w:rPr>
      </w:pPr>
      <w:r>
        <w:rPr>
          <w:rFonts w:ascii="Courier New" w:cs="Courier New" w:eastAsia="Courier New" w:hAnsi="Courier New"/>
          <w:sz w:val="13"/>
          <w:szCs w:val="13"/>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ind w:left="400" w:right="3819" w:hanging="398"/>
        <w:spacing w:after="0" w:line="251" w:lineRule="auto"/>
        <w:tabs>
          <w:tab w:leader="none" w:pos="400" w:val="left"/>
        </w:tabs>
        <w:numPr>
          <w:ilvl w:val="0"/>
          <w:numId w:val="2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registrant's other certifying officers and I are responsible for establishing and maintaining disclosure controls and procedures (as defined in Exchange Act Rules 13a-14 and 15d-14) for the registrant and have:</w:t>
      </w:r>
    </w:p>
    <w:p>
      <w:pPr>
        <w:ind w:left="720" w:right="3819" w:hanging="317"/>
        <w:spacing w:after="0" w:line="251" w:lineRule="auto"/>
        <w:tabs>
          <w:tab w:leader="none" w:pos="720" w:val="left"/>
        </w:tabs>
        <w:numPr>
          <w:ilvl w:val="1"/>
          <w:numId w:val="28"/>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jc w:val="both"/>
        <w:ind w:left="720" w:right="3819" w:hanging="317"/>
        <w:spacing w:after="0" w:line="254" w:lineRule="auto"/>
        <w:tabs>
          <w:tab w:leader="none" w:pos="720" w:val="left"/>
        </w:tabs>
        <w:numPr>
          <w:ilvl w:val="1"/>
          <w:numId w:val="28"/>
        </w:numPr>
        <w:rPr>
          <w:rFonts w:ascii="Courier New" w:cs="Courier New" w:eastAsia="Courier New" w:hAnsi="Courier New"/>
          <w:sz w:val="13"/>
          <w:szCs w:val="13"/>
          <w:color w:val="auto"/>
        </w:rPr>
      </w:pPr>
      <w:r>
        <w:rPr>
          <w:rFonts w:ascii="Courier New" w:cs="Courier New" w:eastAsia="Courier New" w:hAnsi="Courier New"/>
          <w:sz w:val="13"/>
          <w:szCs w:val="13"/>
          <w:color w:val="auto"/>
        </w:rPr>
        <w:t>evaluated the effectiveness of the registrant's disclosure controls and procedures as of a date within 90 days prior to the filing date of this</w:t>
      </w:r>
    </w:p>
    <w:p>
      <w:pPr>
        <w:sectPr>
          <w:pgSz w:w="11900" w:h="16838" w:orient="portrait"/>
          <w:cols w:equalWidth="0" w:num="1">
            <w:col w:w="10239"/>
          </w:cols>
          <w:pgMar w:left="220" w:top="296" w:right="1440" w:bottom="0" w:gutter="0" w:footer="0" w:header="0"/>
          <w:type w:val="continuous"/>
        </w:sectPr>
      </w:pPr>
    </w:p>
    <w:bookmarkStart w:id="40" w:name="page41"/>
    <w:bookmarkEnd w:id="40"/>
    <w:p>
      <w:pPr>
        <w:ind w:left="720"/>
        <w:spacing w:after="0"/>
        <w:rPr>
          <w:sz w:val="20"/>
          <w:szCs w:val="20"/>
          <w:color w:val="auto"/>
        </w:rPr>
      </w:pPr>
      <w:r>
        <w:rPr>
          <w:rFonts w:ascii="Courier New" w:cs="Courier New" w:eastAsia="Courier New" w:hAnsi="Courier New"/>
          <w:sz w:val="13"/>
          <w:szCs w:val="13"/>
          <w:color w:val="auto"/>
        </w:rPr>
        <w:t>annual report (the "Evaluation Date"); and</w:t>
      </w:r>
    </w:p>
    <w:p>
      <w:pPr>
        <w:spacing w:after="0" w:line="7" w:lineRule="exact"/>
        <w:rPr>
          <w:sz w:val="20"/>
          <w:szCs w:val="20"/>
          <w:color w:val="auto"/>
        </w:rPr>
      </w:pPr>
    </w:p>
    <w:p>
      <w:pPr>
        <w:jc w:val="both"/>
        <w:ind w:left="720" w:right="3819" w:hanging="317"/>
        <w:spacing w:after="0" w:line="251" w:lineRule="auto"/>
        <w:tabs>
          <w:tab w:leader="none" w:pos="720" w:val="left"/>
        </w:tabs>
        <w:numPr>
          <w:ilvl w:val="1"/>
          <w:numId w:val="29"/>
        </w:numPr>
        <w:rPr>
          <w:rFonts w:ascii="Courier New" w:cs="Courier New" w:eastAsia="Courier New" w:hAnsi="Courier New"/>
          <w:sz w:val="13"/>
          <w:szCs w:val="13"/>
          <w:color w:val="auto"/>
        </w:rPr>
      </w:pPr>
      <w:r>
        <w:rPr>
          <w:rFonts w:ascii="Courier New" w:cs="Courier New" w:eastAsia="Courier New" w:hAnsi="Courier New"/>
          <w:sz w:val="13"/>
          <w:szCs w:val="13"/>
          <w:color w:val="auto"/>
        </w:rPr>
        <w:t>presented in this annual report our conclusions about the effectiveness of the disclosure controls and procedures based on our evaluation as of the Evaluation Date;</w:t>
      </w:r>
    </w:p>
    <w:p>
      <w:pPr>
        <w:ind w:left="400" w:right="3979" w:hanging="398"/>
        <w:spacing w:after="0" w:line="251" w:lineRule="auto"/>
        <w:tabs>
          <w:tab w:leader="none" w:pos="400" w:val="left"/>
        </w:tabs>
        <w:numPr>
          <w:ilvl w:val="0"/>
          <w:numId w:val="30"/>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registrant's other certifying officers and I have disclosed, based on our most recent evaluation, to the registrant's auditors and the audit committee of registrant's board of directors (or persons performing the equivalent functions):</w:t>
      </w:r>
    </w:p>
    <w:p>
      <w:pPr>
        <w:ind w:left="720" w:right="4139" w:hanging="317"/>
        <w:spacing w:after="0" w:line="251" w:lineRule="auto"/>
        <w:tabs>
          <w:tab w:leader="none" w:pos="720" w:val="left"/>
        </w:tabs>
        <w:numPr>
          <w:ilvl w:val="1"/>
          <w:numId w:val="30"/>
        </w:numPr>
        <w:rPr>
          <w:rFonts w:ascii="Courier New" w:cs="Courier New" w:eastAsia="Courier New" w:hAnsi="Courier New"/>
          <w:sz w:val="13"/>
          <w:szCs w:val="13"/>
          <w:color w:val="auto"/>
        </w:rPr>
      </w:pPr>
      <w:r>
        <w:rPr>
          <w:rFonts w:ascii="Courier New" w:cs="Courier New" w:eastAsia="Courier New" w:hAnsi="Courier New"/>
          <w:sz w:val="13"/>
          <w:szCs w:val="13"/>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ind w:left="720" w:right="3979" w:hanging="317"/>
        <w:spacing w:after="0" w:line="251" w:lineRule="auto"/>
        <w:tabs>
          <w:tab w:leader="none" w:pos="720" w:val="left"/>
        </w:tabs>
        <w:numPr>
          <w:ilvl w:val="1"/>
          <w:numId w:val="30"/>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any fraud, whether or not material, that involves management or other employees who have a significant role in the registrant's internal controls; and</w:t>
      </w:r>
    </w:p>
    <w:p>
      <w:pPr>
        <w:ind w:left="400" w:right="3979" w:hanging="398"/>
        <w:spacing w:after="0" w:line="251" w:lineRule="auto"/>
        <w:tabs>
          <w:tab w:leader="none" w:pos="400" w:val="left"/>
        </w:tabs>
        <w:numPr>
          <w:ilvl w:val="0"/>
          <w:numId w:val="30"/>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registrant's other certifying officers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ectPr>
          <w:pgSz w:w="11900" w:h="16838" w:orient="portrait"/>
          <w:cols w:equalWidth="0" w:num="1">
            <w:col w:w="10239"/>
          </w:cols>
          <w:pgMar w:left="220" w:top="141" w:right="1440" w:bottom="0" w:gutter="0" w:footer="0" w:header="0"/>
        </w:sect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Date:</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right="20"/>
        <w:spacing w:after="0" w:line="254" w:lineRule="auto"/>
        <w:rPr>
          <w:sz w:val="20"/>
          <w:szCs w:val="20"/>
          <w:color w:val="auto"/>
        </w:rPr>
      </w:pPr>
      <w:r>
        <w:rPr>
          <w:rFonts w:ascii="Courier New" w:cs="Courier New" w:eastAsia="Courier New" w:hAnsi="Courier New"/>
          <w:sz w:val="13"/>
          <w:szCs w:val="13"/>
          <w:color w:val="auto"/>
        </w:rPr>
        <w:t>March 31, 2003 ---------------------------</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Roderick R. Baty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Roderick R. Baty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Chairman, President and Chief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Executive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(principal executive officer)</w:t>
      </w:r>
    </w:p>
    <w:p>
      <w:pPr>
        <w:spacing w:after="0" w:line="161" w:lineRule="exact"/>
        <w:rPr>
          <w:sz w:val="20"/>
          <w:szCs w:val="20"/>
          <w:color w:val="auto"/>
        </w:rPr>
      </w:pPr>
    </w:p>
    <w:p>
      <w:pPr>
        <w:sectPr>
          <w:pgSz w:w="11900" w:h="16838" w:orient="portrait"/>
          <w:cols w:equalWidth="0" w:num="4">
            <w:col w:w="400" w:space="320"/>
            <w:col w:w="2180" w:space="720"/>
            <w:col w:w="240" w:space="480"/>
            <w:col w:w="5899"/>
          </w:cols>
          <w:pgMar w:left="220" w:top="141" w:right="1440" w:bottom="0" w:gutter="0" w:footer="0" w:header="0"/>
          <w:type w:val="continuous"/>
        </w:sectPr>
      </w:pPr>
    </w:p>
    <w:p>
      <w:pPr>
        <w:ind w:left="3120"/>
        <w:spacing w:after="0"/>
        <w:rPr>
          <w:sz w:val="20"/>
          <w:szCs w:val="20"/>
          <w:color w:val="auto"/>
        </w:rPr>
      </w:pPr>
      <w:r>
        <w:rPr>
          <w:rFonts w:ascii="Courier New" w:cs="Courier New" w:eastAsia="Courier New" w:hAnsi="Courier New"/>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ectPr>
          <w:pgSz w:w="11900" w:h="16838" w:orient="portrait"/>
          <w:cols w:equalWidth="0" w:num="1">
            <w:col w:w="10239"/>
          </w:cols>
          <w:pgMar w:left="220" w:top="14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 David L. Dyckman, certify that:</w:t>
      </w:r>
    </w:p>
    <w:p>
      <w:pPr>
        <w:spacing w:after="0" w:line="7" w:lineRule="exact"/>
        <w:rPr>
          <w:sz w:val="20"/>
          <w:szCs w:val="20"/>
          <w:color w:val="auto"/>
        </w:rPr>
      </w:pPr>
    </w:p>
    <w:p>
      <w:pPr>
        <w:ind w:left="400" w:hanging="398"/>
        <w:spacing w:after="0"/>
        <w:tabs>
          <w:tab w:leader="none" w:pos="400" w:val="left"/>
        </w:tabs>
        <w:numPr>
          <w:ilvl w:val="0"/>
          <w:numId w:val="31"/>
        </w:numPr>
        <w:rPr>
          <w:rFonts w:ascii="Courier New" w:cs="Courier New" w:eastAsia="Courier New" w:hAnsi="Courier New"/>
          <w:sz w:val="13"/>
          <w:szCs w:val="13"/>
          <w:color w:val="auto"/>
        </w:rPr>
      </w:pPr>
      <w:r>
        <w:rPr>
          <w:rFonts w:ascii="Courier New" w:cs="Courier New" w:eastAsia="Courier New" w:hAnsi="Courier New"/>
          <w:sz w:val="13"/>
          <w:szCs w:val="13"/>
          <w:color w:val="auto"/>
        </w:rPr>
        <w:t>I have reviewed this annual report on Form 10-K of NN, Inc.;</w:t>
      </w:r>
    </w:p>
    <w:p>
      <w:pPr>
        <w:spacing w:after="0" w:line="6" w:lineRule="exact"/>
        <w:rPr>
          <w:rFonts w:ascii="Courier New" w:cs="Courier New" w:eastAsia="Courier New" w:hAnsi="Courier New"/>
          <w:sz w:val="13"/>
          <w:szCs w:val="13"/>
          <w:color w:val="auto"/>
        </w:rPr>
      </w:pPr>
    </w:p>
    <w:p>
      <w:pPr>
        <w:ind w:left="400" w:right="3899" w:hanging="398"/>
        <w:spacing w:after="0" w:line="251" w:lineRule="auto"/>
        <w:tabs>
          <w:tab w:leader="none" w:pos="400" w:val="left"/>
        </w:tabs>
        <w:numPr>
          <w:ilvl w:val="0"/>
          <w:numId w:val="31"/>
        </w:numPr>
        <w:rPr>
          <w:rFonts w:ascii="Courier New" w:cs="Courier New" w:eastAsia="Courier New" w:hAnsi="Courier New"/>
          <w:sz w:val="13"/>
          <w:szCs w:val="13"/>
          <w:color w:val="auto"/>
        </w:rPr>
      </w:pPr>
      <w:r>
        <w:rPr>
          <w:rFonts w:ascii="Courier New" w:cs="Courier New" w:eastAsia="Courier New" w:hAnsi="Courier New"/>
          <w:sz w:val="13"/>
          <w:szCs w:val="13"/>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ind w:left="400" w:right="3819" w:hanging="398"/>
        <w:spacing w:after="0" w:line="251" w:lineRule="auto"/>
        <w:tabs>
          <w:tab w:leader="none" w:pos="400" w:val="left"/>
        </w:tabs>
        <w:numPr>
          <w:ilvl w:val="0"/>
          <w:numId w:val="31"/>
        </w:numPr>
        <w:rPr>
          <w:rFonts w:ascii="Courier New" w:cs="Courier New" w:eastAsia="Courier New" w:hAnsi="Courier New"/>
          <w:sz w:val="13"/>
          <w:szCs w:val="13"/>
          <w:color w:val="auto"/>
        </w:rPr>
      </w:pPr>
      <w:r>
        <w:rPr>
          <w:rFonts w:ascii="Courier New" w:cs="Courier New" w:eastAsia="Courier New" w:hAnsi="Courier New"/>
          <w:sz w:val="13"/>
          <w:szCs w:val="13"/>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ind w:left="400" w:right="3819" w:hanging="398"/>
        <w:spacing w:after="0" w:line="251" w:lineRule="auto"/>
        <w:tabs>
          <w:tab w:leader="none" w:pos="400" w:val="left"/>
        </w:tabs>
        <w:numPr>
          <w:ilvl w:val="0"/>
          <w:numId w:val="31"/>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registrant's other certifying officers and I are responsible for establishing and maintaining disclosure controls and procedures (as defined in Exchange Act Rules 13a-14 and 15d-14) for the registrant and have:</w:t>
      </w:r>
    </w:p>
    <w:p>
      <w:pPr>
        <w:ind w:left="720" w:right="3819" w:hanging="317"/>
        <w:spacing w:after="0" w:line="251" w:lineRule="auto"/>
        <w:tabs>
          <w:tab w:leader="none" w:pos="720" w:val="left"/>
        </w:tabs>
        <w:numPr>
          <w:ilvl w:val="1"/>
          <w:numId w:val="31"/>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jc w:val="both"/>
        <w:ind w:left="720" w:right="3819" w:hanging="317"/>
        <w:spacing w:after="0" w:line="251" w:lineRule="auto"/>
        <w:tabs>
          <w:tab w:leader="none" w:pos="720" w:val="left"/>
        </w:tabs>
        <w:numPr>
          <w:ilvl w:val="1"/>
          <w:numId w:val="31"/>
        </w:numPr>
        <w:rPr>
          <w:rFonts w:ascii="Courier New" w:cs="Courier New" w:eastAsia="Courier New" w:hAnsi="Courier New"/>
          <w:sz w:val="13"/>
          <w:szCs w:val="13"/>
          <w:color w:val="auto"/>
        </w:rPr>
      </w:pPr>
      <w:r>
        <w:rPr>
          <w:rFonts w:ascii="Courier New" w:cs="Courier New" w:eastAsia="Courier New" w:hAnsi="Courier New"/>
          <w:sz w:val="13"/>
          <w:szCs w:val="13"/>
          <w:color w:val="auto"/>
        </w:rPr>
        <w:t>evaluated the effectiveness of the registrant's disclosure controls and procedures as of a date within 90 days prior to the filing date of this annual report (the "Evaluation Date"); and</w:t>
      </w:r>
    </w:p>
    <w:p>
      <w:pPr>
        <w:jc w:val="both"/>
        <w:ind w:left="720" w:right="3819" w:hanging="317"/>
        <w:spacing w:after="0" w:line="251" w:lineRule="auto"/>
        <w:tabs>
          <w:tab w:leader="none" w:pos="720" w:val="left"/>
        </w:tabs>
        <w:numPr>
          <w:ilvl w:val="1"/>
          <w:numId w:val="31"/>
        </w:numPr>
        <w:rPr>
          <w:rFonts w:ascii="Courier New" w:cs="Courier New" w:eastAsia="Courier New" w:hAnsi="Courier New"/>
          <w:sz w:val="13"/>
          <w:szCs w:val="13"/>
          <w:color w:val="auto"/>
        </w:rPr>
      </w:pPr>
      <w:r>
        <w:rPr>
          <w:rFonts w:ascii="Courier New" w:cs="Courier New" w:eastAsia="Courier New" w:hAnsi="Courier New"/>
          <w:sz w:val="13"/>
          <w:szCs w:val="13"/>
          <w:color w:val="auto"/>
        </w:rPr>
        <w:t>presented in this annual report our conclusions about the effectiveness of the disclosure controls and procedures based on our evaluation as of the Evaluation Date;</w:t>
      </w:r>
    </w:p>
    <w:p>
      <w:pPr>
        <w:ind w:left="400" w:right="3979" w:hanging="398"/>
        <w:spacing w:after="0" w:line="251" w:lineRule="auto"/>
        <w:tabs>
          <w:tab w:leader="none" w:pos="400" w:val="left"/>
        </w:tabs>
        <w:numPr>
          <w:ilvl w:val="0"/>
          <w:numId w:val="31"/>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registrant's other certifying officers and I have disclosed, based on our most recent evaluation, to the registrant's auditors and the audit committee of registrant's board of directors (or persons performing the equivalent functions):</w:t>
      </w:r>
    </w:p>
    <w:p>
      <w:pPr>
        <w:ind w:left="720" w:right="4139" w:hanging="317"/>
        <w:spacing w:after="0" w:line="251" w:lineRule="auto"/>
        <w:tabs>
          <w:tab w:leader="none" w:pos="720" w:val="left"/>
        </w:tabs>
        <w:numPr>
          <w:ilvl w:val="1"/>
          <w:numId w:val="31"/>
        </w:numPr>
        <w:rPr>
          <w:rFonts w:ascii="Courier New" w:cs="Courier New" w:eastAsia="Courier New" w:hAnsi="Courier New"/>
          <w:sz w:val="13"/>
          <w:szCs w:val="13"/>
          <w:color w:val="auto"/>
        </w:rPr>
      </w:pPr>
      <w:r>
        <w:rPr>
          <w:rFonts w:ascii="Courier New" w:cs="Courier New" w:eastAsia="Courier New" w:hAnsi="Courier New"/>
          <w:sz w:val="13"/>
          <w:szCs w:val="13"/>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ind w:left="720" w:right="3979" w:hanging="317"/>
        <w:spacing w:after="0" w:line="251" w:lineRule="auto"/>
        <w:tabs>
          <w:tab w:leader="none" w:pos="720" w:val="left"/>
        </w:tabs>
        <w:numPr>
          <w:ilvl w:val="1"/>
          <w:numId w:val="31"/>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any fraud, whether or not material, that involves management or other employees who have a significant role in the registrant's internal controls; and</w:t>
      </w:r>
    </w:p>
    <w:p>
      <w:pPr>
        <w:ind w:left="400" w:right="3979" w:hanging="398"/>
        <w:spacing w:after="0" w:line="251" w:lineRule="auto"/>
        <w:tabs>
          <w:tab w:leader="none" w:pos="400" w:val="left"/>
        </w:tabs>
        <w:numPr>
          <w:ilvl w:val="0"/>
          <w:numId w:val="31"/>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registrant's other certifying officers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ectPr>
          <w:pgSz w:w="11900" w:h="16838" w:orient="portrait"/>
          <w:cols w:equalWidth="0" w:num="1">
            <w:col w:w="10239"/>
          </w:cols>
          <w:pgMar w:left="220" w:top="141" w:right="1440" w:bottom="0" w:gutter="0" w:footer="0" w:header="0"/>
          <w:type w:val="continuous"/>
        </w:sect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Date:</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right="20"/>
        <w:spacing w:after="0" w:line="254" w:lineRule="auto"/>
        <w:rPr>
          <w:sz w:val="20"/>
          <w:szCs w:val="20"/>
          <w:color w:val="auto"/>
        </w:rPr>
      </w:pPr>
      <w:r>
        <w:rPr>
          <w:rFonts w:ascii="Courier New" w:cs="Courier New" w:eastAsia="Courier New" w:hAnsi="Courier New"/>
          <w:sz w:val="13"/>
          <w:szCs w:val="13"/>
          <w:color w:val="auto"/>
        </w:rPr>
        <w:t>March 31, 2003 ---------------------------</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David L. Dyckman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David L. Dyckman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Chief Financial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(principal financial officer)</w:t>
      </w:r>
    </w:p>
    <w:p>
      <w:pPr>
        <w:spacing w:after="0" w:line="200" w:lineRule="exact"/>
        <w:rPr>
          <w:sz w:val="20"/>
          <w:szCs w:val="20"/>
          <w:color w:val="auto"/>
        </w:rPr>
      </w:pPr>
    </w:p>
    <w:p>
      <w:pPr>
        <w:sectPr>
          <w:pgSz w:w="11900" w:h="16838" w:orient="portrait"/>
          <w:cols w:equalWidth="0" w:num="4">
            <w:col w:w="400" w:space="320"/>
            <w:col w:w="2180" w:space="720"/>
            <w:col w:w="240" w:space="480"/>
            <w:col w:w="5899"/>
          </w:cols>
          <w:pgMar w:left="220" w:top="141" w:right="1440" w:bottom="0" w:gutter="0" w:footer="0" w:header="0"/>
          <w:type w:val="continuous"/>
        </w:sectPr>
      </w:pPr>
    </w:p>
    <w:p>
      <w:pPr>
        <w:spacing w:after="0" w:line="115"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ectPr>
          <w:pgSz w:w="11900" w:h="16838" w:orient="portrait"/>
          <w:cols w:equalWidth="0" w:num="1">
            <w:col w:w="10239"/>
          </w:cols>
          <w:pgMar w:left="220" w:top="14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color w:val="auto"/>
        </w:rPr>
        <w:t>Index to Exhibits</w:t>
      </w:r>
    </w:p>
    <w:p>
      <w:pPr>
        <w:spacing w:after="0" w:line="161" w:lineRule="exact"/>
        <w:rPr>
          <w:sz w:val="20"/>
          <w:szCs w:val="20"/>
          <w:color w:val="auto"/>
        </w:rPr>
      </w:pPr>
    </w:p>
    <w:p>
      <w:pPr>
        <w:ind w:left="800" w:right="3899" w:hanging="400"/>
        <w:spacing w:after="0" w:line="253" w:lineRule="auto"/>
        <w:tabs>
          <w:tab w:leader="none" w:pos="780" w:val="left"/>
        </w:tabs>
        <w:rPr>
          <w:sz w:val="20"/>
          <w:szCs w:val="20"/>
          <w:color w:val="auto"/>
        </w:rPr>
      </w:pPr>
      <w:r>
        <w:rPr>
          <w:rFonts w:ascii="Courier New" w:cs="Courier New" w:eastAsia="Courier New" w:hAnsi="Courier New"/>
          <w:sz w:val="13"/>
          <w:szCs w:val="13"/>
          <w:color w:val="auto"/>
        </w:rPr>
        <w:t>3.1</w:t>
        <w:tab/>
        <w:t>Restated Certificate of Incorporation of the Company (incorporated by reference to Exhibit 3.1 of the Company's Registration Statement No. 333-89950 on Form S-3 filed June 6, 2002)</w:t>
      </w:r>
    </w:p>
    <w:p>
      <w:pPr>
        <w:spacing w:after="0" w:line="151" w:lineRule="exact"/>
        <w:rPr>
          <w:sz w:val="20"/>
          <w:szCs w:val="20"/>
          <w:color w:val="auto"/>
        </w:rPr>
      </w:pPr>
    </w:p>
    <w:p>
      <w:pPr>
        <w:jc w:val="both"/>
        <w:ind w:left="800" w:right="3899" w:hanging="400"/>
        <w:spacing w:after="0" w:line="253" w:lineRule="auto"/>
        <w:tabs>
          <w:tab w:leader="none" w:pos="780" w:val="left"/>
        </w:tabs>
        <w:rPr>
          <w:sz w:val="20"/>
          <w:szCs w:val="20"/>
          <w:color w:val="auto"/>
        </w:rPr>
      </w:pPr>
      <w:r>
        <w:rPr>
          <w:rFonts w:ascii="Courier New" w:cs="Courier New" w:eastAsia="Courier New" w:hAnsi="Courier New"/>
          <w:sz w:val="13"/>
          <w:szCs w:val="13"/>
          <w:color w:val="auto"/>
        </w:rPr>
        <w:t>3.2</w:t>
        <w:tab/>
        <w:t>Restated By-Laws of the Company (incorporated by reference to Exhibit 3.2 of the Company's Registration Statement No. 333-89950 on Form S-3 filed June 6, 2002)</w:t>
      </w:r>
    </w:p>
    <w:p>
      <w:pPr>
        <w:spacing w:after="0" w:line="151" w:lineRule="exact"/>
        <w:rPr>
          <w:sz w:val="20"/>
          <w:szCs w:val="20"/>
          <w:color w:val="auto"/>
        </w:rPr>
      </w:pPr>
    </w:p>
    <w:p>
      <w:pPr>
        <w:ind w:left="800" w:right="3819" w:hanging="400"/>
        <w:spacing w:after="0" w:line="252" w:lineRule="auto"/>
        <w:tabs>
          <w:tab w:leader="none" w:pos="780" w:val="left"/>
        </w:tabs>
        <w:rPr>
          <w:sz w:val="20"/>
          <w:szCs w:val="20"/>
          <w:color w:val="auto"/>
        </w:rPr>
      </w:pPr>
      <w:r>
        <w:rPr>
          <w:rFonts w:ascii="Courier New" w:cs="Courier New" w:eastAsia="Courier New" w:hAnsi="Courier New"/>
          <w:sz w:val="13"/>
          <w:szCs w:val="13"/>
          <w:color w:val="auto"/>
        </w:rPr>
        <w:t>4.1</w:t>
        <w:tab/>
        <w:t>The specimen stock certificate representing the Company's Common Stock, par value $0.01 per share (incorporated by reference to Exhibit 4.1 of the Company's Registration Statement No. 333-89950 on Form S-3 filed June 6, 2002)</w:t>
      </w:r>
    </w:p>
    <w:p>
      <w:pPr>
        <w:sectPr>
          <w:pgSz w:w="11900" w:h="16838" w:orient="portrait"/>
          <w:cols w:equalWidth="0" w:num="1">
            <w:col w:w="10239"/>
          </w:cols>
          <w:pgMar w:left="220" w:top="141" w:right="1440" w:bottom="0" w:gutter="0" w:footer="0" w:header="0"/>
          <w:type w:val="continuous"/>
        </w:sectPr>
      </w:pPr>
    </w:p>
    <w:bookmarkStart w:id="41" w:name="page42"/>
    <w:bookmarkEnd w:id="41"/>
    <w:p>
      <w:pPr>
        <w:ind w:left="480" w:right="3979" w:hanging="400"/>
        <w:spacing w:after="0" w:line="253" w:lineRule="auto"/>
        <w:tabs>
          <w:tab w:leader="none" w:pos="460" w:val="left"/>
        </w:tabs>
        <w:rPr>
          <w:sz w:val="20"/>
          <w:szCs w:val="20"/>
          <w:color w:val="auto"/>
        </w:rPr>
      </w:pPr>
      <w:r>
        <w:rPr>
          <w:rFonts w:ascii="Courier New" w:cs="Courier New" w:eastAsia="Courier New" w:hAnsi="Courier New"/>
          <w:sz w:val="13"/>
          <w:szCs w:val="13"/>
          <w:color w:val="auto"/>
        </w:rPr>
        <w:t>4.2</w:t>
        <w:tab/>
        <w:t>Article IV, Article V (Sections 3 through 6), Article VI (Section 2) and Article VII (Sections 1 and 3) of the Restated Certificate of Incorporation of the Company (included in Exhibit 3.1)</w:t>
      </w:r>
    </w:p>
    <w:p>
      <w:pPr>
        <w:spacing w:after="0" w:line="151" w:lineRule="exact"/>
        <w:rPr>
          <w:sz w:val="20"/>
          <w:szCs w:val="20"/>
          <w:color w:val="auto"/>
        </w:rPr>
      </w:pPr>
    </w:p>
    <w:p>
      <w:pPr>
        <w:ind w:left="480" w:right="3819" w:hanging="400"/>
        <w:spacing w:after="0" w:line="253" w:lineRule="auto"/>
        <w:tabs>
          <w:tab w:leader="none" w:pos="460" w:val="left"/>
        </w:tabs>
        <w:rPr>
          <w:sz w:val="20"/>
          <w:szCs w:val="20"/>
          <w:color w:val="auto"/>
        </w:rPr>
      </w:pPr>
      <w:r>
        <w:rPr>
          <w:rFonts w:ascii="Courier New" w:cs="Courier New" w:eastAsia="Courier New" w:hAnsi="Courier New"/>
          <w:sz w:val="13"/>
          <w:szCs w:val="13"/>
          <w:color w:val="auto"/>
        </w:rPr>
        <w:t>4.3</w:t>
        <w:tab/>
        <w:t>Article II (Sections 7 and 12), Article III (Sections 2 and 15) and Article VI of the Restated By-Laws of the Company (included in Exhibit 3.2)</w:t>
      </w:r>
    </w:p>
    <w:p>
      <w:pPr>
        <w:spacing w:after="0" w:line="151" w:lineRule="exact"/>
        <w:rPr>
          <w:sz w:val="20"/>
          <w:szCs w:val="20"/>
          <w:color w:val="auto"/>
        </w:rPr>
      </w:pPr>
    </w:p>
    <w:p>
      <w:pPr>
        <w:ind w:left="480" w:right="3979" w:hanging="400"/>
        <w:spacing w:after="0" w:line="252" w:lineRule="auto"/>
        <w:rPr>
          <w:sz w:val="20"/>
          <w:szCs w:val="20"/>
          <w:color w:val="auto"/>
        </w:rPr>
      </w:pPr>
      <w:r>
        <w:rPr>
          <w:rFonts w:ascii="Courier New" w:cs="Courier New" w:eastAsia="Courier New" w:hAnsi="Courier New"/>
          <w:sz w:val="13"/>
          <w:szCs w:val="13"/>
          <w:color w:val="auto"/>
        </w:rPr>
        <w:t>10.1 NN, Inc. Stock Incentive Plan and Form of Incentive Stock Option Agreement pursuant to the Plan (incorporated by reference to Exhibit 10.1 of the Company's Registration Statement No. 333-89950 on Form S-3/A filed July 15, 2002)*</w:t>
      </w:r>
    </w:p>
    <w:p>
      <w:pPr>
        <w:spacing w:after="0" w:line="153" w:lineRule="exact"/>
        <w:rPr>
          <w:sz w:val="20"/>
          <w:szCs w:val="20"/>
          <w:color w:val="auto"/>
        </w:rPr>
      </w:pPr>
    </w:p>
    <w:p>
      <w:pPr>
        <w:ind w:left="480" w:right="3899" w:hanging="400"/>
        <w:spacing w:after="0" w:line="253" w:lineRule="auto"/>
        <w:rPr>
          <w:sz w:val="20"/>
          <w:szCs w:val="20"/>
          <w:color w:val="auto"/>
        </w:rPr>
      </w:pPr>
      <w:r>
        <w:rPr>
          <w:rFonts w:ascii="Courier New" w:cs="Courier New" w:eastAsia="Courier New" w:hAnsi="Courier New"/>
          <w:sz w:val="13"/>
          <w:szCs w:val="13"/>
          <w:color w:val="auto"/>
        </w:rPr>
        <w:t>10.2 Amendment No. 1 to the NN, Inc. Stock Incentive Plan (incorporated by reference to Exhibit 4.6 of the Company's Registration Statement No. 333-50934 on Form S-8 filed on November 30, 2000)*</w:t>
      </w:r>
    </w:p>
    <w:p>
      <w:pPr>
        <w:spacing w:after="0" w:line="151" w:lineRule="exact"/>
        <w:rPr>
          <w:sz w:val="20"/>
          <w:szCs w:val="20"/>
          <w:color w:val="auto"/>
        </w:rPr>
      </w:pPr>
    </w:p>
    <w:p>
      <w:pPr>
        <w:ind w:left="480" w:right="3899" w:hanging="400"/>
        <w:spacing w:after="0" w:line="253" w:lineRule="auto"/>
        <w:rPr>
          <w:sz w:val="20"/>
          <w:szCs w:val="20"/>
          <w:color w:val="auto"/>
        </w:rPr>
      </w:pPr>
      <w:r>
        <w:rPr>
          <w:rFonts w:ascii="Courier New" w:cs="Courier New" w:eastAsia="Courier New" w:hAnsi="Courier New"/>
          <w:sz w:val="13"/>
          <w:szCs w:val="13"/>
          <w:color w:val="auto"/>
        </w:rPr>
        <w:t>10.3 Amendment No. 2 to the NN, Inc. Stock Incentive Plan (incorporated by reference to Exhibit 4.7 of the Company's Registration Statement No. 333-69588 on Form S-8 filed on September 18, 2001)*</w:t>
      </w:r>
    </w:p>
    <w:p>
      <w:pPr>
        <w:spacing w:after="0" w:line="151" w:lineRule="exact"/>
        <w:rPr>
          <w:sz w:val="20"/>
          <w:szCs w:val="20"/>
          <w:color w:val="auto"/>
        </w:rPr>
      </w:pPr>
    </w:p>
    <w:p>
      <w:pPr>
        <w:ind w:left="480" w:right="3819" w:hanging="400"/>
        <w:spacing w:after="0" w:line="252" w:lineRule="auto"/>
        <w:rPr>
          <w:sz w:val="20"/>
          <w:szCs w:val="20"/>
          <w:color w:val="auto"/>
        </w:rPr>
      </w:pPr>
      <w:r>
        <w:rPr>
          <w:rFonts w:ascii="Courier New" w:cs="Courier New" w:eastAsia="Courier New" w:hAnsi="Courier New"/>
          <w:sz w:val="13"/>
          <w:szCs w:val="13"/>
          <w:color w:val="auto"/>
        </w:rPr>
        <w:t>10.4 Form of Non-Competition and Confidentiality Agreement for Executive Officers of the Company (incorporated by reference to Exhibit 10.4 of the Company's Registration Statement No. 333-89950 on Form S-3/A filed July 15, 2002)*</w:t>
      </w:r>
    </w:p>
    <w:p>
      <w:pPr>
        <w:spacing w:after="0" w:line="153" w:lineRule="exact"/>
        <w:rPr>
          <w:sz w:val="20"/>
          <w:szCs w:val="20"/>
          <w:color w:val="auto"/>
        </w:rPr>
      </w:pPr>
    </w:p>
    <w:p>
      <w:pPr>
        <w:ind w:left="480" w:right="3819" w:hanging="400"/>
        <w:spacing w:after="0" w:line="252" w:lineRule="auto"/>
        <w:rPr>
          <w:sz w:val="20"/>
          <w:szCs w:val="20"/>
          <w:color w:val="auto"/>
        </w:rPr>
      </w:pPr>
      <w:r>
        <w:rPr>
          <w:rFonts w:ascii="Courier New" w:cs="Courier New" w:eastAsia="Courier New" w:hAnsi="Courier New"/>
          <w:sz w:val="13"/>
          <w:szCs w:val="13"/>
          <w:color w:val="auto"/>
        </w:rPr>
        <w:t>10.5 Stockholders Agreement dated February 22, 1994, among certain stockholders of the Company (incorporated by reference to Exhibit 10.5 of the Company's Registration Statement No. 333-89950 on Form S-3/A filed July 15, 2002)</w:t>
      </w:r>
    </w:p>
    <w:p>
      <w:pPr>
        <w:spacing w:after="0" w:line="153" w:lineRule="exact"/>
        <w:rPr>
          <w:sz w:val="20"/>
          <w:szCs w:val="20"/>
          <w:color w:val="auto"/>
        </w:rPr>
      </w:pPr>
    </w:p>
    <w:p>
      <w:pPr>
        <w:ind w:left="480" w:right="3899" w:hanging="400"/>
        <w:spacing w:after="0" w:line="253" w:lineRule="auto"/>
        <w:rPr>
          <w:sz w:val="20"/>
          <w:szCs w:val="20"/>
          <w:color w:val="auto"/>
        </w:rPr>
      </w:pPr>
      <w:r>
        <w:rPr>
          <w:rFonts w:ascii="Courier New" w:cs="Courier New" w:eastAsia="Courier New" w:hAnsi="Courier New"/>
          <w:sz w:val="13"/>
          <w:szCs w:val="13"/>
          <w:color w:val="auto"/>
        </w:rPr>
        <w:t>10.6 Form of Indemnification Agreement (incorporated by reference to Exhibit 10.6 of the Company's Registration Statement No. 333-89950 on Form S-3/A filed July 15, 2002)</w:t>
      </w:r>
    </w:p>
    <w:p>
      <w:pPr>
        <w:spacing w:after="0" w:line="151" w:lineRule="exact"/>
        <w:rPr>
          <w:sz w:val="20"/>
          <w:szCs w:val="20"/>
          <w:color w:val="auto"/>
        </w:rPr>
      </w:pPr>
    </w:p>
    <w:p>
      <w:pPr>
        <w:ind w:left="480" w:right="3899" w:hanging="400"/>
        <w:spacing w:after="0" w:line="252" w:lineRule="auto"/>
        <w:rPr>
          <w:sz w:val="20"/>
          <w:szCs w:val="20"/>
          <w:color w:val="auto"/>
        </w:rPr>
      </w:pPr>
      <w:r>
        <w:rPr>
          <w:rFonts w:ascii="Courier New" w:cs="Courier New" w:eastAsia="Courier New" w:hAnsi="Courier New"/>
          <w:sz w:val="13"/>
          <w:szCs w:val="13"/>
          <w:color w:val="auto"/>
        </w:rPr>
        <w:t>10.7 Credit Agreement dated as of July 20, 2001, among NN, Inc., as the Borrower, the Lenders identified therein, Bank One, Kentucky, NA, as Co-Agent and AmSouth Bank, as Administrative Agent (incorporated by reference to Exhibit 10.7 of the Company's Registration Statement No. 333-89950 on Form S-3/A filed July 15, 2002)</w:t>
      </w:r>
    </w:p>
    <w:p>
      <w:pPr>
        <w:spacing w:after="0" w:line="152" w:lineRule="exact"/>
        <w:rPr>
          <w:sz w:val="20"/>
          <w:szCs w:val="20"/>
          <w:color w:val="auto"/>
        </w:rPr>
      </w:pPr>
    </w:p>
    <w:p>
      <w:pPr>
        <w:ind w:left="480" w:right="4219" w:hanging="400"/>
        <w:spacing w:after="0" w:line="252" w:lineRule="auto"/>
        <w:rPr>
          <w:sz w:val="20"/>
          <w:szCs w:val="20"/>
          <w:color w:val="auto"/>
        </w:rPr>
      </w:pPr>
      <w:r>
        <w:rPr>
          <w:rFonts w:ascii="Courier New" w:cs="Courier New" w:eastAsia="Courier New" w:hAnsi="Courier New"/>
          <w:sz w:val="13"/>
          <w:szCs w:val="13"/>
          <w:color w:val="auto"/>
        </w:rPr>
        <w:t>10.8 First Amendment to Credit Agreement, dated October 4, 2001 (incorporated by reference to Exhibit 10.8 of the Company's Registration Statement No. 333-89950 on Form S-3/A filed July 15, 2002)</w:t>
      </w:r>
    </w:p>
    <w:p>
      <w:pPr>
        <w:spacing w:after="0" w:line="153" w:lineRule="exact"/>
        <w:rPr>
          <w:sz w:val="20"/>
          <w:szCs w:val="20"/>
          <w:color w:val="auto"/>
        </w:rPr>
      </w:pPr>
    </w:p>
    <w:p>
      <w:pPr>
        <w:ind w:left="480" w:right="4219" w:hanging="400"/>
        <w:spacing w:after="0" w:line="252" w:lineRule="auto"/>
        <w:rPr>
          <w:sz w:val="20"/>
          <w:szCs w:val="20"/>
          <w:color w:val="auto"/>
        </w:rPr>
      </w:pPr>
      <w:r>
        <w:rPr>
          <w:rFonts w:ascii="Courier New" w:cs="Courier New" w:eastAsia="Courier New" w:hAnsi="Courier New"/>
          <w:sz w:val="13"/>
          <w:szCs w:val="13"/>
          <w:color w:val="auto"/>
        </w:rPr>
        <w:t>10.9 Second Amendment to Credit Agreement, dated July 12, 2002 (incorporated by reference to Exhibit 10.9 of the Company's Registration Statement No. 333-89950 on Form S-3/A filed July 15, 2002)</w:t>
      </w:r>
    </w:p>
    <w:p>
      <w:pPr>
        <w:spacing w:after="0" w:line="153" w:lineRule="exact"/>
        <w:rPr>
          <w:sz w:val="20"/>
          <w:szCs w:val="20"/>
          <w:color w:val="auto"/>
        </w:rPr>
      </w:pPr>
    </w:p>
    <w:p>
      <w:pPr>
        <w:ind w:left="480" w:right="3899" w:hanging="480"/>
        <w:spacing w:after="0" w:line="253" w:lineRule="auto"/>
        <w:rPr>
          <w:sz w:val="20"/>
          <w:szCs w:val="20"/>
          <w:color w:val="auto"/>
        </w:rPr>
      </w:pPr>
      <w:r>
        <w:rPr>
          <w:rFonts w:ascii="Courier New" w:cs="Courier New" w:eastAsia="Courier New" w:hAnsi="Courier New"/>
          <w:sz w:val="13"/>
          <w:szCs w:val="13"/>
          <w:color w:val="auto"/>
        </w:rPr>
        <w:t>10.10 Third Amendment to Credit Agreement dated July 31, 2002 (incorporated by reference to Exhibit 10.1 of the Company's Form 10-Q filed August 13, 2002).</w:t>
      </w:r>
    </w:p>
    <w:p>
      <w:pPr>
        <w:spacing w:after="0" w:line="151" w:lineRule="exact"/>
        <w:rPr>
          <w:sz w:val="20"/>
          <w:szCs w:val="20"/>
          <w:color w:val="auto"/>
        </w:rPr>
      </w:pPr>
    </w:p>
    <w:p>
      <w:pPr>
        <w:ind w:left="560" w:right="3739" w:hanging="480"/>
        <w:spacing w:after="0" w:line="252" w:lineRule="auto"/>
        <w:rPr>
          <w:sz w:val="20"/>
          <w:szCs w:val="20"/>
          <w:color w:val="auto"/>
        </w:rPr>
      </w:pPr>
      <w:r>
        <w:rPr>
          <w:rFonts w:ascii="Courier New" w:cs="Courier New" w:eastAsia="Courier New" w:hAnsi="Courier New"/>
          <w:sz w:val="13"/>
          <w:szCs w:val="13"/>
          <w:color w:val="auto"/>
        </w:rPr>
        <w:t>10.11 Form of Stock Option Agreement, dated December 7, 1998, between the Company and the non-employee directors of the Company (incorporated by reference to Exhibit 10.15 of the Company's Annual Report on Form 10-K filed March 31, 1999)*</w:t>
      </w:r>
    </w:p>
    <w:p>
      <w:pPr>
        <w:spacing w:after="0" w:line="153" w:lineRule="exact"/>
        <w:rPr>
          <w:sz w:val="20"/>
          <w:szCs w:val="20"/>
          <w:color w:val="auto"/>
        </w:rPr>
      </w:pPr>
    </w:p>
    <w:p>
      <w:pPr>
        <w:ind w:left="560" w:right="3979" w:hanging="480"/>
        <w:spacing w:after="0" w:line="253" w:lineRule="auto"/>
        <w:rPr>
          <w:sz w:val="20"/>
          <w:szCs w:val="20"/>
          <w:color w:val="auto"/>
        </w:rPr>
      </w:pPr>
      <w:r>
        <w:rPr>
          <w:rFonts w:ascii="Courier New" w:cs="Courier New" w:eastAsia="Courier New" w:hAnsi="Courier New"/>
          <w:sz w:val="13"/>
          <w:szCs w:val="13"/>
          <w:color w:val="auto"/>
        </w:rPr>
        <w:t>10.12 Elective Deferred Compensation Plan, dated February 26, 1999 (incorporated by reference to Exhibit 10.16 of the Company's Annual Report on Form 10-K filed March 31, 1999)*</w:t>
      </w:r>
    </w:p>
    <w:p>
      <w:pPr>
        <w:spacing w:after="0" w:line="151" w:lineRule="exact"/>
        <w:rPr>
          <w:sz w:val="20"/>
          <w:szCs w:val="20"/>
          <w:color w:val="auto"/>
        </w:rPr>
      </w:pPr>
    </w:p>
    <w:p>
      <w:pPr>
        <w:ind w:left="2800"/>
        <w:spacing w:after="0"/>
        <w:rPr>
          <w:sz w:val="20"/>
          <w:szCs w:val="20"/>
          <w:color w:val="auto"/>
        </w:rPr>
      </w:pPr>
      <w:r>
        <w:rPr>
          <w:rFonts w:ascii="Courier New" w:cs="Courier New" w:eastAsia="Courier New" w:hAnsi="Courier New"/>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173355</wp:posOffset>
            </wp:positionV>
            <wp:extent cx="730440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ind w:left="560" w:right="3979" w:hanging="480"/>
        <w:spacing w:after="0" w:line="253" w:lineRule="auto"/>
        <w:rPr>
          <w:sz w:val="20"/>
          <w:szCs w:val="20"/>
          <w:color w:val="auto"/>
        </w:rPr>
      </w:pPr>
      <w:r>
        <w:rPr>
          <w:rFonts w:ascii="Courier New" w:cs="Courier New" w:eastAsia="Courier New" w:hAnsi="Courier New"/>
          <w:sz w:val="13"/>
          <w:szCs w:val="13"/>
          <w:color w:val="auto"/>
        </w:rPr>
        <w:t>10.13 Employment Agreement, dated August 1, 1997, between the Company and Roderick R. Baty (incorporated by reference to Exhibit 10.14 of the Company's Form 10-Q filed November 14, 1997)*</w:t>
      </w:r>
    </w:p>
    <w:p>
      <w:pPr>
        <w:spacing w:after="0" w:line="151" w:lineRule="exact"/>
        <w:rPr>
          <w:sz w:val="20"/>
          <w:szCs w:val="20"/>
          <w:color w:val="auto"/>
        </w:rPr>
      </w:pPr>
    </w:p>
    <w:p>
      <w:pPr>
        <w:ind w:left="560" w:right="3739" w:hanging="480"/>
        <w:spacing w:after="0" w:line="254" w:lineRule="auto"/>
        <w:rPr>
          <w:sz w:val="20"/>
          <w:szCs w:val="20"/>
          <w:color w:val="auto"/>
        </w:rPr>
      </w:pPr>
      <w:r>
        <w:rPr>
          <w:rFonts w:ascii="Courier New" w:cs="Courier New" w:eastAsia="Courier New" w:hAnsi="Courier New"/>
          <w:sz w:val="13"/>
          <w:szCs w:val="13"/>
          <w:color w:val="auto"/>
        </w:rPr>
        <w:t>10.14 Amendment No. 1 to Employment Agreement between the Company and Roderick R. Baty, dated January 21, 2002 (incorporated by reference to Exhibit 10.18 of the Company's Annual Report on Form 10-K filed March 29, 2002)*</w:t>
      </w:r>
    </w:p>
    <w:p>
      <w:pPr>
        <w:spacing w:after="0" w:line="304" w:lineRule="exact"/>
        <w:rPr>
          <w:sz w:val="20"/>
          <w:szCs w:val="20"/>
          <w:color w:val="auto"/>
        </w:rPr>
      </w:pPr>
    </w:p>
    <w:p>
      <w:pPr>
        <w:ind w:left="560" w:right="3739" w:hanging="480"/>
        <w:spacing w:after="0" w:line="252" w:lineRule="auto"/>
        <w:rPr>
          <w:sz w:val="20"/>
          <w:szCs w:val="20"/>
          <w:color w:val="auto"/>
        </w:rPr>
      </w:pPr>
      <w:r>
        <w:rPr>
          <w:rFonts w:ascii="Courier New" w:cs="Courier New" w:eastAsia="Courier New" w:hAnsi="Courier New"/>
          <w:sz w:val="13"/>
          <w:szCs w:val="13"/>
          <w:color w:val="auto"/>
        </w:rPr>
        <w:t>10.15 Change of Control and Noncompetition Agreement dated January 21, 2002, between the Company and Roderick R. Baty (incorporated by reference to Exhibit 10.19 of the Company's Annual Report on Form 10-K filed March 29, 2002)*</w:t>
      </w:r>
    </w:p>
    <w:p>
      <w:pPr>
        <w:spacing w:after="0" w:line="153" w:lineRule="exact"/>
        <w:rPr>
          <w:sz w:val="20"/>
          <w:szCs w:val="20"/>
          <w:color w:val="auto"/>
        </w:rPr>
      </w:pPr>
    </w:p>
    <w:p>
      <w:pPr>
        <w:ind w:left="560" w:right="4059" w:hanging="480"/>
        <w:spacing w:after="0" w:line="253" w:lineRule="auto"/>
        <w:rPr>
          <w:sz w:val="20"/>
          <w:szCs w:val="20"/>
          <w:color w:val="auto"/>
        </w:rPr>
      </w:pPr>
      <w:r>
        <w:rPr>
          <w:rFonts w:ascii="Courier New" w:cs="Courier New" w:eastAsia="Courier New" w:hAnsi="Courier New"/>
          <w:sz w:val="13"/>
          <w:szCs w:val="13"/>
          <w:color w:val="auto"/>
        </w:rPr>
        <w:t>10.16 Employment Agreement, dated May 7, 1998, between the Company and Frank T. Gentry (incorporated by reference to Exhibit 10.14 of the Company's Annual Report on Form 10-K filed March 31, 1999)*</w:t>
      </w:r>
    </w:p>
    <w:p>
      <w:pPr>
        <w:spacing w:after="0" w:line="151"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3"/>
          <w:szCs w:val="13"/>
          <w:color w:val="auto"/>
        </w:rPr>
        <w:t>10.17 Amendment No. 1 to Employment Agreement between the Company and Frank</w:t>
      </w:r>
    </w:p>
    <w:p>
      <w:pPr>
        <w:spacing w:after="0" w:line="7" w:lineRule="exact"/>
        <w:rPr>
          <w:sz w:val="20"/>
          <w:szCs w:val="20"/>
          <w:color w:val="auto"/>
        </w:rPr>
      </w:pPr>
    </w:p>
    <w:p>
      <w:pPr>
        <w:ind w:left="560" w:right="3819"/>
        <w:spacing w:after="0" w:line="253" w:lineRule="auto"/>
        <w:rPr>
          <w:sz w:val="20"/>
          <w:szCs w:val="20"/>
          <w:color w:val="auto"/>
        </w:rPr>
      </w:pPr>
      <w:r>
        <w:rPr>
          <w:rFonts w:ascii="Courier New" w:cs="Courier New" w:eastAsia="Courier New" w:hAnsi="Courier New"/>
          <w:sz w:val="13"/>
          <w:szCs w:val="13"/>
          <w:color w:val="auto"/>
        </w:rPr>
        <w:t>T. Gentry, dated January 21, 2002 (incorporated by reference to Exhibit 10.16 of the Company's Annual Report on Form 10-K filed March 29, 2002)*</w:t>
      </w:r>
    </w:p>
    <w:p>
      <w:pPr>
        <w:spacing w:after="0" w:line="151" w:lineRule="exact"/>
        <w:rPr>
          <w:sz w:val="20"/>
          <w:szCs w:val="20"/>
          <w:color w:val="auto"/>
        </w:rPr>
      </w:pPr>
    </w:p>
    <w:p>
      <w:pPr>
        <w:jc w:val="both"/>
        <w:ind w:left="560" w:right="3819" w:hanging="480"/>
        <w:spacing w:after="0" w:line="252" w:lineRule="auto"/>
        <w:rPr>
          <w:sz w:val="20"/>
          <w:szCs w:val="20"/>
          <w:color w:val="auto"/>
        </w:rPr>
      </w:pPr>
      <w:r>
        <w:rPr>
          <w:rFonts w:ascii="Courier New" w:cs="Courier New" w:eastAsia="Courier New" w:hAnsi="Courier New"/>
          <w:sz w:val="13"/>
          <w:szCs w:val="13"/>
          <w:color w:val="auto"/>
        </w:rPr>
        <w:t>10.18 Change of Control and Noncompetition Agreement dated January 21, 2002 between the Company and Frank T. Gentry (incorporated by reference to Exhibit 10.17 to the Company's Annual Report on Form 10-K filed March 29, 2002)*</w:t>
      </w:r>
    </w:p>
    <w:p>
      <w:pPr>
        <w:spacing w:after="0" w:line="153" w:lineRule="exact"/>
        <w:rPr>
          <w:sz w:val="20"/>
          <w:szCs w:val="20"/>
          <w:color w:val="auto"/>
        </w:rPr>
      </w:pPr>
    </w:p>
    <w:p>
      <w:pPr>
        <w:ind w:left="560" w:right="3819" w:hanging="480"/>
        <w:spacing w:after="0" w:line="253" w:lineRule="auto"/>
        <w:rPr>
          <w:sz w:val="20"/>
          <w:szCs w:val="20"/>
          <w:color w:val="auto"/>
        </w:rPr>
      </w:pPr>
      <w:r>
        <w:rPr>
          <w:rFonts w:ascii="Courier New" w:cs="Courier New" w:eastAsia="Courier New" w:hAnsi="Courier New"/>
          <w:sz w:val="13"/>
          <w:szCs w:val="13"/>
          <w:color w:val="auto"/>
        </w:rPr>
        <w:t>10.19 Employment Agreement, dated January 21, 2002, between the Company and Robert R. Sams (incorporated by reference to Exhibit 10.20 of the Company's Annual Report on Form 10-K filed March 29, 2002)*</w:t>
      </w:r>
    </w:p>
    <w:p>
      <w:pPr>
        <w:spacing w:after="0" w:line="151" w:lineRule="exact"/>
        <w:rPr>
          <w:sz w:val="20"/>
          <w:szCs w:val="20"/>
          <w:color w:val="auto"/>
        </w:rPr>
      </w:pPr>
    </w:p>
    <w:p>
      <w:pPr>
        <w:ind w:left="560" w:right="3739" w:hanging="480"/>
        <w:spacing w:after="0" w:line="252" w:lineRule="auto"/>
        <w:rPr>
          <w:sz w:val="20"/>
          <w:szCs w:val="20"/>
          <w:color w:val="auto"/>
        </w:rPr>
      </w:pPr>
      <w:r>
        <w:rPr>
          <w:rFonts w:ascii="Courier New" w:cs="Courier New" w:eastAsia="Courier New" w:hAnsi="Courier New"/>
          <w:sz w:val="13"/>
          <w:szCs w:val="13"/>
          <w:color w:val="auto"/>
        </w:rPr>
        <w:t>10.20 Change of Control and Noncompetition Agreement dated January 21, 2002, between the Company and Robert R. Sams (incorporated by reference to Exhibit 10.21 of the Company's Annual Report on Form 10-K filed March 29, 2002)*</w:t>
      </w:r>
    </w:p>
    <w:p>
      <w:pPr>
        <w:sectPr>
          <w:pgSz w:w="11900" w:h="16838" w:orient="portrait"/>
          <w:cols w:equalWidth="0" w:num="1">
            <w:col w:w="9919"/>
          </w:cols>
          <w:pgMar w:left="540" w:top="295" w:right="1440" w:bottom="0" w:gutter="0" w:footer="0" w:header="0"/>
        </w:sectPr>
      </w:pPr>
    </w:p>
    <w:bookmarkStart w:id="42" w:name="page43"/>
    <w:bookmarkEnd w:id="42"/>
    <w:p>
      <w:pPr>
        <w:ind w:left="880" w:right="3819" w:hanging="480"/>
        <w:spacing w:after="0" w:line="253" w:lineRule="auto"/>
        <w:rPr>
          <w:sz w:val="20"/>
          <w:szCs w:val="20"/>
          <w:color w:val="auto"/>
        </w:rPr>
      </w:pPr>
      <w:r>
        <w:rPr>
          <w:rFonts w:ascii="Courier New" w:cs="Courier New" w:eastAsia="Courier New" w:hAnsi="Courier New"/>
          <w:sz w:val="13"/>
          <w:szCs w:val="13"/>
          <w:color w:val="auto"/>
        </w:rPr>
        <w:t>10.21 Employment Agreement, dated January 21, 2002, between the Company and David L. Dyckman (incorporated by reference to Exhibit 10.22 of the Company's Annual Report on Form 10-K filed March 29, 2002)*</w:t>
      </w:r>
    </w:p>
    <w:p>
      <w:pPr>
        <w:spacing w:after="0" w:line="151" w:lineRule="exact"/>
        <w:rPr>
          <w:sz w:val="20"/>
          <w:szCs w:val="20"/>
          <w:color w:val="auto"/>
        </w:rPr>
      </w:pPr>
    </w:p>
    <w:p>
      <w:pPr>
        <w:ind w:left="880" w:right="3739" w:hanging="480"/>
        <w:spacing w:after="0" w:line="252" w:lineRule="auto"/>
        <w:rPr>
          <w:sz w:val="20"/>
          <w:szCs w:val="20"/>
          <w:color w:val="auto"/>
        </w:rPr>
      </w:pPr>
      <w:r>
        <w:rPr>
          <w:rFonts w:ascii="Courier New" w:cs="Courier New" w:eastAsia="Courier New" w:hAnsi="Courier New"/>
          <w:sz w:val="13"/>
          <w:szCs w:val="13"/>
          <w:color w:val="auto"/>
        </w:rPr>
        <w:t>10.22 Change of Control and Noncompetition Agreement, dated January 21, 2002, between the Company and David L. Dyckman (incorporated by reference to Exhibit 10.25 of the Company's Annual Report on Form 10-K filed March 29, 2002)*</w:t>
      </w:r>
    </w:p>
    <w:p>
      <w:pPr>
        <w:spacing w:after="0" w:line="153" w:lineRule="exact"/>
        <w:rPr>
          <w:sz w:val="20"/>
          <w:szCs w:val="20"/>
          <w:color w:val="auto"/>
        </w:rPr>
      </w:pPr>
    </w:p>
    <w:p>
      <w:pPr>
        <w:jc w:val="both"/>
        <w:ind w:left="880" w:right="3899" w:hanging="480"/>
        <w:spacing w:after="0" w:line="253" w:lineRule="auto"/>
        <w:rPr>
          <w:sz w:val="20"/>
          <w:szCs w:val="20"/>
          <w:color w:val="auto"/>
        </w:rPr>
      </w:pPr>
      <w:r>
        <w:rPr>
          <w:rFonts w:ascii="Courier New" w:cs="Courier New" w:eastAsia="Courier New" w:hAnsi="Courier New"/>
          <w:sz w:val="13"/>
          <w:szCs w:val="13"/>
          <w:color w:val="auto"/>
        </w:rPr>
        <w:t>10.23 Employment Agreement dated January 21, 2002, between the Company and William C. Kelly, Jr. (incorporated by reference to Exhibit 10.22 of the Company's Annual Report on Form 10-K filed March 29, 2002)*</w:t>
      </w:r>
    </w:p>
    <w:p>
      <w:pPr>
        <w:spacing w:after="0" w:line="151" w:lineRule="exact"/>
        <w:rPr>
          <w:sz w:val="20"/>
          <w:szCs w:val="20"/>
          <w:color w:val="auto"/>
        </w:rPr>
      </w:pPr>
    </w:p>
    <w:p>
      <w:pPr>
        <w:ind w:left="880" w:right="3739" w:hanging="480"/>
        <w:spacing w:after="0" w:line="252" w:lineRule="auto"/>
        <w:rPr>
          <w:sz w:val="20"/>
          <w:szCs w:val="20"/>
          <w:color w:val="auto"/>
        </w:rPr>
      </w:pPr>
      <w:r>
        <w:rPr>
          <w:rFonts w:ascii="Courier New" w:cs="Courier New" w:eastAsia="Courier New" w:hAnsi="Courier New"/>
          <w:sz w:val="13"/>
          <w:szCs w:val="13"/>
          <w:color w:val="auto"/>
        </w:rPr>
        <w:t>10.24 Change of Control and Noncompetition Agreement, dated January 21, 2002, between the Company and William C. Kelly, Jr. (incorporated by reference to Exhibit 10.23 of the Company's Annual Report on Form 10-K filed March 29, 2002)*</w:t>
      </w:r>
    </w:p>
    <w:p>
      <w:pPr>
        <w:spacing w:after="0" w:line="153" w:lineRule="exact"/>
        <w:rPr>
          <w:sz w:val="20"/>
          <w:szCs w:val="20"/>
          <w:color w:val="auto"/>
        </w:rPr>
      </w:pPr>
    </w:p>
    <w:p>
      <w:pPr>
        <w:ind w:left="880" w:right="3739" w:hanging="480"/>
        <w:spacing w:after="0" w:line="252" w:lineRule="auto"/>
        <w:rPr>
          <w:sz w:val="20"/>
          <w:szCs w:val="20"/>
          <w:color w:val="auto"/>
        </w:rPr>
      </w:pPr>
      <w:r>
        <w:rPr>
          <w:rFonts w:ascii="Courier New" w:cs="Courier New" w:eastAsia="Courier New" w:hAnsi="Courier New"/>
          <w:sz w:val="13"/>
          <w:szCs w:val="13"/>
          <w:color w:val="auto"/>
        </w:rPr>
        <w:t>10.25 NN Euroball, ApS Shareholder Agreement dated April 6, 2000 among NN, Inc., AB SKF and FAG Kugelfischer Georg Shafer AG (incorporated by reference to Exhibit 10.26 of the Company's Annual Report on Form 10-K filed March 29, 2002)*</w:t>
      </w:r>
    </w:p>
    <w:p>
      <w:pPr>
        <w:spacing w:after="0" w:line="153" w:lineRule="exact"/>
        <w:rPr>
          <w:sz w:val="20"/>
          <w:szCs w:val="20"/>
          <w:color w:val="auto"/>
        </w:rPr>
      </w:pPr>
    </w:p>
    <w:p>
      <w:pPr>
        <w:jc w:val="both"/>
        <w:ind w:left="880" w:right="3739" w:hanging="480"/>
        <w:spacing w:after="0" w:line="251" w:lineRule="auto"/>
        <w:rPr>
          <w:sz w:val="20"/>
          <w:szCs w:val="20"/>
          <w:color w:val="auto"/>
        </w:rPr>
      </w:pPr>
      <w:r>
        <w:rPr>
          <w:rFonts w:ascii="Courier New" w:cs="Courier New" w:eastAsia="Courier New" w:hAnsi="Courier New"/>
          <w:sz w:val="13"/>
          <w:szCs w:val="13"/>
          <w:color w:val="auto"/>
        </w:rPr>
        <w:t>10.26 Frame Supply Agreement between Euroball S.p.A., Kugelfertigung Eltmann GmbH, NN Euroball Ireland Ltd. and Ascometal effective January 1, 2002 (We have omitted certain information from the Agreement and filed</w:t>
      </w:r>
    </w:p>
    <w:p>
      <w:pPr>
        <w:spacing w:after="0" w:line="1" w:lineRule="exact"/>
        <w:rPr>
          <w:sz w:val="20"/>
          <w:szCs w:val="20"/>
          <w:color w:val="auto"/>
        </w:rPr>
      </w:pPr>
    </w:p>
    <w:p>
      <w:pPr>
        <w:ind w:left="880" w:right="3499"/>
        <w:spacing w:after="0" w:line="251" w:lineRule="auto"/>
        <w:rPr>
          <w:sz w:val="20"/>
          <w:szCs w:val="20"/>
          <w:color w:val="auto"/>
        </w:rPr>
      </w:pPr>
      <w:r>
        <w:rPr>
          <w:rFonts w:ascii="Courier New" w:cs="Courier New" w:eastAsia="Courier New" w:hAnsi="Courier New"/>
          <w:sz w:val="13"/>
          <w:szCs w:val="13"/>
          <w:color w:val="auto"/>
        </w:rPr>
        <w:t>it separately with the Securities and Exchange Commission pursuant to our request for confidential treatment under Rule 24b-2. We have identified the omitted confidential information by the following statement, "Confidential portions of material have been omitted and filed separately with the Securities and Exchange Commission," as indicated throughout the document with an asterisk in brackets ([*])</w:t>
      </w:r>
    </w:p>
    <w:p>
      <w:pPr>
        <w:spacing w:after="0" w:line="155" w:lineRule="exact"/>
        <w:rPr>
          <w:sz w:val="20"/>
          <w:szCs w:val="20"/>
          <w:color w:val="auto"/>
        </w:rPr>
      </w:pPr>
    </w:p>
    <w:p>
      <w:pPr>
        <w:ind w:left="400"/>
        <w:spacing w:after="0"/>
        <w:tabs>
          <w:tab w:leader="none" w:pos="860" w:val="left"/>
        </w:tabs>
        <w:rPr>
          <w:sz w:val="20"/>
          <w:szCs w:val="20"/>
          <w:color w:val="auto"/>
        </w:rPr>
      </w:pPr>
      <w:r>
        <w:rPr>
          <w:rFonts w:ascii="Courier New" w:cs="Courier New" w:eastAsia="Courier New" w:hAnsi="Courier New"/>
          <w:sz w:val="13"/>
          <w:szCs w:val="13"/>
          <w:color w:val="auto"/>
        </w:rPr>
        <w:t>21.1</w:t>
        <w:tab/>
        <w:t>List of Subsidiaries of the Company.</w:t>
      </w:r>
    </w:p>
    <w:p>
      <w:pPr>
        <w:spacing w:after="0" w:line="161" w:lineRule="exact"/>
        <w:rPr>
          <w:sz w:val="20"/>
          <w:szCs w:val="20"/>
          <w:color w:val="auto"/>
        </w:rPr>
      </w:pPr>
    </w:p>
    <w:p>
      <w:pPr>
        <w:ind w:left="400"/>
        <w:spacing w:after="0"/>
        <w:tabs>
          <w:tab w:leader="none" w:pos="860" w:val="left"/>
        </w:tabs>
        <w:rPr>
          <w:sz w:val="20"/>
          <w:szCs w:val="20"/>
          <w:color w:val="auto"/>
        </w:rPr>
      </w:pPr>
      <w:r>
        <w:rPr>
          <w:rFonts w:ascii="Courier New" w:cs="Courier New" w:eastAsia="Courier New" w:hAnsi="Courier New"/>
          <w:sz w:val="13"/>
          <w:szCs w:val="13"/>
          <w:color w:val="auto"/>
        </w:rPr>
        <w:t>23.1</w:t>
        <w:tab/>
        <w:t>Consent of KPMG, LLP, Independent Auditors</w:t>
      </w:r>
    </w:p>
    <w:p>
      <w:pPr>
        <w:spacing w:after="0" w:line="315"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800" w:right="4059" w:hanging="400"/>
        <w:spacing w:after="0" w:line="254" w:lineRule="auto"/>
        <w:rPr>
          <w:sz w:val="20"/>
          <w:szCs w:val="20"/>
          <w:color w:val="auto"/>
        </w:rPr>
      </w:pPr>
      <w:r>
        <w:rPr>
          <w:rFonts w:ascii="Courier New" w:cs="Courier New" w:eastAsia="Courier New" w:hAnsi="Courier New"/>
          <w:sz w:val="13"/>
          <w:szCs w:val="13"/>
          <w:color w:val="auto"/>
        </w:rPr>
        <w:t>99.1 Certification of Chief Executive Officer pursuant to Section 906 of Sarbanes-Oxley Act</w:t>
      </w:r>
    </w:p>
    <w:p>
      <w:pPr>
        <w:spacing w:after="0" w:line="151" w:lineRule="exact"/>
        <w:rPr>
          <w:sz w:val="20"/>
          <w:szCs w:val="20"/>
          <w:color w:val="auto"/>
        </w:rPr>
      </w:pPr>
    </w:p>
    <w:p>
      <w:pPr>
        <w:ind w:left="800" w:right="4059" w:hanging="400"/>
        <w:spacing w:after="0" w:line="254" w:lineRule="auto"/>
        <w:rPr>
          <w:sz w:val="20"/>
          <w:szCs w:val="20"/>
          <w:color w:val="auto"/>
        </w:rPr>
      </w:pPr>
      <w:r>
        <w:rPr>
          <w:rFonts w:ascii="Courier New" w:cs="Courier New" w:eastAsia="Courier New" w:hAnsi="Courier New"/>
          <w:sz w:val="13"/>
          <w:szCs w:val="13"/>
          <w:color w:val="auto"/>
        </w:rPr>
        <w:t>99.2 Certification of Chief Financial Officer pursuant to Section 906 of Sarbanes-Oxley Act</w:t>
      </w: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w:t>
      </w:r>
    </w:p>
    <w:p>
      <w:pPr>
        <w:spacing w:after="0" w:line="7" w:lineRule="exact"/>
        <w:rPr>
          <w:sz w:val="20"/>
          <w:szCs w:val="20"/>
          <w:color w:val="auto"/>
        </w:rPr>
      </w:pPr>
    </w:p>
    <w:p>
      <w:pPr>
        <w:ind w:left="720" w:hanging="718"/>
        <w:spacing w:after="0"/>
        <w:tabs>
          <w:tab w:leader="none" w:pos="720" w:val="left"/>
        </w:tabs>
        <w:numPr>
          <w:ilvl w:val="0"/>
          <w:numId w:val="32"/>
        </w:numPr>
        <w:rPr>
          <w:rFonts w:ascii="Courier New" w:cs="Courier New" w:eastAsia="Courier New" w:hAnsi="Courier New"/>
          <w:sz w:val="13"/>
          <w:szCs w:val="13"/>
          <w:color w:val="auto"/>
        </w:rPr>
      </w:pPr>
      <w:r>
        <w:rPr>
          <w:rFonts w:ascii="Courier New" w:cs="Courier New" w:eastAsia="Courier New" w:hAnsi="Courier New"/>
          <w:sz w:val="13"/>
          <w:szCs w:val="13"/>
          <w:color w:val="auto"/>
        </w:rPr>
        <w:t>Management contract or compensatory plan or arrangement.</w:t>
      </w:r>
    </w:p>
    <w:p>
      <w:pPr>
        <w:spacing w:after="0" w:line="200" w:lineRule="exact"/>
        <w:rPr>
          <w:rFonts w:ascii="Courier New" w:cs="Courier New" w:eastAsia="Courier New" w:hAnsi="Courier New"/>
          <w:sz w:val="13"/>
          <w:szCs w:val="13"/>
          <w:color w:val="auto"/>
        </w:rPr>
      </w:pPr>
    </w:p>
    <w:p>
      <w:pPr>
        <w:spacing w:after="0" w:line="200" w:lineRule="exact"/>
        <w:rPr>
          <w:rFonts w:ascii="Courier New" w:cs="Courier New" w:eastAsia="Courier New" w:hAnsi="Courier New"/>
          <w:sz w:val="13"/>
          <w:szCs w:val="13"/>
          <w:color w:val="auto"/>
        </w:rPr>
      </w:pPr>
    </w:p>
    <w:p>
      <w:pPr>
        <w:spacing w:after="0" w:line="200" w:lineRule="exact"/>
        <w:rPr>
          <w:rFonts w:ascii="Courier New" w:cs="Courier New" w:eastAsia="Courier New" w:hAnsi="Courier New"/>
          <w:sz w:val="13"/>
          <w:szCs w:val="13"/>
          <w:color w:val="auto"/>
        </w:rPr>
      </w:pPr>
    </w:p>
    <w:p>
      <w:pPr>
        <w:spacing w:after="0" w:line="332" w:lineRule="exact"/>
        <w:rPr>
          <w:rFonts w:ascii="Courier New" w:cs="Courier New" w:eastAsia="Courier New" w:hAnsi="Courier New"/>
          <w:sz w:val="13"/>
          <w:szCs w:val="13"/>
          <w:color w:val="auto"/>
        </w:rPr>
      </w:pPr>
    </w:p>
    <w:p>
      <w:pPr>
        <w:ind w:left="3120"/>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271145</wp:posOffset>
            </wp:positionV>
            <wp:extent cx="730440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ectPr>
          <w:pgSz w:w="11900" w:h="16838" w:orient="portrait"/>
          <w:cols w:equalWidth="0" w:num="1">
            <w:col w:w="10239"/>
          </w:cols>
          <w:pgMar w:left="220" w:top="141" w:right="1440" w:bottom="1440" w:gutter="0" w:footer="0" w:header="0"/>
        </w:sectPr>
      </w:pPr>
    </w:p>
    <w:bookmarkStart w:id="43" w:name="page44"/>
    <w:bookmarkEnd w:id="43"/>
    <w:p>
      <w:pPr>
        <w:ind w:left="4740"/>
        <w:spacing w:after="0"/>
        <w:rPr>
          <w:sz w:val="20"/>
          <w:szCs w:val="20"/>
          <w:color w:val="auto"/>
        </w:rPr>
      </w:pPr>
      <w:r>
        <w:rPr>
          <w:rFonts w:ascii="Courier New" w:cs="Courier New" w:eastAsia="Courier New" w:hAnsi="Courier New"/>
          <w:sz w:val="13"/>
          <w:szCs w:val="13"/>
          <w:color w:val="auto"/>
        </w:rPr>
        <w:t>Contract NN/02/RAW/ge</w:t>
      </w:r>
    </w:p>
    <w:p>
      <w:pPr>
        <w:spacing w:after="0" w:line="161" w:lineRule="exact"/>
        <w:rPr>
          <w:sz w:val="20"/>
          <w:szCs w:val="20"/>
          <w:color w:val="auto"/>
        </w:rPr>
      </w:pPr>
    </w:p>
    <w:p>
      <w:pPr>
        <w:ind w:right="3819"/>
        <w:spacing w:after="0" w:line="253" w:lineRule="auto"/>
        <w:rPr>
          <w:sz w:val="20"/>
          <w:szCs w:val="20"/>
          <w:color w:val="auto"/>
        </w:rPr>
      </w:pPr>
      <w:r>
        <w:rPr>
          <w:rFonts w:ascii="Courier New" w:cs="Courier New" w:eastAsia="Courier New" w:hAnsi="Courier New"/>
          <w:sz w:val="13"/>
          <w:szCs w:val="13"/>
          <w:b w:val="1"/>
          <w:bCs w:val="1"/>
          <w:color w:val="auto"/>
        </w:rPr>
        <w:t>CONFIDENTIAL PORTIONS OF MATERIAL HAVE BEEN OMITTED AND FILED SEPARATELY WITH THE SECURITIES AND EXCHANGE COMMISSION. THE REDACTED MATERIAL HAS BEEN INDICATED WITH AN ASTERISK IN BRACKETS ([*])</w:t>
      </w:r>
    </w:p>
    <w:p>
      <w:pPr>
        <w:spacing w:after="0" w:line="305"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3"/>
          <w:szCs w:val="13"/>
          <w:b w:val="1"/>
          <w:bCs w:val="1"/>
          <w:color w:val="auto"/>
        </w:rPr>
        <w:t>CONTRACT N(degree) NN/02/RAW/ge</w:t>
      </w:r>
    </w:p>
    <w:p>
      <w:pPr>
        <w:spacing w:after="0" w:line="7"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3"/>
          <w:szCs w:val="13"/>
          <w:b w:val="1"/>
          <w:bCs w:val="1"/>
          <w:color w:val="auto"/>
        </w:rPr>
        <w:t>FRAME SUPPLY AGREEEMENT</w:t>
      </w:r>
    </w:p>
    <w:p>
      <w:pPr>
        <w:spacing w:after="0" w:line="7"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3"/>
          <w:szCs w:val="13"/>
          <w:b w:val="1"/>
          <w:bCs w:val="1"/>
          <w:color w:val="auto"/>
        </w:rPr>
        <w:t>BETWEEN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"EUROBALL ENTITIES" or when they have to be considered as a whole, "EUROBALL"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herebelow specified :</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EUROBALL S.p.A - with a share capital of 35.535.200,00</w:t>
      </w:r>
    </w:p>
    <w:p>
      <w:pPr>
        <w:spacing w:after="0" w:line="7" w:lineRule="exact"/>
        <w:rPr>
          <w:sz w:val="20"/>
          <w:szCs w:val="20"/>
          <w:color w:val="auto"/>
        </w:rPr>
      </w:pPr>
    </w:p>
    <w:p>
      <w:pPr>
        <w:ind w:right="3979"/>
        <w:spacing w:after="0" w:line="254" w:lineRule="auto"/>
        <w:rPr>
          <w:sz w:val="20"/>
          <w:szCs w:val="20"/>
          <w:color w:val="auto"/>
        </w:rPr>
      </w:pPr>
      <w:r>
        <w:rPr>
          <w:rFonts w:ascii="Courier New" w:cs="Courier New" w:eastAsia="Courier New" w:hAnsi="Courier New"/>
          <w:sz w:val="13"/>
          <w:szCs w:val="13"/>
          <w:color w:val="auto"/>
        </w:rPr>
        <w:t>Euros , registered office is at Torino (10123) -Italy, Via Carlo Alberto 65 registered at the Reg. Impr. of Torino nr 131013/1999 ,Vat number IT0780247018</w:t>
      </w:r>
    </w:p>
    <w:p>
      <w:pPr>
        <w:spacing w:after="0" w:line="151" w:lineRule="exact"/>
        <w:rPr>
          <w:sz w:val="20"/>
          <w:szCs w:val="20"/>
          <w:color w:val="auto"/>
        </w:rPr>
      </w:pPr>
    </w:p>
    <w:p>
      <w:pPr>
        <w:ind w:right="3659" w:firstLine="82"/>
        <w:spacing w:after="0" w:line="253" w:lineRule="auto"/>
        <w:tabs>
          <w:tab w:leader="none" w:pos="241" w:val="left"/>
        </w:tabs>
        <w:numPr>
          <w:ilvl w:val="1"/>
          <w:numId w:val="33"/>
        </w:numPr>
        <w:rPr>
          <w:rFonts w:ascii="Courier New" w:cs="Courier New" w:eastAsia="Courier New" w:hAnsi="Courier New"/>
          <w:sz w:val="13"/>
          <w:szCs w:val="13"/>
          <w:color w:val="auto"/>
        </w:rPr>
      </w:pPr>
      <w:r>
        <w:rPr>
          <w:rFonts w:ascii="Courier New" w:cs="Courier New" w:eastAsia="Courier New" w:hAnsi="Courier New"/>
          <w:sz w:val="13"/>
          <w:szCs w:val="13"/>
          <w:color w:val="auto"/>
        </w:rPr>
        <w:t>KUGELFERTIGUNG ELTMANN GmbH with a share capital of 25.000,00 Euros, registered office is at Eltmann (97483) - Germany , Industriestr. 2 , registration number : Bamberg HRB 4028 , VAT number DE812864071</w:t>
      </w:r>
    </w:p>
    <w:p>
      <w:pPr>
        <w:spacing w:after="0" w:line="151" w:lineRule="exact"/>
        <w:rPr>
          <w:rFonts w:ascii="Courier New" w:cs="Courier New" w:eastAsia="Courier New" w:hAnsi="Courier New"/>
          <w:sz w:val="13"/>
          <w:szCs w:val="13"/>
          <w:color w:val="auto"/>
        </w:rPr>
      </w:pPr>
    </w:p>
    <w:p>
      <w:pPr>
        <w:ind w:right="3899" w:firstLine="2"/>
        <w:spacing w:after="0" w:line="253" w:lineRule="auto"/>
        <w:tabs>
          <w:tab w:leader="none" w:pos="160" w:val="left"/>
        </w:tabs>
        <w:numPr>
          <w:ilvl w:val="0"/>
          <w:numId w:val="33"/>
        </w:numPr>
        <w:rPr>
          <w:rFonts w:ascii="Courier New" w:cs="Courier New" w:eastAsia="Courier New" w:hAnsi="Courier New"/>
          <w:sz w:val="13"/>
          <w:szCs w:val="13"/>
          <w:color w:val="auto"/>
        </w:rPr>
      </w:pPr>
      <w:r>
        <w:rPr>
          <w:rFonts w:ascii="Courier New" w:cs="Courier New" w:eastAsia="Courier New" w:hAnsi="Courier New"/>
          <w:sz w:val="13"/>
          <w:szCs w:val="13"/>
          <w:color w:val="auto"/>
        </w:rPr>
        <w:t>- NN Euroball Ireland Ltd with a share capital of 11.185.397,00 Euros, registered office is at Dublin 1 (IFSC) - Ireland, McCann Fitzgerald Solicitors , 2 Harbourmasters Place , registration number : 266256 , VAT number IE266256R.</w:t>
      </w:r>
    </w:p>
    <w:p>
      <w:pPr>
        <w:spacing w:after="0" w:line="151" w:lineRule="exact"/>
        <w:rPr>
          <w:sz w:val="20"/>
          <w:szCs w:val="20"/>
          <w:color w:val="auto"/>
        </w:rPr>
      </w:pPr>
    </w:p>
    <w:p>
      <w:pPr>
        <w:ind w:right="4459"/>
        <w:spacing w:after="0" w:line="254" w:lineRule="auto"/>
        <w:rPr>
          <w:sz w:val="20"/>
          <w:szCs w:val="20"/>
          <w:color w:val="auto"/>
        </w:rPr>
      </w:pPr>
      <w:r>
        <w:rPr>
          <w:rFonts w:ascii="Courier New" w:cs="Courier New" w:eastAsia="Courier New" w:hAnsi="Courier New"/>
          <w:sz w:val="13"/>
          <w:szCs w:val="13"/>
          <w:color w:val="auto"/>
        </w:rPr>
        <w:t>Hereinafter referred as to "Buyer", represented by: Dario Galetti in his capacity as Managing Director of Euroball ApS</w:t>
      </w:r>
    </w:p>
    <w:p>
      <w:pPr>
        <w:spacing w:after="0" w:line="151"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3"/>
          <w:szCs w:val="13"/>
          <w:b w:val="1"/>
          <w:bCs w:val="1"/>
          <w:color w:val="auto"/>
        </w:rPr>
        <w:t>AND</w:t>
      </w:r>
    </w:p>
    <w:p>
      <w:pPr>
        <w:spacing w:after="0" w:line="161" w:lineRule="exact"/>
        <w:rPr>
          <w:sz w:val="20"/>
          <w:szCs w:val="20"/>
          <w:color w:val="auto"/>
        </w:rPr>
      </w:pPr>
    </w:p>
    <w:p>
      <w:pPr>
        <w:ind w:right="4299"/>
        <w:spacing w:after="0" w:line="252" w:lineRule="auto"/>
        <w:rPr>
          <w:sz w:val="20"/>
          <w:szCs w:val="20"/>
          <w:color w:val="auto"/>
        </w:rPr>
      </w:pPr>
      <w:r>
        <w:rPr>
          <w:rFonts w:ascii="Courier New" w:cs="Courier New" w:eastAsia="Courier New" w:hAnsi="Courier New"/>
          <w:sz w:val="13"/>
          <w:szCs w:val="13"/>
          <w:color w:val="auto"/>
        </w:rPr>
        <w:t>ASCOMETAL, Societe Anonyme a directoire et conseil de surveillance with a capital of 65 285 430 Euros, whose registered office is at PUTEAUX (92800) Immeuble LA PACIFIC - LA DEFENSE 7, 11-13, cours VALMY, registered at the Registre du Commerce et des Societes in NANTERRE under No. B 331048132,</w:t>
      </w:r>
    </w:p>
    <w:p>
      <w:pPr>
        <w:spacing w:after="0" w:line="153" w:lineRule="exact"/>
        <w:rPr>
          <w:sz w:val="20"/>
          <w:szCs w:val="20"/>
          <w:color w:val="auto"/>
        </w:rPr>
      </w:pPr>
    </w:p>
    <w:p>
      <w:pPr>
        <w:ind w:right="4059"/>
        <w:spacing w:after="0" w:line="254" w:lineRule="auto"/>
        <w:rPr>
          <w:sz w:val="20"/>
          <w:szCs w:val="20"/>
          <w:color w:val="auto"/>
        </w:rPr>
      </w:pPr>
      <w:r>
        <w:rPr>
          <w:rFonts w:ascii="Courier New" w:cs="Courier New" w:eastAsia="Courier New" w:hAnsi="Courier New"/>
          <w:sz w:val="13"/>
          <w:szCs w:val="13"/>
          <w:color w:val="auto"/>
        </w:rPr>
        <w:t>hereinafter referred as to the "Supplier", represented by Pascal NERBONNE, in his capacity as Marketing and Sales Director.</w:t>
      </w:r>
    </w:p>
    <w:p>
      <w:pPr>
        <w:spacing w:after="0" w:line="151" w:lineRule="exact"/>
        <w:rPr>
          <w:sz w:val="20"/>
          <w:szCs w:val="20"/>
          <w:color w:val="auto"/>
        </w:rPr>
      </w:pPr>
    </w:p>
    <w:p>
      <w:pPr>
        <w:ind w:left="2960"/>
        <w:spacing w:after="0"/>
        <w:rPr>
          <w:sz w:val="20"/>
          <w:szCs w:val="20"/>
          <w:color w:val="auto"/>
        </w:rPr>
      </w:pPr>
      <w:r>
        <w:rPr>
          <w:rFonts w:ascii="Courier New" w:cs="Courier New" w:eastAsia="Courier New" w:hAnsi="Courier New"/>
          <w:sz w:val="13"/>
          <w:szCs w:val="13"/>
          <w:b w:val="1"/>
          <w:bCs w:val="1"/>
          <w:color w:val="auto"/>
        </w:rPr>
        <w:t>WHEREAS</w:t>
      </w:r>
    </w:p>
    <w:p>
      <w:pPr>
        <w:spacing w:after="0" w:line="161" w:lineRule="exact"/>
        <w:rPr>
          <w:sz w:val="20"/>
          <w:szCs w:val="20"/>
          <w:color w:val="auto"/>
        </w:rPr>
      </w:pPr>
    </w:p>
    <w:p>
      <w:pPr>
        <w:ind w:left="720" w:right="3979" w:hanging="718"/>
        <w:spacing w:after="0" w:line="251" w:lineRule="auto"/>
        <w:tabs>
          <w:tab w:leader="none" w:pos="720" w:val="left"/>
        </w:tabs>
        <w:numPr>
          <w:ilvl w:val="0"/>
          <w:numId w:val="3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EUROBALL ENTITIES are members of the Euroball group with business activities consisting on the manufacturing of precision steel balls for, inter alia, ball bearings;</w:t>
      </w:r>
    </w:p>
    <w:p>
      <w:pPr>
        <w:ind w:left="720" w:right="4299" w:hanging="718"/>
        <w:spacing w:after="0" w:line="251" w:lineRule="auto"/>
        <w:tabs>
          <w:tab w:leader="none" w:pos="720" w:val="left"/>
        </w:tabs>
        <w:numPr>
          <w:ilvl w:val="0"/>
          <w:numId w:val="34"/>
        </w:numPr>
        <w:rPr>
          <w:rFonts w:ascii="Courier New" w:cs="Courier New" w:eastAsia="Courier New" w:hAnsi="Courier New"/>
          <w:sz w:val="13"/>
          <w:szCs w:val="13"/>
          <w:color w:val="auto"/>
        </w:rPr>
      </w:pPr>
      <w:r>
        <w:rPr>
          <w:rFonts w:ascii="Courier New" w:cs="Courier New" w:eastAsia="Courier New" w:hAnsi="Courier New"/>
          <w:sz w:val="13"/>
          <w:szCs w:val="13"/>
          <w:color w:val="auto"/>
        </w:rPr>
        <w:t>Each of the EUROBALL ENTITIES has a continuing need of Product as defined herein;</w:t>
      </w:r>
    </w:p>
    <w:p>
      <w:pPr>
        <w:ind w:left="720" w:right="3979" w:hanging="718"/>
        <w:spacing w:after="0" w:line="251" w:lineRule="auto"/>
        <w:tabs>
          <w:tab w:leader="none" w:pos="720" w:val="left"/>
        </w:tabs>
        <w:numPr>
          <w:ilvl w:val="0"/>
          <w:numId w:val="3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EUROBALL ENTITIES has therefore decided to enter into a long term frame supply agreement on a group basis;</w:t>
      </w:r>
    </w:p>
    <w:p>
      <w:pPr>
        <w:ind w:left="720" w:right="3979" w:hanging="718"/>
        <w:spacing w:after="0" w:line="254" w:lineRule="auto"/>
        <w:tabs>
          <w:tab w:leader="none" w:pos="720" w:val="left"/>
        </w:tabs>
        <w:numPr>
          <w:ilvl w:val="0"/>
          <w:numId w:val="34"/>
        </w:numPr>
        <w:rPr>
          <w:rFonts w:ascii="Courier New" w:cs="Courier New" w:eastAsia="Courier New" w:hAnsi="Courier New"/>
          <w:sz w:val="13"/>
          <w:szCs w:val="13"/>
          <w:color w:val="auto"/>
        </w:rPr>
      </w:pPr>
      <w:r>
        <w:rPr>
          <w:rFonts w:ascii="Courier New" w:cs="Courier New" w:eastAsia="Courier New" w:hAnsi="Courier New"/>
          <w:sz w:val="13"/>
          <w:szCs w:val="13"/>
          <w:color w:val="auto"/>
        </w:rPr>
        <w:t>Parties now wish to record the detailed basis upon which the Supplier will supply the Products to EUROBALL</w:t>
      </w:r>
    </w:p>
    <w:p>
      <w:pPr>
        <w:spacing w:after="0" w:line="305" w:lineRule="exact"/>
        <w:rPr>
          <w:sz w:val="20"/>
          <w:szCs w:val="20"/>
          <w:color w:val="auto"/>
        </w:rPr>
      </w:pPr>
    </w:p>
    <w:p>
      <w:pPr>
        <w:ind w:left="2880"/>
        <w:spacing w:after="0"/>
        <w:rPr>
          <w:sz w:val="20"/>
          <w:szCs w:val="20"/>
          <w:color w:val="auto"/>
        </w:rPr>
      </w:pPr>
      <w:r>
        <w:rPr>
          <w:rFonts w:ascii="Courier New" w:cs="Courier New" w:eastAsia="Courier New" w:hAnsi="Courier New"/>
          <w:sz w:val="13"/>
          <w:szCs w:val="13"/>
          <w:color w:val="auto"/>
        </w:rPr>
        <w:t>Pagina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75565</wp:posOffset>
            </wp:positionV>
            <wp:extent cx="730440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4740"/>
        <w:spacing w:after="0"/>
        <w:rPr>
          <w:sz w:val="20"/>
          <w:szCs w:val="20"/>
          <w:color w:val="auto"/>
        </w:rPr>
      </w:pPr>
      <w:r>
        <w:rPr>
          <w:rFonts w:ascii="Courier New" w:cs="Courier New" w:eastAsia="Courier New" w:hAnsi="Courier New"/>
          <w:sz w:val="13"/>
          <w:szCs w:val="13"/>
          <w:color w:val="auto"/>
        </w:rPr>
        <w:t>Contract NN/02/RAW/ge</w:t>
      </w:r>
    </w:p>
    <w:p>
      <w:pPr>
        <w:spacing w:after="0" w:line="161" w:lineRule="exact"/>
        <w:rPr>
          <w:sz w:val="20"/>
          <w:szCs w:val="20"/>
          <w:color w:val="auto"/>
        </w:rPr>
      </w:pPr>
    </w:p>
    <w:p>
      <w:pPr>
        <w:ind w:left="1520"/>
        <w:spacing w:after="0"/>
        <w:rPr>
          <w:sz w:val="20"/>
          <w:szCs w:val="20"/>
          <w:color w:val="auto"/>
        </w:rPr>
      </w:pPr>
      <w:r>
        <w:rPr>
          <w:rFonts w:ascii="Courier New" w:cs="Courier New" w:eastAsia="Courier New" w:hAnsi="Courier New"/>
          <w:sz w:val="13"/>
          <w:szCs w:val="13"/>
          <w:b w:val="1"/>
          <w:bCs w:val="1"/>
          <w:color w:val="auto"/>
        </w:rPr>
        <w:t>NOW THEREFORE, PARTIES AGREE WHAT FOLLOWS: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1. OBJECT</w:t>
      </w:r>
    </w:p>
    <w:p>
      <w:pPr>
        <w:spacing w:after="0" w:line="7" w:lineRule="exact"/>
        <w:rPr>
          <w:sz w:val="20"/>
          <w:szCs w:val="20"/>
          <w:color w:val="auto"/>
        </w:rPr>
      </w:pPr>
    </w:p>
    <w:p>
      <w:pPr>
        <w:ind w:right="4059"/>
        <w:spacing w:after="0" w:line="253" w:lineRule="auto"/>
        <w:rPr>
          <w:sz w:val="20"/>
          <w:szCs w:val="20"/>
          <w:color w:val="auto"/>
        </w:rPr>
      </w:pPr>
      <w:r>
        <w:rPr>
          <w:rFonts w:ascii="Courier New" w:cs="Courier New" w:eastAsia="Courier New" w:hAnsi="Courier New"/>
          <w:sz w:val="13"/>
          <w:szCs w:val="13"/>
          <w:color w:val="auto"/>
        </w:rPr>
        <w:t>Pursuant to the terms of this Agreement, Supplier agree to supply to EUROBALL the Products ordered by EUROBALL and EUROBALL agrees to purchase from the Supplier the Products ordered by EUROBALL hereunder.</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2- PRODUCTS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 xml:space="preserve">2.1. </w:t>
      </w:r>
      <w:r>
        <w:rPr>
          <w:rFonts w:ascii="Courier New" w:cs="Courier New" w:eastAsia="Courier New" w:hAnsi="Courier New"/>
          <w:sz w:val="13"/>
          <w:szCs w:val="13"/>
          <w:color w:val="auto"/>
        </w:rPr>
        <w:t>The Products subject of this Contract are :</w:t>
      </w:r>
    </w:p>
    <w:p>
      <w:pPr>
        <w:spacing w:after="0" w:line="161" w:lineRule="exact"/>
        <w:rPr>
          <w:sz w:val="20"/>
          <w:szCs w:val="20"/>
          <w:color w:val="auto"/>
        </w:rPr>
      </w:pPr>
    </w:p>
    <w:p>
      <w:pPr>
        <w:ind w:left="1200" w:hanging="396"/>
        <w:spacing w:after="0"/>
        <w:tabs>
          <w:tab w:leader="none" w:pos="1200" w:val="left"/>
        </w:tabs>
        <w:numPr>
          <w:ilvl w:val="0"/>
          <w:numId w:val="35"/>
        </w:numPr>
        <w:rPr>
          <w:rFonts w:ascii="Courier New" w:cs="Courier New" w:eastAsia="Courier New" w:hAnsi="Courier New"/>
          <w:sz w:val="13"/>
          <w:szCs w:val="13"/>
          <w:color w:val="auto"/>
        </w:rPr>
      </w:pPr>
      <w:r>
        <w:rPr>
          <w:rFonts w:ascii="Courier New" w:cs="Courier New" w:eastAsia="Courier New" w:hAnsi="Courier New"/>
          <w:sz w:val="13"/>
          <w:szCs w:val="13"/>
          <w:color w:val="auto"/>
        </w:rPr>
        <w:t>Wire of diameter [*] mm and [*] mm</w:t>
      </w:r>
    </w:p>
    <w:p>
      <w:pPr>
        <w:spacing w:after="0" w:line="6" w:lineRule="exact"/>
        <w:rPr>
          <w:rFonts w:ascii="Courier New" w:cs="Courier New" w:eastAsia="Courier New" w:hAnsi="Courier New"/>
          <w:sz w:val="13"/>
          <w:szCs w:val="13"/>
          <w:color w:val="auto"/>
        </w:rPr>
      </w:pPr>
    </w:p>
    <w:p>
      <w:pPr>
        <w:ind w:left="1200" w:hanging="396"/>
        <w:spacing w:after="0"/>
        <w:tabs>
          <w:tab w:leader="none" w:pos="1200" w:val="left"/>
        </w:tabs>
        <w:numPr>
          <w:ilvl w:val="0"/>
          <w:numId w:val="35"/>
        </w:numPr>
        <w:rPr>
          <w:rFonts w:ascii="Courier New" w:cs="Courier New" w:eastAsia="Courier New" w:hAnsi="Courier New"/>
          <w:sz w:val="13"/>
          <w:szCs w:val="13"/>
          <w:color w:val="auto"/>
        </w:rPr>
      </w:pPr>
      <w:r>
        <w:rPr>
          <w:rFonts w:ascii="Courier New" w:cs="Courier New" w:eastAsia="Courier New" w:hAnsi="Courier New"/>
          <w:sz w:val="13"/>
          <w:szCs w:val="13"/>
          <w:color w:val="auto"/>
        </w:rPr>
        <w:t>Wire rod of diameter [*] mm to [*] mm</w:t>
      </w:r>
    </w:p>
    <w:p>
      <w:pPr>
        <w:spacing w:after="0" w:line="161" w:lineRule="exact"/>
        <w:rPr>
          <w:sz w:val="20"/>
          <w:szCs w:val="20"/>
          <w:color w:val="auto"/>
        </w:rPr>
      </w:pPr>
    </w:p>
    <w:p>
      <w:pPr>
        <w:ind w:right="4539"/>
        <w:spacing w:after="0" w:line="254" w:lineRule="auto"/>
        <w:rPr>
          <w:sz w:val="20"/>
          <w:szCs w:val="20"/>
          <w:color w:val="auto"/>
        </w:rPr>
      </w:pPr>
      <w:r>
        <w:rPr>
          <w:rFonts w:ascii="Courier New" w:cs="Courier New" w:eastAsia="Courier New" w:hAnsi="Courier New"/>
          <w:sz w:val="13"/>
          <w:szCs w:val="13"/>
          <w:b w:val="1"/>
          <w:bCs w:val="1"/>
          <w:color w:val="auto"/>
        </w:rPr>
        <w:t xml:space="preserve">2.2. </w:t>
      </w:r>
      <w:r>
        <w:rPr>
          <w:rFonts w:ascii="Courier New" w:cs="Courier New" w:eastAsia="Courier New" w:hAnsi="Courier New"/>
          <w:sz w:val="13"/>
          <w:szCs w:val="13"/>
          <w:color w:val="auto"/>
        </w:rPr>
        <w:t>On January 1st year 2002, the specification for the products to be</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delivered to each EUROBALL ENTITIES are respectively :</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NNe1, NNe2 and NNe3.</w:t>
      </w:r>
    </w:p>
    <w:p>
      <w:pPr>
        <w:spacing w:after="0" w:line="161" w:lineRule="exact"/>
        <w:rPr>
          <w:sz w:val="20"/>
          <w:szCs w:val="20"/>
          <w:color w:val="auto"/>
        </w:rPr>
      </w:pPr>
    </w:p>
    <w:p>
      <w:pPr>
        <w:ind w:right="3819"/>
        <w:spacing w:after="0" w:line="252" w:lineRule="auto"/>
        <w:rPr>
          <w:sz w:val="20"/>
          <w:szCs w:val="20"/>
          <w:color w:val="auto"/>
        </w:rPr>
      </w:pPr>
      <w:r>
        <w:rPr>
          <w:rFonts w:ascii="Courier New" w:cs="Courier New" w:eastAsia="Courier New" w:hAnsi="Courier New"/>
          <w:sz w:val="13"/>
          <w:szCs w:val="13"/>
          <w:color w:val="auto"/>
        </w:rPr>
        <w:t>The Buyer and the supplier agree that in case of agreement between the Supplier and [*] relevant the cancellation of the requirement 1.7. stated in the specification NNe2 and NNe3 "1st billet down from ingot not utilizable for wheel ball steel NNe2 and NNe3 but for NNe1" the a.m. requirement will be amended in accordance with.</w:t>
      </w:r>
    </w:p>
    <w:p>
      <w:pPr>
        <w:spacing w:after="0" w:line="152" w:lineRule="exact"/>
        <w:rPr>
          <w:sz w:val="20"/>
          <w:szCs w:val="20"/>
          <w:color w:val="auto"/>
        </w:rPr>
      </w:pPr>
    </w:p>
    <w:p>
      <w:pPr>
        <w:ind w:right="3819"/>
        <w:spacing w:after="0" w:line="253" w:lineRule="auto"/>
        <w:rPr>
          <w:sz w:val="20"/>
          <w:szCs w:val="20"/>
          <w:color w:val="auto"/>
        </w:rPr>
      </w:pPr>
      <w:r>
        <w:rPr>
          <w:rFonts w:ascii="Courier New" w:cs="Courier New" w:eastAsia="Courier New" w:hAnsi="Courier New"/>
          <w:sz w:val="13"/>
          <w:szCs w:val="13"/>
          <w:color w:val="auto"/>
        </w:rPr>
        <w:t>In case that [*] does not allow to suppress the constraint of not using bottom billet for NNe2 and NNe3 the ration between the quantities NNe2 and NNe3 and the total quantities will not exceed the 70%.</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3 - PRICES</w:t>
      </w:r>
    </w:p>
    <w:p>
      <w:pPr>
        <w:spacing w:after="0" w:line="161" w:lineRule="exact"/>
        <w:rPr>
          <w:sz w:val="20"/>
          <w:szCs w:val="20"/>
          <w:color w:val="auto"/>
        </w:rPr>
      </w:pPr>
    </w:p>
    <w:p>
      <w:pPr>
        <w:ind w:left="400" w:right="3899"/>
        <w:spacing w:after="0" w:line="253" w:lineRule="auto"/>
        <w:rPr>
          <w:sz w:val="20"/>
          <w:szCs w:val="20"/>
          <w:color w:val="auto"/>
        </w:rPr>
      </w:pPr>
      <w:r>
        <w:rPr>
          <w:rFonts w:ascii="Courier New" w:cs="Courier New" w:eastAsia="Courier New" w:hAnsi="Courier New"/>
          <w:sz w:val="13"/>
          <w:szCs w:val="13"/>
          <w:b w:val="1"/>
          <w:bCs w:val="1"/>
          <w:color w:val="auto"/>
        </w:rPr>
        <w:t xml:space="preserve">3.1. </w:t>
      </w:r>
      <w:r>
        <w:rPr>
          <w:rFonts w:ascii="Courier New" w:cs="Courier New" w:eastAsia="Courier New" w:hAnsi="Courier New"/>
          <w:sz w:val="13"/>
          <w:szCs w:val="13"/>
          <w:color w:val="auto"/>
        </w:rPr>
        <w:t>The "Base delivered price" for year 2001 are described in appendix</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"A"(dated January 18,2001) French scrap surcharge shall apply on quarterly basis.</w:t>
      </w:r>
    </w:p>
    <w:p>
      <w:pPr>
        <w:spacing w:after="0" w:line="151" w:lineRule="exact"/>
        <w:rPr>
          <w:sz w:val="20"/>
          <w:szCs w:val="20"/>
          <w:color w:val="auto"/>
        </w:rPr>
      </w:pPr>
    </w:p>
    <w:p>
      <w:pPr>
        <w:ind w:left="400" w:right="4619"/>
        <w:spacing w:after="0" w:line="254" w:lineRule="auto"/>
        <w:rPr>
          <w:sz w:val="20"/>
          <w:szCs w:val="20"/>
          <w:color w:val="auto"/>
        </w:rPr>
      </w:pPr>
      <w:r>
        <w:rPr>
          <w:rFonts w:ascii="Courier New" w:cs="Courier New" w:eastAsia="Courier New" w:hAnsi="Courier New"/>
          <w:sz w:val="13"/>
          <w:szCs w:val="13"/>
          <w:color w:val="auto"/>
        </w:rPr>
        <w:t>If the specification Nne3 require a copper content of maximum [*] a positive extra of [*] will apply.</w:t>
      </w:r>
    </w:p>
    <w:p>
      <w:pPr>
        <w:spacing w:after="0" w:line="305" w:lineRule="exact"/>
        <w:rPr>
          <w:sz w:val="20"/>
          <w:szCs w:val="20"/>
          <w:color w:val="auto"/>
        </w:rPr>
      </w:pPr>
    </w:p>
    <w:p>
      <w:pPr>
        <w:ind w:left="2880"/>
        <w:spacing w:after="0"/>
        <w:rPr>
          <w:sz w:val="20"/>
          <w:szCs w:val="20"/>
          <w:color w:val="auto"/>
        </w:rPr>
      </w:pPr>
      <w:r>
        <w:rPr>
          <w:rFonts w:ascii="Courier New" w:cs="Courier New" w:eastAsia="Courier New" w:hAnsi="Courier New"/>
          <w:sz w:val="13"/>
          <w:szCs w:val="13"/>
          <w:color w:val="auto"/>
        </w:rPr>
        <w:t>Pagina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4740"/>
        <w:spacing w:after="0"/>
        <w:rPr>
          <w:sz w:val="20"/>
          <w:szCs w:val="20"/>
          <w:color w:val="auto"/>
        </w:rPr>
      </w:pPr>
      <w:r>
        <w:rPr>
          <w:rFonts w:ascii="Courier New" w:cs="Courier New" w:eastAsia="Courier New" w:hAnsi="Courier New"/>
          <w:sz w:val="13"/>
          <w:szCs w:val="13"/>
          <w:color w:val="auto"/>
        </w:rPr>
        <w:t>Contract NN/02/RAW/ge</w:t>
      </w:r>
    </w:p>
    <w:p>
      <w:pPr>
        <w:spacing w:after="0" w:line="315"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b w:val="1"/>
          <w:bCs w:val="1"/>
          <w:color w:val="auto"/>
        </w:rPr>
        <w:t xml:space="preserve">3.2. </w:t>
      </w:r>
      <w:r>
        <w:rPr>
          <w:rFonts w:ascii="Courier New" w:cs="Courier New" w:eastAsia="Courier New" w:hAnsi="Courier New"/>
          <w:sz w:val="13"/>
          <w:szCs w:val="13"/>
          <w:color w:val="auto"/>
        </w:rPr>
        <w:t>The prices referred in appendix "A" are:</w:t>
      </w:r>
    </w:p>
    <w:p>
      <w:pPr>
        <w:spacing w:after="0" w:line="161" w:lineRule="exact"/>
        <w:rPr>
          <w:sz w:val="20"/>
          <w:szCs w:val="20"/>
          <w:color w:val="auto"/>
        </w:rPr>
      </w:pPr>
    </w:p>
    <w:p>
      <w:pPr>
        <w:ind w:left="800"/>
        <w:spacing w:after="0"/>
        <w:tabs>
          <w:tab w:leader="none" w:pos="1180" w:val="left"/>
        </w:tabs>
        <w:rPr>
          <w:sz w:val="20"/>
          <w:szCs w:val="20"/>
          <w:color w:val="auto"/>
        </w:rPr>
      </w:pPr>
      <w:r>
        <w:rPr>
          <w:rFonts w:ascii="Courier New" w:cs="Courier New" w:eastAsia="Courier New" w:hAnsi="Courier New"/>
          <w:sz w:val="13"/>
          <w:szCs w:val="13"/>
          <w:color w:val="auto"/>
        </w:rPr>
        <w:t>o</w:t>
      </w:r>
      <w:r>
        <w:rPr>
          <w:sz w:val="20"/>
          <w:szCs w:val="20"/>
          <w:color w:val="auto"/>
        </w:rPr>
        <w:tab/>
      </w:r>
      <w:r>
        <w:rPr>
          <w:rFonts w:ascii="Courier New" w:cs="Courier New" w:eastAsia="Courier New" w:hAnsi="Courier New"/>
          <w:sz w:val="13"/>
          <w:szCs w:val="13"/>
          <w:color w:val="auto"/>
        </w:rPr>
        <w:t>expressed in EURO currency;</w:t>
      </w:r>
    </w:p>
    <w:p>
      <w:pPr>
        <w:sectPr>
          <w:pgSz w:w="11900" w:h="16838" w:orient="portrait"/>
          <w:cols w:equalWidth="0" w:num="1">
            <w:col w:w="10239"/>
          </w:cols>
          <w:pgMar w:left="220" w:top="295" w:right="1440" w:bottom="0" w:gutter="0" w:footer="0" w:header="0"/>
        </w:sectPr>
      </w:pPr>
    </w:p>
    <w:bookmarkStart w:id="44" w:name="page45"/>
    <w:bookmarkEnd w:id="44"/>
    <w:p>
      <w:pPr>
        <w:ind w:left="1200" w:hanging="396"/>
        <w:spacing w:after="0"/>
        <w:tabs>
          <w:tab w:leader="none" w:pos="1200" w:val="left"/>
        </w:tabs>
        <w:numPr>
          <w:ilvl w:val="0"/>
          <w:numId w:val="36"/>
        </w:numPr>
        <w:rPr>
          <w:rFonts w:ascii="Courier New" w:cs="Courier New" w:eastAsia="Courier New" w:hAnsi="Courier New"/>
          <w:sz w:val="13"/>
          <w:szCs w:val="13"/>
          <w:color w:val="auto"/>
        </w:rPr>
      </w:pPr>
      <w:r>
        <w:rPr>
          <w:rFonts w:ascii="Courier New" w:cs="Courier New" w:eastAsia="Courier New" w:hAnsi="Courier New"/>
          <w:sz w:val="13"/>
          <w:szCs w:val="13"/>
          <w:color w:val="auto"/>
        </w:rPr>
        <w:t>DDP INCOTERMS 2000 ;</w:t>
      </w:r>
    </w:p>
    <w:p>
      <w:pPr>
        <w:spacing w:after="0" w:line="6" w:lineRule="exact"/>
        <w:rPr>
          <w:rFonts w:ascii="Courier New" w:cs="Courier New" w:eastAsia="Courier New" w:hAnsi="Courier New"/>
          <w:sz w:val="13"/>
          <w:szCs w:val="13"/>
          <w:color w:val="auto"/>
        </w:rPr>
      </w:pPr>
    </w:p>
    <w:p>
      <w:pPr>
        <w:ind w:left="1200" w:hanging="396"/>
        <w:spacing w:after="0"/>
        <w:tabs>
          <w:tab w:leader="none" w:pos="1200" w:val="left"/>
        </w:tabs>
        <w:numPr>
          <w:ilvl w:val="0"/>
          <w:numId w:val="36"/>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inclusive of packaging ; and</w:t>
      </w:r>
    </w:p>
    <w:p>
      <w:pPr>
        <w:spacing w:after="0" w:line="6" w:lineRule="exact"/>
        <w:rPr>
          <w:rFonts w:ascii="Courier New" w:cs="Courier New" w:eastAsia="Courier New" w:hAnsi="Courier New"/>
          <w:sz w:val="13"/>
          <w:szCs w:val="13"/>
          <w:color w:val="auto"/>
        </w:rPr>
      </w:pPr>
    </w:p>
    <w:p>
      <w:pPr>
        <w:ind w:left="1200" w:hanging="396"/>
        <w:spacing w:after="0"/>
        <w:tabs>
          <w:tab w:leader="none" w:pos="1200" w:val="left"/>
        </w:tabs>
        <w:numPr>
          <w:ilvl w:val="0"/>
          <w:numId w:val="36"/>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exclusive of VAT</w:t>
      </w:r>
    </w:p>
    <w:p>
      <w:pPr>
        <w:spacing w:after="0" w:line="161"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b w:val="1"/>
          <w:bCs w:val="1"/>
          <w:color w:val="auto"/>
        </w:rPr>
        <w:t xml:space="preserve">3.3. </w:t>
      </w:r>
      <w:r>
        <w:rPr>
          <w:rFonts w:ascii="Courier New" w:cs="Courier New" w:eastAsia="Courier New" w:hAnsi="Courier New"/>
          <w:sz w:val="13"/>
          <w:szCs w:val="13"/>
          <w:color w:val="auto"/>
        </w:rPr>
        <w:t>Price Revision Formula</w:t>
      </w:r>
    </w:p>
    <w:p>
      <w:pPr>
        <w:spacing w:after="0" w:line="161" w:lineRule="exact"/>
        <w:rPr>
          <w:sz w:val="20"/>
          <w:szCs w:val="20"/>
          <w:color w:val="auto"/>
        </w:rPr>
      </w:pPr>
    </w:p>
    <w:p>
      <w:pPr>
        <w:ind w:left="320" w:right="3979"/>
        <w:spacing w:after="0" w:line="251" w:lineRule="auto"/>
        <w:rPr>
          <w:sz w:val="20"/>
          <w:szCs w:val="20"/>
          <w:color w:val="auto"/>
        </w:rPr>
      </w:pPr>
      <w:r>
        <w:rPr>
          <w:rFonts w:ascii="Courier New" w:cs="Courier New" w:eastAsia="Courier New" w:hAnsi="Courier New"/>
          <w:sz w:val="13"/>
          <w:szCs w:val="13"/>
          <w:color w:val="auto"/>
        </w:rPr>
        <w:t>The "Base delivered prices" for year 2002 shall be calculated in December 2001 starting from `'base delivered price" for year 2001 as set out under the sub-article 3.1, in accordance with the following price index revision formula:</w:t>
      </w:r>
    </w:p>
    <w:p>
      <w:pPr>
        <w:spacing w:after="0" w:line="1"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w:t>
      </w:r>
    </w:p>
    <w:p>
      <w:pPr>
        <w:spacing w:after="0" w:line="161" w:lineRule="exact"/>
        <w:rPr>
          <w:sz w:val="20"/>
          <w:szCs w:val="20"/>
          <w:color w:val="auto"/>
        </w:rPr>
      </w:pPr>
    </w:p>
    <w:p>
      <w:pPr>
        <w:ind w:left="320"/>
        <w:spacing w:after="0"/>
        <w:rPr>
          <w:sz w:val="20"/>
          <w:szCs w:val="20"/>
          <w:color w:val="auto"/>
        </w:rPr>
      </w:pPr>
      <w:r>
        <w:rPr>
          <w:rFonts w:ascii="Courier New" w:cs="Courier New" w:eastAsia="Courier New" w:hAnsi="Courier New"/>
          <w:sz w:val="13"/>
          <w:szCs w:val="13"/>
          <w:color w:val="auto"/>
        </w:rPr>
        <w:t>Safety clause:</w:t>
      </w:r>
    </w:p>
    <w:p>
      <w:pPr>
        <w:spacing w:after="0" w:line="161" w:lineRule="exact"/>
        <w:rPr>
          <w:sz w:val="20"/>
          <w:szCs w:val="20"/>
          <w:color w:val="auto"/>
        </w:rPr>
      </w:pPr>
    </w:p>
    <w:p>
      <w:pPr>
        <w:ind w:left="1200" w:right="4059" w:hanging="396"/>
        <w:spacing w:after="0" w:line="254" w:lineRule="auto"/>
        <w:tabs>
          <w:tab w:leader="none" w:pos="1200" w:val="left"/>
        </w:tabs>
        <w:numPr>
          <w:ilvl w:val="0"/>
          <w:numId w:val="37"/>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in December, monthly index is not yet published, the latest known index will be carry over in the calculation.</w:t>
      </w:r>
    </w:p>
    <w:p>
      <w:pPr>
        <w:spacing w:after="0" w:line="150" w:lineRule="exact"/>
        <w:rPr>
          <w:rFonts w:ascii="Courier New" w:cs="Courier New" w:eastAsia="Courier New" w:hAnsi="Courier New"/>
          <w:sz w:val="13"/>
          <w:szCs w:val="13"/>
          <w:color w:val="auto"/>
        </w:rPr>
      </w:pPr>
    </w:p>
    <w:p>
      <w:pPr>
        <w:ind w:left="1200" w:right="3979" w:hanging="396"/>
        <w:spacing w:after="0" w:line="254" w:lineRule="auto"/>
        <w:tabs>
          <w:tab w:leader="none" w:pos="1200" w:val="left"/>
        </w:tabs>
        <w:numPr>
          <w:ilvl w:val="0"/>
          <w:numId w:val="37"/>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an index disappear or do not potentially reflect the reality for a long period, parties shall agree upon another index.</w:t>
      </w:r>
    </w:p>
    <w:p>
      <w:pPr>
        <w:spacing w:after="0" w:line="305" w:lineRule="exact"/>
        <w:rPr>
          <w:sz w:val="20"/>
          <w:szCs w:val="20"/>
          <w:color w:val="auto"/>
        </w:rPr>
      </w:pPr>
    </w:p>
    <w:p>
      <w:pPr>
        <w:ind w:left="400" w:right="3819"/>
        <w:spacing w:after="0" w:line="252" w:lineRule="auto"/>
        <w:rPr>
          <w:sz w:val="20"/>
          <w:szCs w:val="20"/>
          <w:color w:val="auto"/>
        </w:rPr>
      </w:pPr>
      <w:r>
        <w:rPr>
          <w:rFonts w:ascii="Courier New" w:cs="Courier New" w:eastAsia="Courier New" w:hAnsi="Courier New"/>
          <w:sz w:val="13"/>
          <w:szCs w:val="13"/>
          <w:b w:val="1"/>
          <w:bCs w:val="1"/>
          <w:color w:val="auto"/>
        </w:rPr>
        <w:t xml:space="preserve">3.3.1. </w:t>
      </w:r>
      <w:r>
        <w:rPr>
          <w:rFonts w:ascii="Courier New" w:cs="Courier New" w:eastAsia="Courier New" w:hAnsi="Courier New"/>
          <w:sz w:val="13"/>
          <w:szCs w:val="13"/>
          <w:color w:val="auto"/>
        </w:rPr>
        <w:t>The Parties agree that the percentage of evolution of the price from</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the previous year to the next year calculated with the above mentioned price escalation formula shall be considered in accordance with the agreed fluctuation band of [*], where in case that the percentage does not exceed the fluctuation band, no price revision shall be done.</w:t>
      </w:r>
    </w:p>
    <w:p>
      <w:pPr>
        <w:spacing w:after="0" w:line="152" w:lineRule="exact"/>
        <w:rPr>
          <w:sz w:val="20"/>
          <w:szCs w:val="20"/>
          <w:color w:val="auto"/>
        </w:rPr>
      </w:pPr>
    </w:p>
    <w:p>
      <w:pPr>
        <w:ind w:left="400" w:right="3819"/>
        <w:spacing w:after="0" w:line="253" w:lineRule="auto"/>
        <w:rPr>
          <w:sz w:val="20"/>
          <w:szCs w:val="20"/>
          <w:color w:val="auto"/>
        </w:rPr>
      </w:pPr>
      <w:r>
        <w:rPr>
          <w:rFonts w:ascii="Courier New" w:cs="Courier New" w:eastAsia="Courier New" w:hAnsi="Courier New"/>
          <w:sz w:val="13"/>
          <w:szCs w:val="13"/>
          <w:color w:val="auto"/>
        </w:rPr>
        <w:t>If the calculated percentage exceed the fluctuation band, the price will be revised just only for the difference between the calculated price and the fixed value of the fluctuation band.</w:t>
      </w:r>
    </w:p>
    <w:p>
      <w:pPr>
        <w:spacing w:after="0" w:line="151"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Example:</w:t>
      </w:r>
    </w:p>
    <w:p>
      <w:pPr>
        <w:spacing w:after="0" w:line="161"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Percentage calculated by price index revision formula = [*]</w:t>
      </w:r>
    </w:p>
    <w:p>
      <w:pPr>
        <w:spacing w:after="0" w:line="161"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Fluctuation band: [*]</w:t>
      </w:r>
    </w:p>
    <w:p>
      <w:pPr>
        <w:spacing w:after="0" w:line="161"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Applicable percentage: [*]</w:t>
      </w:r>
    </w:p>
    <w:p>
      <w:pPr>
        <w:spacing w:after="0" w:line="161"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Indexes development are given in appendix "C".</w:t>
      </w:r>
    </w:p>
    <w:p>
      <w:pPr>
        <w:spacing w:after="0" w:line="161" w:lineRule="exact"/>
        <w:rPr>
          <w:sz w:val="20"/>
          <w:szCs w:val="20"/>
          <w:color w:val="auto"/>
        </w:rPr>
      </w:pPr>
    </w:p>
    <w:p>
      <w:pPr>
        <w:ind w:left="400"/>
        <w:spacing w:after="0"/>
        <w:tabs>
          <w:tab w:leader="none" w:pos="1500" w:val="left"/>
        </w:tabs>
        <w:rPr>
          <w:sz w:val="20"/>
          <w:szCs w:val="20"/>
          <w:color w:val="auto"/>
        </w:rPr>
      </w:pPr>
      <w:r>
        <w:rPr>
          <w:rFonts w:ascii="Courier New" w:cs="Courier New" w:eastAsia="Courier New" w:hAnsi="Courier New"/>
          <w:sz w:val="13"/>
          <w:szCs w:val="13"/>
          <w:b w:val="1"/>
          <w:bCs w:val="1"/>
          <w:color w:val="auto"/>
        </w:rPr>
        <w:t>3.4. Product</w:t>
        <w:tab/>
        <w:t>Improvement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880"/>
        <w:spacing w:after="0"/>
        <w:rPr>
          <w:sz w:val="20"/>
          <w:szCs w:val="20"/>
          <w:color w:val="auto"/>
        </w:rPr>
      </w:pPr>
      <w:r>
        <w:rPr>
          <w:rFonts w:ascii="Courier New" w:cs="Courier New" w:eastAsia="Courier New" w:hAnsi="Courier New"/>
          <w:sz w:val="13"/>
          <w:szCs w:val="13"/>
          <w:color w:val="auto"/>
        </w:rPr>
        <w:t>Pagina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4740"/>
        <w:spacing w:after="0"/>
        <w:rPr>
          <w:sz w:val="20"/>
          <w:szCs w:val="20"/>
          <w:color w:val="auto"/>
        </w:rPr>
      </w:pPr>
      <w:r>
        <w:rPr>
          <w:rFonts w:ascii="Courier New" w:cs="Courier New" w:eastAsia="Courier New" w:hAnsi="Courier New"/>
          <w:sz w:val="13"/>
          <w:szCs w:val="13"/>
          <w:color w:val="auto"/>
        </w:rPr>
        <w:t>Contract NN/02/RAW/ge</w:t>
      </w:r>
    </w:p>
    <w:p>
      <w:pPr>
        <w:spacing w:after="0" w:line="161" w:lineRule="exact"/>
        <w:rPr>
          <w:sz w:val="20"/>
          <w:szCs w:val="20"/>
          <w:color w:val="auto"/>
        </w:rPr>
      </w:pPr>
    </w:p>
    <w:p>
      <w:pPr>
        <w:ind w:left="400" w:right="3819"/>
        <w:spacing w:after="0" w:line="252" w:lineRule="auto"/>
        <w:rPr>
          <w:sz w:val="20"/>
          <w:szCs w:val="20"/>
          <w:color w:val="auto"/>
        </w:rPr>
      </w:pPr>
      <w:r>
        <w:rPr>
          <w:rFonts w:ascii="Courier New" w:cs="Courier New" w:eastAsia="Courier New" w:hAnsi="Courier New"/>
          <w:sz w:val="13"/>
          <w:szCs w:val="13"/>
          <w:color w:val="auto"/>
        </w:rPr>
        <w:t>As the Contract is expected for a period more than one year and the quantity of the product to be produced will be in the range of several thousands of tons , the Supplier undertake required to implement continuous improvement programs in order:</w:t>
      </w:r>
    </w:p>
    <w:p>
      <w:pPr>
        <w:spacing w:after="0" w:line="153"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To improve the manufacturing process of the Product</w:t>
      </w:r>
    </w:p>
    <w:p>
      <w:pPr>
        <w:spacing w:after="0" w:line="161" w:lineRule="exact"/>
        <w:rPr>
          <w:sz w:val="20"/>
          <w:szCs w:val="20"/>
          <w:color w:val="auto"/>
        </w:rPr>
      </w:pPr>
    </w:p>
    <w:p>
      <w:pPr>
        <w:ind w:left="1200" w:right="4299" w:hanging="396"/>
        <w:spacing w:after="0" w:line="254" w:lineRule="auto"/>
        <w:tabs>
          <w:tab w:leader="none" w:pos="1200" w:val="left"/>
        </w:tabs>
        <w:numPr>
          <w:ilvl w:val="0"/>
          <w:numId w:val="3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 reduce the cost of the Product and/or to propose product evolution generating cost saving for the Buyer's process</w:t>
      </w:r>
    </w:p>
    <w:p>
      <w:pPr>
        <w:spacing w:after="0" w:line="151" w:lineRule="exact"/>
        <w:rPr>
          <w:sz w:val="20"/>
          <w:szCs w:val="20"/>
          <w:color w:val="auto"/>
        </w:rPr>
      </w:pPr>
    </w:p>
    <w:p>
      <w:pPr>
        <w:ind w:left="400" w:right="3979"/>
        <w:spacing w:after="0" w:line="253" w:lineRule="auto"/>
        <w:rPr>
          <w:sz w:val="20"/>
          <w:szCs w:val="20"/>
          <w:color w:val="auto"/>
        </w:rPr>
      </w:pPr>
      <w:r>
        <w:rPr>
          <w:rFonts w:ascii="Courier New" w:cs="Courier New" w:eastAsia="Courier New" w:hAnsi="Courier New"/>
          <w:sz w:val="13"/>
          <w:szCs w:val="13"/>
          <w:color w:val="auto"/>
        </w:rPr>
        <w:t>In accordance with the above the Supplier will submit the Buyer a Product Quality Improvement and Cost Reduction Plans inclusive of the following information:</w:t>
      </w:r>
    </w:p>
    <w:p>
      <w:pPr>
        <w:spacing w:after="0" w:line="151" w:lineRule="exact"/>
        <w:rPr>
          <w:sz w:val="20"/>
          <w:szCs w:val="20"/>
          <w:color w:val="auto"/>
        </w:rPr>
      </w:pPr>
    </w:p>
    <w:p>
      <w:pPr>
        <w:ind w:left="1200" w:hanging="396"/>
        <w:spacing w:after="0"/>
        <w:tabs>
          <w:tab w:leader="none" w:pos="1200" w:val="left"/>
        </w:tabs>
        <w:numPr>
          <w:ilvl w:val="0"/>
          <w:numId w:val="39"/>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Description of the changes proposed</w:t>
      </w:r>
    </w:p>
    <w:p>
      <w:pPr>
        <w:spacing w:after="0" w:line="161" w:lineRule="exact"/>
        <w:rPr>
          <w:rFonts w:ascii="Courier New" w:cs="Courier New" w:eastAsia="Courier New" w:hAnsi="Courier New"/>
          <w:sz w:val="13"/>
          <w:szCs w:val="13"/>
          <w:color w:val="auto"/>
        </w:rPr>
      </w:pPr>
    </w:p>
    <w:p>
      <w:pPr>
        <w:ind w:left="1200" w:hanging="396"/>
        <w:spacing w:after="0"/>
        <w:tabs>
          <w:tab w:leader="none" w:pos="1200" w:val="left"/>
        </w:tabs>
        <w:numPr>
          <w:ilvl w:val="0"/>
          <w:numId w:val="39"/>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Reasons and/or benefits for their introduction</w:t>
      </w:r>
    </w:p>
    <w:p>
      <w:pPr>
        <w:spacing w:after="0" w:line="161" w:lineRule="exact"/>
        <w:rPr>
          <w:rFonts w:ascii="Courier New" w:cs="Courier New" w:eastAsia="Courier New" w:hAnsi="Courier New"/>
          <w:sz w:val="13"/>
          <w:szCs w:val="13"/>
          <w:color w:val="auto"/>
        </w:rPr>
      </w:pPr>
    </w:p>
    <w:p>
      <w:pPr>
        <w:ind w:left="1200" w:hanging="396"/>
        <w:spacing w:after="0"/>
        <w:tabs>
          <w:tab w:leader="none" w:pos="1200" w:val="left"/>
        </w:tabs>
        <w:numPr>
          <w:ilvl w:val="0"/>
          <w:numId w:val="39"/>
        </w:numPr>
        <w:rPr>
          <w:rFonts w:ascii="Courier New" w:cs="Courier New" w:eastAsia="Courier New" w:hAnsi="Courier New"/>
          <w:sz w:val="13"/>
          <w:szCs w:val="13"/>
          <w:color w:val="auto"/>
        </w:rPr>
      </w:pPr>
      <w:r>
        <w:rPr>
          <w:rFonts w:ascii="Courier New" w:cs="Courier New" w:eastAsia="Courier New" w:hAnsi="Courier New"/>
          <w:sz w:val="13"/>
          <w:szCs w:val="13"/>
          <w:color w:val="auto"/>
        </w:rPr>
        <w:t>Need of re-qualification (if any)</w:t>
      </w:r>
    </w:p>
    <w:p>
      <w:pPr>
        <w:spacing w:after="0" w:line="161" w:lineRule="exact"/>
        <w:rPr>
          <w:rFonts w:ascii="Courier New" w:cs="Courier New" w:eastAsia="Courier New" w:hAnsi="Courier New"/>
          <w:sz w:val="13"/>
          <w:szCs w:val="13"/>
          <w:color w:val="auto"/>
        </w:rPr>
      </w:pPr>
    </w:p>
    <w:p>
      <w:pPr>
        <w:ind w:left="1200" w:hanging="396"/>
        <w:spacing w:after="0"/>
        <w:tabs>
          <w:tab w:leader="none" w:pos="1200" w:val="left"/>
        </w:tabs>
        <w:numPr>
          <w:ilvl w:val="0"/>
          <w:numId w:val="39"/>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Detailed time scale</w:t>
      </w:r>
    </w:p>
    <w:p>
      <w:pPr>
        <w:spacing w:after="0" w:line="161" w:lineRule="exact"/>
        <w:rPr>
          <w:rFonts w:ascii="Courier New" w:cs="Courier New" w:eastAsia="Courier New" w:hAnsi="Courier New"/>
          <w:sz w:val="13"/>
          <w:szCs w:val="13"/>
          <w:color w:val="auto"/>
        </w:rPr>
      </w:pPr>
    </w:p>
    <w:p>
      <w:pPr>
        <w:ind w:left="1200" w:hanging="396"/>
        <w:spacing w:after="0"/>
        <w:tabs>
          <w:tab w:leader="none" w:pos="1200" w:val="left"/>
        </w:tabs>
        <w:numPr>
          <w:ilvl w:val="0"/>
          <w:numId w:val="39"/>
        </w:numPr>
        <w:rPr>
          <w:rFonts w:ascii="Courier New" w:cs="Courier New" w:eastAsia="Courier New" w:hAnsi="Courier New"/>
          <w:sz w:val="13"/>
          <w:szCs w:val="13"/>
          <w:color w:val="auto"/>
        </w:rPr>
      </w:pPr>
      <w:r>
        <w:rPr>
          <w:rFonts w:ascii="Courier New" w:cs="Courier New" w:eastAsia="Courier New" w:hAnsi="Courier New"/>
          <w:sz w:val="13"/>
          <w:szCs w:val="13"/>
          <w:color w:val="auto"/>
        </w:rPr>
        <w:t>Estimated price variation of the Product</w:t>
      </w:r>
    </w:p>
    <w:p>
      <w:pPr>
        <w:spacing w:after="0" w:line="161" w:lineRule="exact"/>
        <w:rPr>
          <w:sz w:val="20"/>
          <w:szCs w:val="20"/>
          <w:color w:val="auto"/>
        </w:rPr>
      </w:pPr>
    </w:p>
    <w:p>
      <w:pPr>
        <w:ind w:left="240" w:right="3899"/>
        <w:spacing w:after="0" w:line="253" w:lineRule="auto"/>
        <w:rPr>
          <w:sz w:val="20"/>
          <w:szCs w:val="20"/>
          <w:color w:val="auto"/>
        </w:rPr>
      </w:pPr>
      <w:r>
        <w:rPr>
          <w:rFonts w:ascii="Courier New" w:cs="Courier New" w:eastAsia="Courier New" w:hAnsi="Courier New"/>
          <w:sz w:val="13"/>
          <w:szCs w:val="13"/>
          <w:color w:val="auto"/>
        </w:rPr>
        <w:t>The above Product Quality Improvement and Cost Reduction Plans will be carefully evaluated and reviewed by the Buyer and within 30 days from its submittal, the Buyer will notify to the Supplier its decision on the matter.</w:t>
      </w:r>
    </w:p>
    <w:p>
      <w:pPr>
        <w:spacing w:after="0" w:line="151" w:lineRule="exact"/>
        <w:rPr>
          <w:sz w:val="20"/>
          <w:szCs w:val="20"/>
          <w:color w:val="auto"/>
        </w:rPr>
      </w:pPr>
    </w:p>
    <w:p>
      <w:pPr>
        <w:ind w:right="4459" w:firstLine="241"/>
        <w:spacing w:after="0" w:line="254" w:lineRule="auto"/>
        <w:rPr>
          <w:sz w:val="20"/>
          <w:szCs w:val="20"/>
          <w:color w:val="auto"/>
        </w:rPr>
      </w:pPr>
      <w:r>
        <w:rPr>
          <w:rFonts w:ascii="Courier New" w:cs="Courier New" w:eastAsia="Courier New" w:hAnsi="Courier New"/>
          <w:sz w:val="13"/>
          <w:szCs w:val="13"/>
          <w:color w:val="auto"/>
        </w:rPr>
        <w:t>This sub-article have to be considered an essential condition of this Contract.</w:t>
      </w:r>
    </w:p>
    <w:p>
      <w:pPr>
        <w:spacing w:after="0" w:line="151" w:lineRule="exact"/>
        <w:rPr>
          <w:sz w:val="20"/>
          <w:szCs w:val="20"/>
          <w:color w:val="auto"/>
        </w:rPr>
      </w:pPr>
    </w:p>
    <w:p>
      <w:pPr>
        <w:spacing w:after="0"/>
        <w:tabs>
          <w:tab w:leader="none" w:pos="380" w:val="left"/>
        </w:tabs>
        <w:rPr>
          <w:sz w:val="20"/>
          <w:szCs w:val="20"/>
          <w:color w:val="auto"/>
        </w:rPr>
      </w:pPr>
      <w:r>
        <w:rPr>
          <w:rFonts w:ascii="Courier New" w:cs="Courier New" w:eastAsia="Courier New" w:hAnsi="Courier New"/>
          <w:sz w:val="13"/>
          <w:szCs w:val="13"/>
          <w:b w:val="1"/>
          <w:bCs w:val="1"/>
          <w:color w:val="auto"/>
        </w:rPr>
        <w:t>4 -</w:t>
        <w:tab/>
        <w:t>MARKET SHARE</w:t>
      </w:r>
    </w:p>
    <w:p>
      <w:pPr>
        <w:spacing w:after="0" w:line="7" w:lineRule="exact"/>
        <w:rPr>
          <w:sz w:val="20"/>
          <w:szCs w:val="20"/>
          <w:color w:val="auto"/>
        </w:rPr>
      </w:pPr>
    </w:p>
    <w:p>
      <w:pPr>
        <w:ind w:right="3819"/>
        <w:spacing w:after="0" w:line="254" w:lineRule="auto"/>
        <w:rPr>
          <w:sz w:val="20"/>
          <w:szCs w:val="20"/>
          <w:color w:val="auto"/>
        </w:rPr>
      </w:pPr>
      <w:r>
        <w:rPr>
          <w:rFonts w:ascii="Courier New" w:cs="Courier New" w:eastAsia="Courier New" w:hAnsi="Courier New"/>
          <w:sz w:val="13"/>
          <w:szCs w:val="13"/>
          <w:color w:val="auto"/>
        </w:rPr>
        <w:t>The market share is calculated based on volume of products listed in article 2.1 delivered to the Buyer on a yearly basis by all the Suppliers.</w:t>
      </w:r>
    </w:p>
    <w:p>
      <w:pPr>
        <w:spacing w:after="0" w:line="151" w:lineRule="exact"/>
        <w:rPr>
          <w:sz w:val="20"/>
          <w:szCs w:val="20"/>
          <w:color w:val="auto"/>
        </w:rPr>
      </w:pPr>
    </w:p>
    <w:p>
      <w:pPr>
        <w:ind w:right="3979" w:firstLine="401"/>
        <w:spacing w:after="0" w:line="254" w:lineRule="auto"/>
        <w:rPr>
          <w:sz w:val="20"/>
          <w:szCs w:val="20"/>
          <w:color w:val="auto"/>
        </w:rPr>
      </w:pPr>
      <w:r>
        <w:rPr>
          <w:rFonts w:ascii="Courier New" w:cs="Courier New" w:eastAsia="Courier New" w:hAnsi="Courier New"/>
          <w:sz w:val="13"/>
          <w:szCs w:val="13"/>
          <w:b w:val="1"/>
          <w:bCs w:val="1"/>
          <w:color w:val="auto"/>
        </w:rPr>
        <w:t xml:space="preserve">4.1. </w:t>
      </w:r>
      <w:r>
        <w:rPr>
          <w:rFonts w:ascii="Courier New" w:cs="Courier New" w:eastAsia="Courier New" w:hAnsi="Courier New"/>
          <w:sz w:val="13"/>
          <w:szCs w:val="13"/>
          <w:color w:val="auto"/>
        </w:rPr>
        <w:t>The minimum MARKET SHARE guaranteed to the Supplier in this Contract</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is the following:</w:t>
      </w:r>
    </w:p>
    <w:p>
      <w:pPr>
        <w:spacing w:after="0" w:line="151" w:lineRule="exact"/>
        <w:rPr>
          <w:sz w:val="20"/>
          <w:szCs w:val="20"/>
          <w:color w:val="auto"/>
        </w:rPr>
      </w:pPr>
    </w:p>
    <w:p>
      <w:pPr>
        <w:ind w:left="1200" w:hanging="396"/>
        <w:spacing w:after="0"/>
        <w:tabs>
          <w:tab w:leader="none" w:pos="1200" w:val="left"/>
        </w:tabs>
        <w:numPr>
          <w:ilvl w:val="0"/>
          <w:numId w:val="40"/>
        </w:numPr>
        <w:rPr>
          <w:rFonts w:ascii="Courier New" w:cs="Courier New" w:eastAsia="Courier New" w:hAnsi="Courier New"/>
          <w:sz w:val="13"/>
          <w:szCs w:val="13"/>
          <w:color w:val="auto"/>
        </w:rPr>
      </w:pPr>
      <w:r>
        <w:rPr>
          <w:rFonts w:ascii="Courier New" w:cs="Courier New" w:eastAsia="Courier New" w:hAnsi="Courier New"/>
          <w:sz w:val="13"/>
          <w:szCs w:val="13"/>
          <w:color w:val="auto"/>
        </w:rPr>
        <w:t>For year 2002: 90%</w:t>
      </w:r>
    </w:p>
    <w:p>
      <w:pPr>
        <w:spacing w:after="0" w:line="161" w:lineRule="exact"/>
        <w:rPr>
          <w:rFonts w:ascii="Courier New" w:cs="Courier New" w:eastAsia="Courier New" w:hAnsi="Courier New"/>
          <w:sz w:val="13"/>
          <w:szCs w:val="13"/>
          <w:color w:val="auto"/>
        </w:rPr>
      </w:pPr>
    </w:p>
    <w:p>
      <w:pPr>
        <w:ind w:left="1200" w:hanging="396"/>
        <w:spacing w:after="0"/>
        <w:tabs>
          <w:tab w:leader="none" w:pos="1200" w:val="left"/>
        </w:tabs>
        <w:numPr>
          <w:ilvl w:val="0"/>
          <w:numId w:val="40"/>
        </w:numPr>
        <w:rPr>
          <w:rFonts w:ascii="Courier New" w:cs="Courier New" w:eastAsia="Courier New" w:hAnsi="Courier New"/>
          <w:sz w:val="13"/>
          <w:szCs w:val="13"/>
          <w:color w:val="auto"/>
        </w:rPr>
      </w:pPr>
      <w:r>
        <w:rPr>
          <w:rFonts w:ascii="Courier New" w:cs="Courier New" w:eastAsia="Courier New" w:hAnsi="Courier New"/>
          <w:sz w:val="13"/>
          <w:szCs w:val="13"/>
          <w:color w:val="auto"/>
        </w:rPr>
        <w:t>For year 2003: 90%</w:t>
      </w:r>
    </w:p>
    <w:p>
      <w:pPr>
        <w:spacing w:after="0" w:line="161" w:lineRule="exact"/>
        <w:rPr>
          <w:rFonts w:ascii="Courier New" w:cs="Courier New" w:eastAsia="Courier New" w:hAnsi="Courier New"/>
          <w:sz w:val="13"/>
          <w:szCs w:val="13"/>
          <w:color w:val="auto"/>
        </w:rPr>
      </w:pPr>
    </w:p>
    <w:p>
      <w:pPr>
        <w:ind w:left="1200" w:hanging="396"/>
        <w:spacing w:after="0"/>
        <w:tabs>
          <w:tab w:leader="none" w:pos="1200" w:val="left"/>
        </w:tabs>
        <w:numPr>
          <w:ilvl w:val="0"/>
          <w:numId w:val="40"/>
        </w:numPr>
        <w:rPr>
          <w:rFonts w:ascii="Courier New" w:cs="Courier New" w:eastAsia="Courier New" w:hAnsi="Courier New"/>
          <w:sz w:val="13"/>
          <w:szCs w:val="13"/>
          <w:color w:val="auto"/>
        </w:rPr>
      </w:pPr>
      <w:r>
        <w:rPr>
          <w:rFonts w:ascii="Courier New" w:cs="Courier New" w:eastAsia="Courier New" w:hAnsi="Courier New"/>
          <w:sz w:val="13"/>
          <w:szCs w:val="13"/>
          <w:color w:val="auto"/>
        </w:rPr>
        <w:t>For year 2004: 85%</w:t>
      </w:r>
    </w:p>
    <w:p>
      <w:pPr>
        <w:spacing w:after="0" w:line="161" w:lineRule="exact"/>
        <w:rPr>
          <w:rFonts w:ascii="Courier New" w:cs="Courier New" w:eastAsia="Courier New" w:hAnsi="Courier New"/>
          <w:sz w:val="13"/>
          <w:szCs w:val="13"/>
          <w:color w:val="auto"/>
        </w:rPr>
      </w:pPr>
    </w:p>
    <w:p>
      <w:pPr>
        <w:ind w:left="1200" w:hanging="396"/>
        <w:spacing w:after="0"/>
        <w:tabs>
          <w:tab w:leader="none" w:pos="1200" w:val="left"/>
        </w:tabs>
        <w:numPr>
          <w:ilvl w:val="0"/>
          <w:numId w:val="40"/>
        </w:numPr>
        <w:rPr>
          <w:rFonts w:ascii="Courier New" w:cs="Courier New" w:eastAsia="Courier New" w:hAnsi="Courier New"/>
          <w:sz w:val="13"/>
          <w:szCs w:val="13"/>
          <w:color w:val="auto"/>
        </w:rPr>
      </w:pPr>
      <w:r>
        <w:rPr>
          <w:rFonts w:ascii="Courier New" w:cs="Courier New" w:eastAsia="Courier New" w:hAnsi="Courier New"/>
          <w:sz w:val="13"/>
          <w:szCs w:val="13"/>
          <w:color w:val="auto"/>
        </w:rPr>
        <w:t>For year 2005: 85%</w:t>
      </w:r>
    </w:p>
    <w:p>
      <w:pPr>
        <w:spacing w:after="0" w:line="161" w:lineRule="exact"/>
        <w:rPr>
          <w:sz w:val="20"/>
          <w:szCs w:val="20"/>
          <w:color w:val="auto"/>
        </w:rPr>
      </w:pPr>
    </w:p>
    <w:p>
      <w:pPr>
        <w:ind w:right="4059" w:firstLine="241"/>
        <w:spacing w:after="0" w:line="254" w:lineRule="auto"/>
        <w:rPr>
          <w:sz w:val="20"/>
          <w:szCs w:val="20"/>
          <w:color w:val="auto"/>
        </w:rPr>
      </w:pPr>
      <w:r>
        <w:rPr>
          <w:rFonts w:ascii="Courier New" w:cs="Courier New" w:eastAsia="Courier New" w:hAnsi="Courier New"/>
          <w:sz w:val="13"/>
          <w:szCs w:val="13"/>
          <w:b w:val="1"/>
          <w:bCs w:val="1"/>
          <w:color w:val="auto"/>
        </w:rPr>
        <w:t xml:space="preserve">4.2. </w:t>
      </w:r>
      <w:r>
        <w:rPr>
          <w:rFonts w:ascii="Courier New" w:cs="Courier New" w:eastAsia="Courier New" w:hAnsi="Courier New"/>
          <w:sz w:val="13"/>
          <w:szCs w:val="13"/>
          <w:color w:val="auto"/>
        </w:rPr>
        <w:t>The above mentioned minimum MARKET SHARE is subject to the Supplier's</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achievement of the targets established of the following Key Factors:</w:t>
      </w:r>
    </w:p>
    <w:p>
      <w:pPr>
        <w:spacing w:after="0" w:line="151" w:lineRule="exact"/>
        <w:rPr>
          <w:sz w:val="20"/>
          <w:szCs w:val="20"/>
          <w:color w:val="auto"/>
        </w:rPr>
      </w:pPr>
    </w:p>
    <w:p>
      <w:pPr>
        <w:ind w:left="1200" w:hanging="396"/>
        <w:spacing w:after="0"/>
        <w:tabs>
          <w:tab w:leader="none" w:pos="1200" w:val="left"/>
        </w:tabs>
        <w:numPr>
          <w:ilvl w:val="0"/>
          <w:numId w:val="41"/>
        </w:numPr>
        <w:rPr>
          <w:rFonts w:ascii="Courier New" w:cs="Courier New" w:eastAsia="Courier New" w:hAnsi="Courier New"/>
          <w:sz w:val="13"/>
          <w:szCs w:val="13"/>
          <w:color w:val="auto"/>
        </w:rPr>
      </w:pPr>
      <w:r>
        <w:rPr>
          <w:rFonts w:ascii="Courier New" w:cs="Courier New" w:eastAsia="Courier New" w:hAnsi="Courier New"/>
          <w:sz w:val="13"/>
          <w:szCs w:val="13"/>
          <w:color w:val="auto"/>
        </w:rPr>
        <w:t>Number of Claims -Objective as set out under the Appendix "E"</w:t>
      </w:r>
    </w:p>
    <w:p>
      <w:pPr>
        <w:spacing w:after="0" w:line="161" w:lineRule="exact"/>
        <w:rPr>
          <w:rFonts w:ascii="Courier New" w:cs="Courier New" w:eastAsia="Courier New" w:hAnsi="Courier New"/>
          <w:sz w:val="13"/>
          <w:szCs w:val="13"/>
          <w:color w:val="auto"/>
        </w:rPr>
      </w:pPr>
    </w:p>
    <w:p>
      <w:pPr>
        <w:ind w:left="1200" w:hanging="396"/>
        <w:spacing w:after="0"/>
        <w:tabs>
          <w:tab w:leader="none" w:pos="1200" w:val="left"/>
        </w:tabs>
        <w:numPr>
          <w:ilvl w:val="0"/>
          <w:numId w:val="41"/>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Reliability &amp; Service, that it means that :</w:t>
      </w:r>
    </w:p>
    <w:p>
      <w:pPr>
        <w:sectPr>
          <w:pgSz w:w="11900" w:h="16838" w:orient="portrait"/>
          <w:cols w:equalWidth="0" w:num="1">
            <w:col w:w="10239"/>
          </w:cols>
          <w:pgMar w:left="220" w:top="141" w:right="1440" w:bottom="121" w:gutter="0" w:footer="0" w:header="0"/>
        </w:sectPr>
      </w:pPr>
    </w:p>
    <w:bookmarkStart w:id="45" w:name="page46"/>
    <w:bookmarkEnd w:id="45"/>
    <w:p>
      <w:pPr>
        <w:ind w:left="2880"/>
        <w:spacing w:after="0"/>
        <w:rPr>
          <w:sz w:val="20"/>
          <w:szCs w:val="20"/>
          <w:color w:val="auto"/>
        </w:rPr>
      </w:pPr>
      <w:r>
        <w:rPr>
          <w:rFonts w:ascii="Courier New" w:cs="Courier New" w:eastAsia="Courier New" w:hAnsi="Courier New"/>
          <w:sz w:val="13"/>
          <w:szCs w:val="13"/>
          <w:color w:val="auto"/>
        </w:rPr>
        <w:t>Pagina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4740"/>
        <w:spacing w:after="0"/>
        <w:rPr>
          <w:sz w:val="20"/>
          <w:szCs w:val="20"/>
          <w:color w:val="auto"/>
        </w:rPr>
      </w:pPr>
      <w:r>
        <w:rPr>
          <w:rFonts w:ascii="Courier New" w:cs="Courier New" w:eastAsia="Courier New" w:hAnsi="Courier New"/>
          <w:sz w:val="13"/>
          <w:szCs w:val="13"/>
          <w:color w:val="auto"/>
        </w:rPr>
        <w:t>Contract NN/02/RAW/ge</w:t>
      </w:r>
    </w:p>
    <w:p>
      <w:pPr>
        <w:spacing w:after="0" w:line="161" w:lineRule="exact"/>
        <w:rPr>
          <w:sz w:val="20"/>
          <w:szCs w:val="20"/>
          <w:color w:val="auto"/>
        </w:rPr>
      </w:pPr>
    </w:p>
    <w:p>
      <w:pPr>
        <w:jc w:val="both"/>
        <w:ind w:left="240" w:right="3819"/>
        <w:spacing w:after="0" w:line="254" w:lineRule="auto"/>
        <w:rPr>
          <w:sz w:val="20"/>
          <w:szCs w:val="20"/>
          <w:color w:val="auto"/>
        </w:rPr>
      </w:pPr>
      <w:r>
        <w:rPr>
          <w:rFonts w:ascii="Courier New" w:cs="Courier New" w:eastAsia="Courier New" w:hAnsi="Courier New"/>
          <w:sz w:val="13"/>
          <w:szCs w:val="13"/>
          <w:color w:val="auto"/>
        </w:rPr>
        <w:t>the percentage of the wire diameters with a quantity in the consignment stock less than the Safety Stock Level shall be not higher than [*].</w:t>
      </w:r>
    </w:p>
    <w:p>
      <w:pPr>
        <w:spacing w:after="0" w:line="151" w:lineRule="exact"/>
        <w:rPr>
          <w:sz w:val="20"/>
          <w:szCs w:val="20"/>
          <w:color w:val="auto"/>
        </w:rPr>
      </w:pPr>
    </w:p>
    <w:p>
      <w:pPr>
        <w:jc w:val="both"/>
        <w:ind w:left="240" w:right="4059"/>
        <w:spacing w:after="0" w:line="253" w:lineRule="auto"/>
        <w:rPr>
          <w:sz w:val="20"/>
          <w:szCs w:val="20"/>
          <w:color w:val="auto"/>
        </w:rPr>
      </w:pPr>
      <w:r>
        <w:rPr>
          <w:rFonts w:ascii="Courier New" w:cs="Courier New" w:eastAsia="Courier New" w:hAnsi="Courier New"/>
          <w:sz w:val="13"/>
          <w:szCs w:val="13"/>
          <w:b w:val="1"/>
          <w:bCs w:val="1"/>
          <w:color w:val="auto"/>
        </w:rPr>
        <w:t xml:space="preserve">4.2.1. </w:t>
      </w:r>
      <w:r>
        <w:rPr>
          <w:rFonts w:ascii="Courier New" w:cs="Courier New" w:eastAsia="Courier New" w:hAnsi="Courier New"/>
          <w:sz w:val="13"/>
          <w:szCs w:val="13"/>
          <w:color w:val="auto"/>
        </w:rPr>
        <w:t>The Buyer and the Supplier have agreed to implement the Consignment</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Stock methodology as per the Appendix "D" in line with the under mentioned date:</w:t>
      </w:r>
    </w:p>
    <w:p>
      <w:pPr>
        <w:spacing w:after="0" w:line="151" w:lineRule="exact"/>
        <w:rPr>
          <w:sz w:val="20"/>
          <w:szCs w:val="20"/>
          <w:color w:val="auto"/>
        </w:rPr>
      </w:pPr>
    </w:p>
    <w:p>
      <w:pPr>
        <w:ind w:left="240"/>
        <w:spacing w:after="0"/>
        <w:tabs>
          <w:tab w:leader="none" w:pos="1100" w:val="left"/>
        </w:tabs>
        <w:rPr>
          <w:sz w:val="20"/>
          <w:szCs w:val="20"/>
          <w:color w:val="auto"/>
        </w:rPr>
      </w:pPr>
      <w:r>
        <w:rPr>
          <w:rFonts w:ascii="Courier New" w:cs="Courier New" w:eastAsia="Courier New" w:hAnsi="Courier New"/>
          <w:sz w:val="13"/>
          <w:szCs w:val="13"/>
          <w:b w:val="1"/>
          <w:bCs w:val="1"/>
          <w:color w:val="auto"/>
        </w:rPr>
        <w:t>Pinerolo:</w:t>
      </w:r>
      <w:r>
        <w:rPr>
          <w:sz w:val="20"/>
          <w:szCs w:val="20"/>
          <w:color w:val="auto"/>
        </w:rPr>
        <w:tab/>
      </w:r>
      <w:r>
        <w:rPr>
          <w:rFonts w:ascii="Courier New" w:cs="Courier New" w:eastAsia="Courier New" w:hAnsi="Courier New"/>
          <w:sz w:val="13"/>
          <w:szCs w:val="13"/>
          <w:color w:val="auto"/>
        </w:rPr>
        <w:t>Ending date of activities: September 13,2002</w:t>
      </w:r>
    </w:p>
    <w:p>
      <w:pPr>
        <w:spacing w:after="0" w:line="161" w:lineRule="exact"/>
        <w:rPr>
          <w:sz w:val="20"/>
          <w:szCs w:val="20"/>
          <w:color w:val="auto"/>
        </w:rPr>
      </w:pPr>
    </w:p>
    <w:p>
      <w:pPr>
        <w:ind w:left="240"/>
        <w:spacing w:after="0"/>
        <w:rPr>
          <w:sz w:val="20"/>
          <w:szCs w:val="20"/>
          <w:color w:val="auto"/>
        </w:rPr>
      </w:pPr>
      <w:r>
        <w:rPr>
          <w:rFonts w:ascii="Courier New" w:cs="Courier New" w:eastAsia="Courier New" w:hAnsi="Courier New"/>
          <w:sz w:val="13"/>
          <w:szCs w:val="13"/>
          <w:b w:val="1"/>
          <w:bCs w:val="1"/>
          <w:color w:val="auto"/>
        </w:rPr>
        <w:t xml:space="preserve">Kilkenny: </w:t>
      </w:r>
      <w:r>
        <w:rPr>
          <w:rFonts w:ascii="Courier New" w:cs="Courier New" w:eastAsia="Courier New" w:hAnsi="Courier New"/>
          <w:sz w:val="13"/>
          <w:szCs w:val="13"/>
          <w:color w:val="auto"/>
        </w:rPr>
        <w:t>Ending date of activities: September 13,2002</w:t>
      </w:r>
    </w:p>
    <w:p>
      <w:pPr>
        <w:spacing w:after="0" w:line="161" w:lineRule="exact"/>
        <w:rPr>
          <w:sz w:val="20"/>
          <w:szCs w:val="20"/>
          <w:color w:val="auto"/>
        </w:rPr>
      </w:pPr>
    </w:p>
    <w:p>
      <w:pPr>
        <w:ind w:left="240"/>
        <w:spacing w:after="0"/>
        <w:rPr>
          <w:sz w:val="20"/>
          <w:szCs w:val="20"/>
          <w:color w:val="auto"/>
        </w:rPr>
      </w:pPr>
      <w:r>
        <w:rPr>
          <w:rFonts w:ascii="Courier New" w:cs="Courier New" w:eastAsia="Courier New" w:hAnsi="Courier New"/>
          <w:sz w:val="13"/>
          <w:szCs w:val="13"/>
          <w:b w:val="1"/>
          <w:bCs w:val="1"/>
          <w:color w:val="auto"/>
        </w:rPr>
        <w:t xml:space="preserve">Eltmann: </w:t>
      </w:r>
      <w:r>
        <w:rPr>
          <w:rFonts w:ascii="Courier New" w:cs="Courier New" w:eastAsia="Courier New" w:hAnsi="Courier New"/>
          <w:sz w:val="13"/>
          <w:szCs w:val="13"/>
          <w:color w:val="auto"/>
        </w:rPr>
        <w:t>Ending date of activities: September 30,2002</w:t>
      </w:r>
    </w:p>
    <w:p>
      <w:pPr>
        <w:spacing w:after="0" w:line="161" w:lineRule="exact"/>
        <w:rPr>
          <w:sz w:val="20"/>
          <w:szCs w:val="20"/>
          <w:color w:val="auto"/>
        </w:rPr>
      </w:pPr>
    </w:p>
    <w:p>
      <w:pPr>
        <w:ind w:left="240"/>
        <w:spacing w:after="0"/>
        <w:rPr>
          <w:sz w:val="20"/>
          <w:szCs w:val="20"/>
          <w:color w:val="auto"/>
        </w:rPr>
      </w:pPr>
      <w:r>
        <w:rPr>
          <w:rFonts w:ascii="Courier New" w:cs="Courier New" w:eastAsia="Courier New" w:hAnsi="Courier New"/>
          <w:sz w:val="13"/>
          <w:szCs w:val="13"/>
          <w:color w:val="auto"/>
        </w:rPr>
        <w:t>The Buyer shall provide to the Supplier the following information:</w:t>
      </w:r>
    </w:p>
    <w:p>
      <w:pPr>
        <w:spacing w:after="0" w:line="161" w:lineRule="exact"/>
        <w:rPr>
          <w:sz w:val="20"/>
          <w:szCs w:val="20"/>
          <w:color w:val="auto"/>
        </w:rPr>
      </w:pPr>
    </w:p>
    <w:p>
      <w:pPr>
        <w:ind w:left="1200" w:right="3979" w:hanging="396"/>
        <w:spacing w:after="0" w:line="254" w:lineRule="auto"/>
        <w:tabs>
          <w:tab w:leader="none" w:pos="1200" w:val="left"/>
        </w:tabs>
        <w:numPr>
          <w:ilvl w:val="0"/>
          <w:numId w:val="42"/>
        </w:numPr>
        <w:rPr>
          <w:rFonts w:ascii="Courier New" w:cs="Courier New" w:eastAsia="Courier New" w:hAnsi="Courier New"/>
          <w:sz w:val="13"/>
          <w:szCs w:val="13"/>
          <w:color w:val="auto"/>
        </w:rPr>
      </w:pPr>
      <w:r>
        <w:rPr>
          <w:rFonts w:ascii="Courier New" w:cs="Courier New" w:eastAsia="Courier New" w:hAnsi="Courier New"/>
          <w:sz w:val="13"/>
          <w:szCs w:val="13"/>
          <w:color w:val="auto"/>
        </w:rPr>
        <w:t>A forecast raw material consumption of each Euroball plant plus NN Group on a quarterly base</w:t>
      </w:r>
    </w:p>
    <w:p>
      <w:pPr>
        <w:spacing w:after="0" w:line="150" w:lineRule="exact"/>
        <w:rPr>
          <w:rFonts w:ascii="Courier New" w:cs="Courier New" w:eastAsia="Courier New" w:hAnsi="Courier New"/>
          <w:sz w:val="13"/>
          <w:szCs w:val="13"/>
          <w:color w:val="auto"/>
        </w:rPr>
      </w:pPr>
    </w:p>
    <w:p>
      <w:pPr>
        <w:ind w:left="1200" w:right="4379" w:hanging="396"/>
        <w:spacing w:after="0" w:line="254" w:lineRule="auto"/>
        <w:tabs>
          <w:tab w:leader="none" w:pos="1200" w:val="left"/>
        </w:tabs>
        <w:numPr>
          <w:ilvl w:val="0"/>
          <w:numId w:val="4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level of the stock up dated on a weekly basis for each grade/diameter.</w:t>
      </w:r>
    </w:p>
    <w:p>
      <w:pPr>
        <w:spacing w:after="0" w:line="150" w:lineRule="exact"/>
        <w:rPr>
          <w:rFonts w:ascii="Courier New" w:cs="Courier New" w:eastAsia="Courier New" w:hAnsi="Courier New"/>
          <w:sz w:val="13"/>
          <w:szCs w:val="13"/>
          <w:color w:val="auto"/>
        </w:rPr>
      </w:pPr>
    </w:p>
    <w:p>
      <w:pPr>
        <w:ind w:left="240" w:right="4139" w:firstLine="564"/>
        <w:spacing w:after="0" w:line="502" w:lineRule="auto"/>
        <w:tabs>
          <w:tab w:leader="none" w:pos="1202" w:val="left"/>
        </w:tabs>
        <w:numPr>
          <w:ilvl w:val="0"/>
          <w:numId w:val="42"/>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Consumption per week on weekly basis for each grade/diameter. The management of the Consignment Stock is described in Appendix "D"</w:t>
      </w:r>
    </w:p>
    <w:p>
      <w:pPr>
        <w:ind w:left="1200" w:right="3979" w:hanging="396"/>
        <w:spacing w:after="0" w:line="253" w:lineRule="auto"/>
        <w:tabs>
          <w:tab w:leader="none" w:pos="1200" w:val="left"/>
        </w:tabs>
        <w:numPr>
          <w:ilvl w:val="0"/>
          <w:numId w:val="4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appendix "D" of the consignment stock contract has to be up dated regularly by mutual agreement in respect of the maximum quantity in stock broken down by diameter.</w:t>
      </w:r>
    </w:p>
    <w:p>
      <w:pPr>
        <w:spacing w:after="0" w:line="151" w:lineRule="exact"/>
        <w:rPr>
          <w:rFonts w:ascii="Courier New" w:cs="Courier New" w:eastAsia="Courier New" w:hAnsi="Courier New"/>
          <w:sz w:val="13"/>
          <w:szCs w:val="13"/>
          <w:color w:val="auto"/>
        </w:rPr>
      </w:pPr>
    </w:p>
    <w:p>
      <w:pPr>
        <w:ind w:left="1200" w:right="3899" w:hanging="396"/>
        <w:spacing w:after="0" w:line="253" w:lineRule="auto"/>
        <w:tabs>
          <w:tab w:leader="none" w:pos="1200" w:val="left"/>
        </w:tabs>
        <w:numPr>
          <w:ilvl w:val="0"/>
          <w:numId w:val="42"/>
        </w:numPr>
        <w:rPr>
          <w:rFonts w:ascii="Courier New" w:cs="Courier New" w:eastAsia="Courier New" w:hAnsi="Courier New"/>
          <w:sz w:val="13"/>
          <w:szCs w:val="13"/>
          <w:color w:val="auto"/>
        </w:rPr>
      </w:pPr>
      <w:r>
        <w:rPr>
          <w:rFonts w:ascii="Courier New" w:cs="Courier New" w:eastAsia="Courier New" w:hAnsi="Courier New"/>
          <w:sz w:val="13"/>
          <w:szCs w:val="13"/>
          <w:color w:val="auto"/>
        </w:rPr>
        <w:t>As general rule, the consumption is considered to be enough steady during the lead time horizon to be regulated by the consignment stock. Otherwise the Buyer will inform the Supplier.</w:t>
      </w:r>
    </w:p>
    <w:p>
      <w:pPr>
        <w:spacing w:after="0" w:line="305" w:lineRule="exact"/>
        <w:rPr>
          <w:sz w:val="20"/>
          <w:szCs w:val="20"/>
          <w:color w:val="auto"/>
        </w:rPr>
      </w:pPr>
    </w:p>
    <w:p>
      <w:pPr>
        <w:ind w:left="240" w:right="3899"/>
        <w:spacing w:after="0" w:line="252" w:lineRule="auto"/>
        <w:rPr>
          <w:sz w:val="20"/>
          <w:szCs w:val="20"/>
          <w:color w:val="auto"/>
        </w:rPr>
      </w:pPr>
      <w:r>
        <w:rPr>
          <w:rFonts w:ascii="Courier New" w:cs="Courier New" w:eastAsia="Courier New" w:hAnsi="Courier New"/>
          <w:sz w:val="13"/>
          <w:szCs w:val="13"/>
          <w:color w:val="auto"/>
        </w:rPr>
        <w:t>To allow the supplier to manage the consignment stock that way, the fluctuation of the consumption should have to remain in a range of plus or minus [*] of the max stock level indicated by the buyer, at least during the lead time period.</w:t>
      </w:r>
    </w:p>
    <w:p>
      <w:pPr>
        <w:spacing w:after="0" w:line="153" w:lineRule="exact"/>
        <w:rPr>
          <w:sz w:val="20"/>
          <w:szCs w:val="20"/>
          <w:color w:val="auto"/>
        </w:rPr>
      </w:pPr>
    </w:p>
    <w:p>
      <w:pPr>
        <w:ind w:left="240"/>
        <w:spacing w:after="0"/>
        <w:rPr>
          <w:sz w:val="20"/>
          <w:szCs w:val="20"/>
          <w:color w:val="auto"/>
        </w:rPr>
      </w:pPr>
      <w:r>
        <w:rPr>
          <w:rFonts w:ascii="Courier New" w:cs="Courier New" w:eastAsia="Courier New" w:hAnsi="Courier New"/>
          <w:sz w:val="13"/>
          <w:szCs w:val="13"/>
          <w:b w:val="1"/>
          <w:bCs w:val="1"/>
          <w:color w:val="auto"/>
        </w:rPr>
        <w:t xml:space="preserve">4.2.2. </w:t>
      </w:r>
      <w:r>
        <w:rPr>
          <w:rFonts w:ascii="Courier New" w:cs="Courier New" w:eastAsia="Courier New" w:hAnsi="Courier New"/>
          <w:sz w:val="13"/>
          <w:szCs w:val="13"/>
          <w:color w:val="auto"/>
        </w:rPr>
        <w:t>[*]</w:t>
      </w:r>
    </w:p>
    <w:p>
      <w:pPr>
        <w:spacing w:after="0" w:line="161" w:lineRule="exact"/>
        <w:rPr>
          <w:sz w:val="20"/>
          <w:szCs w:val="20"/>
          <w:color w:val="auto"/>
        </w:rPr>
      </w:pPr>
    </w:p>
    <w:p>
      <w:pPr>
        <w:ind w:left="240" w:right="3819"/>
        <w:spacing w:after="0" w:line="253" w:lineRule="auto"/>
        <w:rPr>
          <w:sz w:val="20"/>
          <w:szCs w:val="20"/>
          <w:color w:val="auto"/>
        </w:rPr>
      </w:pPr>
      <w:r>
        <w:rPr>
          <w:rFonts w:ascii="Courier New" w:cs="Courier New" w:eastAsia="Courier New" w:hAnsi="Courier New"/>
          <w:sz w:val="13"/>
          <w:szCs w:val="13"/>
          <w:b w:val="1"/>
          <w:bCs w:val="1"/>
          <w:color w:val="auto"/>
        </w:rPr>
        <w:t xml:space="preserve">4.3. </w:t>
      </w:r>
      <w:r>
        <w:rPr>
          <w:rFonts w:ascii="Courier New" w:cs="Courier New" w:eastAsia="Courier New" w:hAnsi="Courier New"/>
          <w:sz w:val="13"/>
          <w:szCs w:val="13"/>
          <w:color w:val="auto"/>
        </w:rPr>
        <w:t>In case of significant degradation of the upper mentioned key factors,</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the minimum MARKET SHARE guaranteed to the supplier in this Contract could be renegotiated between the Parties.</w:t>
      </w:r>
    </w:p>
    <w:p>
      <w:pPr>
        <w:spacing w:after="0" w:line="200" w:lineRule="exact"/>
        <w:rPr>
          <w:sz w:val="20"/>
          <w:szCs w:val="20"/>
          <w:color w:val="auto"/>
        </w:rPr>
      </w:pPr>
    </w:p>
    <w:p>
      <w:pPr>
        <w:spacing w:after="0" w:line="260" w:lineRule="exact"/>
        <w:rPr>
          <w:sz w:val="20"/>
          <w:szCs w:val="20"/>
          <w:color w:val="auto"/>
        </w:rPr>
      </w:pPr>
    </w:p>
    <w:p>
      <w:pPr>
        <w:ind w:left="2880"/>
        <w:spacing w:after="0"/>
        <w:rPr>
          <w:sz w:val="20"/>
          <w:szCs w:val="20"/>
          <w:color w:val="auto"/>
        </w:rPr>
      </w:pPr>
      <w:r>
        <w:rPr>
          <w:rFonts w:ascii="Courier New" w:cs="Courier New" w:eastAsia="Courier New" w:hAnsi="Courier New"/>
          <w:sz w:val="13"/>
          <w:szCs w:val="13"/>
          <w:color w:val="auto"/>
        </w:rPr>
        <w:t>Pagina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4740"/>
        <w:spacing w:after="0"/>
        <w:rPr>
          <w:sz w:val="20"/>
          <w:szCs w:val="20"/>
          <w:color w:val="auto"/>
        </w:rPr>
      </w:pPr>
      <w:r>
        <w:rPr>
          <w:rFonts w:ascii="Courier New" w:cs="Courier New" w:eastAsia="Courier New" w:hAnsi="Courier New"/>
          <w:sz w:val="13"/>
          <w:szCs w:val="13"/>
          <w:color w:val="auto"/>
        </w:rPr>
        <w:t>Contract NN/02/RAW/ge</w:t>
      </w:r>
    </w:p>
    <w:p>
      <w:pPr>
        <w:spacing w:after="0" w:line="161" w:lineRule="exact"/>
        <w:rPr>
          <w:sz w:val="20"/>
          <w:szCs w:val="20"/>
          <w:color w:val="auto"/>
        </w:rPr>
      </w:pPr>
    </w:p>
    <w:p>
      <w:pPr>
        <w:ind w:left="240" w:right="3819"/>
        <w:spacing w:after="0" w:line="253" w:lineRule="auto"/>
        <w:rPr>
          <w:sz w:val="20"/>
          <w:szCs w:val="20"/>
          <w:color w:val="auto"/>
        </w:rPr>
      </w:pPr>
      <w:r>
        <w:rPr>
          <w:rFonts w:ascii="Courier New" w:cs="Courier New" w:eastAsia="Courier New" w:hAnsi="Courier New"/>
          <w:sz w:val="13"/>
          <w:szCs w:val="13"/>
          <w:b w:val="1"/>
          <w:bCs w:val="1"/>
          <w:color w:val="auto"/>
        </w:rPr>
        <w:t xml:space="preserve">4.4. </w:t>
      </w:r>
      <w:r>
        <w:rPr>
          <w:rFonts w:ascii="Courier New" w:cs="Courier New" w:eastAsia="Courier New" w:hAnsi="Courier New"/>
          <w:sz w:val="13"/>
          <w:szCs w:val="13"/>
          <w:color w:val="auto"/>
        </w:rPr>
        <w:t>If the Buyer is willing to increase the MARKET SHARE allocated to the</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Supplier above the guaranteed level, the Buyer shall make its best efforts to inform the Supplier before October 1st of the preceding year</w:t>
      </w:r>
    </w:p>
    <w:p>
      <w:pPr>
        <w:spacing w:after="0" w:line="151" w:lineRule="exact"/>
        <w:rPr>
          <w:sz w:val="20"/>
          <w:szCs w:val="20"/>
          <w:color w:val="auto"/>
        </w:rPr>
      </w:pPr>
    </w:p>
    <w:p>
      <w:pPr>
        <w:spacing w:after="0"/>
        <w:tabs>
          <w:tab w:leader="none" w:pos="380" w:val="left"/>
        </w:tabs>
        <w:rPr>
          <w:sz w:val="20"/>
          <w:szCs w:val="20"/>
          <w:color w:val="auto"/>
        </w:rPr>
      </w:pPr>
      <w:r>
        <w:rPr>
          <w:rFonts w:ascii="Courier New" w:cs="Courier New" w:eastAsia="Courier New" w:hAnsi="Courier New"/>
          <w:sz w:val="13"/>
          <w:szCs w:val="13"/>
          <w:b w:val="1"/>
          <w:bCs w:val="1"/>
          <w:color w:val="auto"/>
        </w:rPr>
        <w:t>5 -</w:t>
        <w:tab/>
        <w:t>CONSIGNMENT STOCK / LEAD TIME / SERVICE</w:t>
      </w:r>
    </w:p>
    <w:p>
      <w:pPr>
        <w:spacing w:after="0" w:line="16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3"/>
          <w:szCs w:val="13"/>
          <w:b w:val="1"/>
          <w:bCs w:val="1"/>
          <w:color w:val="auto"/>
        </w:rPr>
        <w:t>5.1</w:t>
      </w:r>
      <w:r>
        <w:rPr>
          <w:sz w:val="20"/>
          <w:szCs w:val="20"/>
          <w:color w:val="auto"/>
        </w:rPr>
        <w:tab/>
      </w:r>
      <w:r>
        <w:rPr>
          <w:rFonts w:ascii="Courier New" w:cs="Courier New" w:eastAsia="Courier New" w:hAnsi="Courier New"/>
          <w:sz w:val="13"/>
          <w:szCs w:val="13"/>
          <w:b w:val="1"/>
          <w:bCs w:val="1"/>
          <w:color w:val="auto"/>
        </w:rPr>
        <w:t>CONSIGNMENT STOCK</w:t>
      </w:r>
    </w:p>
    <w:p>
      <w:pPr>
        <w:spacing w:after="0" w:line="161" w:lineRule="exact"/>
        <w:rPr>
          <w:sz w:val="20"/>
          <w:szCs w:val="20"/>
          <w:color w:val="auto"/>
        </w:rPr>
      </w:pPr>
    </w:p>
    <w:p>
      <w:pPr>
        <w:ind w:left="640"/>
        <w:spacing w:after="0"/>
        <w:rPr>
          <w:sz w:val="20"/>
          <w:szCs w:val="20"/>
          <w:color w:val="auto"/>
        </w:rPr>
      </w:pPr>
      <w:r>
        <w:rPr>
          <w:rFonts w:ascii="Courier New" w:cs="Courier New" w:eastAsia="Courier New" w:hAnsi="Courier New"/>
          <w:sz w:val="13"/>
          <w:szCs w:val="13"/>
          <w:b w:val="1"/>
          <w:bCs w:val="1"/>
          <w:color w:val="auto"/>
        </w:rPr>
        <w:t xml:space="preserve">5.1.1. </w:t>
      </w:r>
      <w:r>
        <w:rPr>
          <w:rFonts w:ascii="Courier New" w:cs="Courier New" w:eastAsia="Courier New" w:hAnsi="Courier New"/>
          <w:sz w:val="13"/>
          <w:szCs w:val="13"/>
          <w:u w:val="single" w:color="auto"/>
          <w:color w:val="auto"/>
        </w:rPr>
        <w:t>Reference documents</w:t>
      </w:r>
    </w:p>
    <w:p>
      <w:pPr>
        <w:spacing w:after="0" w:line="161" w:lineRule="exact"/>
        <w:rPr>
          <w:sz w:val="20"/>
          <w:szCs w:val="20"/>
          <w:color w:val="auto"/>
        </w:rPr>
      </w:pPr>
    </w:p>
    <w:p>
      <w:pPr>
        <w:ind w:left="1200" w:hanging="396"/>
        <w:spacing w:after="0"/>
        <w:tabs>
          <w:tab w:leader="none" w:pos="1200" w:val="left"/>
        </w:tabs>
        <w:numPr>
          <w:ilvl w:val="0"/>
          <w:numId w:val="43"/>
        </w:numPr>
        <w:rPr>
          <w:rFonts w:ascii="Courier New" w:cs="Courier New" w:eastAsia="Courier New" w:hAnsi="Courier New"/>
          <w:sz w:val="13"/>
          <w:szCs w:val="13"/>
          <w:color w:val="auto"/>
        </w:rPr>
      </w:pPr>
      <w:r>
        <w:rPr>
          <w:rFonts w:ascii="Courier New" w:cs="Courier New" w:eastAsia="Courier New" w:hAnsi="Courier New"/>
          <w:sz w:val="13"/>
          <w:szCs w:val="13"/>
          <w:color w:val="auto"/>
        </w:rPr>
        <w:t>NN EUROBALL S.p.A. dated June 1st 2000</w:t>
      </w:r>
    </w:p>
    <w:p>
      <w:pPr>
        <w:spacing w:after="0" w:line="161" w:lineRule="exact"/>
        <w:rPr>
          <w:rFonts w:ascii="Courier New" w:cs="Courier New" w:eastAsia="Courier New" w:hAnsi="Courier New"/>
          <w:sz w:val="13"/>
          <w:szCs w:val="13"/>
          <w:color w:val="auto"/>
        </w:rPr>
      </w:pPr>
    </w:p>
    <w:p>
      <w:pPr>
        <w:ind w:left="1200" w:hanging="396"/>
        <w:spacing w:after="0"/>
        <w:tabs>
          <w:tab w:leader="none" w:pos="1200" w:val="left"/>
        </w:tabs>
        <w:numPr>
          <w:ilvl w:val="0"/>
          <w:numId w:val="43"/>
        </w:numPr>
        <w:rPr>
          <w:rFonts w:ascii="Courier New" w:cs="Courier New" w:eastAsia="Courier New" w:hAnsi="Courier New"/>
          <w:sz w:val="13"/>
          <w:szCs w:val="13"/>
          <w:color w:val="auto"/>
        </w:rPr>
      </w:pPr>
      <w:r>
        <w:rPr>
          <w:rFonts w:ascii="Courier New" w:cs="Courier New" w:eastAsia="Courier New" w:hAnsi="Courier New"/>
          <w:sz w:val="13"/>
          <w:szCs w:val="13"/>
          <w:color w:val="auto"/>
        </w:rPr>
        <w:t>KUGEL FERTIGUNG ELTMANN dated July 1st 2000</w:t>
      </w:r>
    </w:p>
    <w:p>
      <w:pPr>
        <w:spacing w:after="0" w:line="161" w:lineRule="exact"/>
        <w:rPr>
          <w:rFonts w:ascii="Courier New" w:cs="Courier New" w:eastAsia="Courier New" w:hAnsi="Courier New"/>
          <w:sz w:val="13"/>
          <w:szCs w:val="13"/>
          <w:color w:val="auto"/>
        </w:rPr>
      </w:pPr>
    </w:p>
    <w:p>
      <w:pPr>
        <w:ind w:left="1200" w:hanging="396"/>
        <w:spacing w:after="0"/>
        <w:tabs>
          <w:tab w:leader="none" w:pos="1200" w:val="left"/>
        </w:tabs>
        <w:numPr>
          <w:ilvl w:val="0"/>
          <w:numId w:val="43"/>
        </w:numPr>
        <w:rPr>
          <w:rFonts w:ascii="Courier New" w:cs="Courier New" w:eastAsia="Courier New" w:hAnsi="Courier New"/>
          <w:sz w:val="13"/>
          <w:szCs w:val="13"/>
          <w:color w:val="auto"/>
        </w:rPr>
      </w:pPr>
      <w:r>
        <w:rPr>
          <w:rFonts w:ascii="Courier New" w:cs="Courier New" w:eastAsia="Courier New" w:hAnsi="Courier New"/>
          <w:sz w:val="13"/>
          <w:szCs w:val="13"/>
          <w:color w:val="auto"/>
        </w:rPr>
        <w:t>NN BALL &amp; ROLLER Ltd - KILKENNY dated November 16th 1999</w:t>
      </w:r>
    </w:p>
    <w:p>
      <w:pPr>
        <w:spacing w:after="0" w:line="161" w:lineRule="exact"/>
        <w:rPr>
          <w:sz w:val="20"/>
          <w:szCs w:val="20"/>
          <w:color w:val="auto"/>
        </w:rPr>
      </w:pPr>
    </w:p>
    <w:p>
      <w:pPr>
        <w:ind w:left="560" w:right="4139"/>
        <w:spacing w:after="0" w:line="254" w:lineRule="auto"/>
        <w:rPr>
          <w:sz w:val="20"/>
          <w:szCs w:val="20"/>
          <w:color w:val="auto"/>
        </w:rPr>
      </w:pPr>
      <w:r>
        <w:rPr>
          <w:rFonts w:ascii="Courier New" w:cs="Courier New" w:eastAsia="Courier New" w:hAnsi="Courier New"/>
          <w:sz w:val="13"/>
          <w:szCs w:val="13"/>
          <w:color w:val="auto"/>
        </w:rPr>
        <w:t>The referenced documents as per point b) and c) will be replaced or amended in accordance with the provisions of the sub-articles 4.2.1 .</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 w:type="dxa"/>
            <w:vAlign w:val="bottom"/>
          </w:tcPr>
          <w:p>
            <w:pPr>
              <w:jc w:val="right"/>
              <w:ind w:right="93"/>
              <w:spacing w:after="0"/>
              <w:rPr>
                <w:sz w:val="20"/>
                <w:szCs w:val="20"/>
                <w:color w:val="auto"/>
              </w:rPr>
            </w:pPr>
            <w:r>
              <w:rPr>
                <w:rFonts w:ascii="Courier New" w:cs="Courier New" w:eastAsia="Courier New" w:hAnsi="Courier New"/>
                <w:sz w:val="13"/>
                <w:szCs w:val="13"/>
                <w:b w:val="1"/>
                <w:bCs w:val="1"/>
                <w:color w:val="auto"/>
                <w:w w:val="93"/>
              </w:rPr>
              <w:t>5.2</w:t>
            </w:r>
          </w:p>
        </w:tc>
        <w:tc>
          <w:tcPr>
            <w:tcW w:w="1360" w:type="dxa"/>
            <w:vAlign w:val="bottom"/>
          </w:tcPr>
          <w:p>
            <w:pPr>
              <w:ind w:left="320"/>
              <w:spacing w:after="0"/>
              <w:rPr>
                <w:sz w:val="20"/>
                <w:szCs w:val="20"/>
                <w:color w:val="auto"/>
              </w:rPr>
            </w:pPr>
            <w:r>
              <w:rPr>
                <w:rFonts w:ascii="Courier New" w:cs="Courier New" w:eastAsia="Courier New" w:hAnsi="Courier New"/>
                <w:sz w:val="13"/>
                <w:szCs w:val="13"/>
                <w:b w:val="1"/>
                <w:bCs w:val="1"/>
                <w:color w:val="auto"/>
              </w:rPr>
              <w:t>LEAD TIME</w:t>
            </w:r>
          </w:p>
        </w:tc>
        <w:tc>
          <w:tcPr>
            <w:tcW w:w="3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308"/>
        </w:trPr>
        <w:tc>
          <w:tcPr>
            <w:tcW w:w="400" w:type="dxa"/>
            <w:vAlign w:val="bottom"/>
          </w:tcPr>
          <w:p>
            <w:pPr>
              <w:spacing w:after="0"/>
              <w:rPr>
                <w:sz w:val="24"/>
                <w:szCs w:val="24"/>
                <w:color w:val="auto"/>
              </w:rPr>
            </w:pPr>
          </w:p>
        </w:tc>
        <w:tc>
          <w:tcPr>
            <w:tcW w:w="4660" w:type="dxa"/>
            <w:vAlign w:val="bottom"/>
            <w:gridSpan w:val="2"/>
          </w:tcPr>
          <w:p>
            <w:pPr>
              <w:ind w:left="160"/>
              <w:spacing w:after="0"/>
              <w:rPr>
                <w:sz w:val="20"/>
                <w:szCs w:val="20"/>
                <w:color w:val="auto"/>
              </w:rPr>
            </w:pPr>
            <w:r>
              <w:rPr>
                <w:rFonts w:ascii="Courier New" w:cs="Courier New" w:eastAsia="Courier New" w:hAnsi="Courier New"/>
                <w:sz w:val="13"/>
                <w:szCs w:val="13"/>
                <w:color w:val="auto"/>
              </w:rPr>
              <w:t>The lead times are the  following :</w:t>
            </w: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08"/>
        </w:trPr>
        <w:tc>
          <w:tcPr>
            <w:tcW w:w="400" w:type="dxa"/>
            <w:vAlign w:val="bottom"/>
          </w:tcPr>
          <w:p>
            <w:pPr>
              <w:spacing w:after="0"/>
              <w:rPr>
                <w:sz w:val="24"/>
                <w:szCs w:val="24"/>
                <w:color w:val="auto"/>
              </w:rPr>
            </w:pPr>
          </w:p>
        </w:tc>
        <w:tc>
          <w:tcPr>
            <w:tcW w:w="1360" w:type="dxa"/>
            <w:vAlign w:val="bottom"/>
          </w:tcPr>
          <w:p>
            <w:pPr>
              <w:ind w:left="160"/>
              <w:spacing w:after="0"/>
              <w:rPr>
                <w:sz w:val="20"/>
                <w:szCs w:val="20"/>
                <w:color w:val="auto"/>
              </w:rPr>
            </w:pPr>
            <w:r>
              <w:rPr>
                <w:rFonts w:ascii="Courier New" w:cs="Courier New" w:eastAsia="Courier New" w:hAnsi="Courier New"/>
                <w:sz w:val="13"/>
                <w:szCs w:val="13"/>
                <w:color w:val="auto"/>
              </w:rPr>
              <w:t>- Wire rod :</w:t>
            </w:r>
          </w:p>
        </w:tc>
        <w:tc>
          <w:tcPr>
            <w:tcW w:w="3300" w:type="dxa"/>
            <w:vAlign w:val="bottom"/>
          </w:tcPr>
          <w:p>
            <w:pPr>
              <w:ind w:left="240"/>
              <w:spacing w:after="0"/>
              <w:rPr>
                <w:sz w:val="20"/>
                <w:szCs w:val="20"/>
                <w:color w:val="auto"/>
              </w:rPr>
            </w:pPr>
            <w:r>
              <w:rPr>
                <w:rFonts w:ascii="Courier New" w:cs="Courier New" w:eastAsia="Courier New" w:hAnsi="Courier New"/>
                <w:sz w:val="13"/>
                <w:szCs w:val="13"/>
                <w:color w:val="auto"/>
              </w:rPr>
              <w:t>EUROBALL S.p.A. (Pinerolo)</w:t>
            </w:r>
          </w:p>
        </w:tc>
        <w:tc>
          <w:tcPr>
            <w:tcW w:w="640" w:type="dxa"/>
            <w:vAlign w:val="bottom"/>
          </w:tcPr>
          <w:p>
            <w:pPr>
              <w:ind w:left="320"/>
              <w:spacing w:after="0"/>
              <w:rPr>
                <w:sz w:val="20"/>
                <w:szCs w:val="20"/>
                <w:color w:val="auto"/>
              </w:rPr>
            </w:pPr>
            <w:r>
              <w:rPr>
                <w:rFonts w:ascii="Courier New" w:cs="Courier New" w:eastAsia="Courier New" w:hAnsi="Courier New"/>
                <w:sz w:val="13"/>
                <w:szCs w:val="13"/>
                <w:color w:val="auto"/>
              </w:rPr>
              <w:t>- 9</w:t>
            </w:r>
          </w:p>
        </w:tc>
        <w:tc>
          <w:tcPr>
            <w:tcW w:w="480" w:type="dxa"/>
            <w:vAlign w:val="bottom"/>
          </w:tcPr>
          <w:p>
            <w:pPr>
              <w:spacing w:after="0"/>
              <w:rPr>
                <w:sz w:val="20"/>
                <w:szCs w:val="20"/>
                <w:color w:val="auto"/>
              </w:rPr>
            </w:pPr>
            <w:r>
              <w:rPr>
                <w:rFonts w:ascii="Courier New" w:cs="Courier New" w:eastAsia="Courier New" w:hAnsi="Courier New"/>
                <w:sz w:val="13"/>
                <w:szCs w:val="13"/>
                <w:color w:val="auto"/>
              </w:rPr>
              <w:t>weeks</w:t>
            </w:r>
          </w:p>
        </w:tc>
      </w:tr>
      <w:tr>
        <w:trPr>
          <w:trHeight w:val="308"/>
        </w:trPr>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300" w:type="dxa"/>
            <w:vAlign w:val="bottom"/>
          </w:tcPr>
          <w:p>
            <w:pPr>
              <w:ind w:left="240"/>
              <w:spacing w:after="0"/>
              <w:rPr>
                <w:sz w:val="20"/>
                <w:szCs w:val="20"/>
                <w:color w:val="auto"/>
              </w:rPr>
            </w:pPr>
            <w:r>
              <w:rPr>
                <w:rFonts w:ascii="Courier New" w:cs="Courier New" w:eastAsia="Courier New" w:hAnsi="Courier New"/>
                <w:sz w:val="13"/>
                <w:szCs w:val="13"/>
                <w:color w:val="auto"/>
              </w:rPr>
              <w:t>KUGEL FERTIGUNG ELTMANN GmbH</w:t>
            </w:r>
          </w:p>
        </w:tc>
        <w:tc>
          <w:tcPr>
            <w:tcW w:w="640" w:type="dxa"/>
            <w:vAlign w:val="bottom"/>
          </w:tcPr>
          <w:p>
            <w:pPr>
              <w:ind w:left="320"/>
              <w:spacing w:after="0"/>
              <w:rPr>
                <w:sz w:val="20"/>
                <w:szCs w:val="20"/>
                <w:color w:val="auto"/>
              </w:rPr>
            </w:pPr>
            <w:r>
              <w:rPr>
                <w:rFonts w:ascii="Courier New" w:cs="Courier New" w:eastAsia="Courier New" w:hAnsi="Courier New"/>
                <w:sz w:val="13"/>
                <w:szCs w:val="13"/>
                <w:color w:val="auto"/>
              </w:rPr>
              <w:t>- 9</w:t>
            </w:r>
          </w:p>
        </w:tc>
        <w:tc>
          <w:tcPr>
            <w:tcW w:w="480" w:type="dxa"/>
            <w:vAlign w:val="bottom"/>
          </w:tcPr>
          <w:p>
            <w:pPr>
              <w:spacing w:after="0"/>
              <w:rPr>
                <w:sz w:val="20"/>
                <w:szCs w:val="20"/>
                <w:color w:val="auto"/>
              </w:rPr>
            </w:pPr>
            <w:r>
              <w:rPr>
                <w:rFonts w:ascii="Courier New" w:cs="Courier New" w:eastAsia="Courier New" w:hAnsi="Courier New"/>
                <w:sz w:val="13"/>
                <w:szCs w:val="13"/>
                <w:color w:val="auto"/>
              </w:rPr>
              <w:t>weeks</w:t>
            </w:r>
          </w:p>
        </w:tc>
      </w:tr>
      <w:tr>
        <w:trPr>
          <w:trHeight w:val="308"/>
        </w:trPr>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300" w:type="dxa"/>
            <w:vAlign w:val="bottom"/>
          </w:tcPr>
          <w:p>
            <w:pPr>
              <w:ind w:left="240"/>
              <w:spacing w:after="0"/>
              <w:rPr>
                <w:sz w:val="20"/>
                <w:szCs w:val="20"/>
                <w:color w:val="auto"/>
              </w:rPr>
            </w:pPr>
            <w:r>
              <w:rPr>
                <w:rFonts w:ascii="Courier New" w:cs="Courier New" w:eastAsia="Courier New" w:hAnsi="Courier New"/>
                <w:sz w:val="13"/>
                <w:szCs w:val="13"/>
                <w:color w:val="auto"/>
              </w:rPr>
              <w:t>NN EUROBALL Ireland Ltd (Kilkenny)</w:t>
            </w:r>
          </w:p>
        </w:tc>
        <w:tc>
          <w:tcPr>
            <w:tcW w:w="640" w:type="dxa"/>
            <w:vAlign w:val="bottom"/>
          </w:tcPr>
          <w:p>
            <w:pPr>
              <w:ind w:left="320"/>
              <w:spacing w:after="0"/>
              <w:rPr>
                <w:sz w:val="20"/>
                <w:szCs w:val="20"/>
                <w:color w:val="auto"/>
              </w:rPr>
            </w:pPr>
            <w:r>
              <w:rPr>
                <w:rFonts w:ascii="Courier New" w:cs="Courier New" w:eastAsia="Courier New" w:hAnsi="Courier New"/>
                <w:sz w:val="13"/>
                <w:szCs w:val="13"/>
                <w:color w:val="auto"/>
                <w:w w:val="95"/>
              </w:rPr>
              <w:t>- 10</w:t>
            </w:r>
          </w:p>
        </w:tc>
        <w:tc>
          <w:tcPr>
            <w:tcW w:w="480" w:type="dxa"/>
            <w:vAlign w:val="bottom"/>
          </w:tcPr>
          <w:p>
            <w:pPr>
              <w:ind w:left="80"/>
              <w:spacing w:after="0"/>
              <w:rPr>
                <w:sz w:val="20"/>
                <w:szCs w:val="20"/>
                <w:color w:val="auto"/>
              </w:rPr>
            </w:pPr>
            <w:r>
              <w:rPr>
                <w:rFonts w:ascii="Courier New" w:cs="Courier New" w:eastAsia="Courier New" w:hAnsi="Courier New"/>
                <w:sz w:val="13"/>
                <w:szCs w:val="13"/>
                <w:color w:val="auto"/>
                <w:w w:val="97"/>
              </w:rPr>
              <w:t>weeks</w:t>
            </w:r>
          </w:p>
        </w:tc>
      </w:tr>
      <w:tr>
        <w:trPr>
          <w:trHeight w:val="308"/>
        </w:trPr>
        <w:tc>
          <w:tcPr>
            <w:tcW w:w="400" w:type="dxa"/>
            <w:vAlign w:val="bottom"/>
          </w:tcPr>
          <w:p>
            <w:pPr>
              <w:spacing w:after="0"/>
              <w:rPr>
                <w:sz w:val="24"/>
                <w:szCs w:val="24"/>
                <w:color w:val="auto"/>
              </w:rPr>
            </w:pPr>
          </w:p>
        </w:tc>
        <w:tc>
          <w:tcPr>
            <w:tcW w:w="1360" w:type="dxa"/>
            <w:vAlign w:val="bottom"/>
          </w:tcPr>
          <w:p>
            <w:pPr>
              <w:ind w:left="160"/>
              <w:spacing w:after="0"/>
              <w:rPr>
                <w:sz w:val="20"/>
                <w:szCs w:val="20"/>
                <w:color w:val="auto"/>
              </w:rPr>
            </w:pPr>
            <w:r>
              <w:rPr>
                <w:rFonts w:ascii="Courier New" w:cs="Courier New" w:eastAsia="Courier New" w:hAnsi="Courier New"/>
                <w:sz w:val="13"/>
                <w:szCs w:val="13"/>
                <w:color w:val="auto"/>
              </w:rPr>
              <w:t>- Wire :</w:t>
            </w:r>
          </w:p>
        </w:tc>
        <w:tc>
          <w:tcPr>
            <w:tcW w:w="3300" w:type="dxa"/>
            <w:vAlign w:val="bottom"/>
          </w:tcPr>
          <w:p>
            <w:pPr>
              <w:ind w:left="240"/>
              <w:spacing w:after="0"/>
              <w:rPr>
                <w:sz w:val="20"/>
                <w:szCs w:val="20"/>
                <w:color w:val="auto"/>
              </w:rPr>
            </w:pPr>
            <w:r>
              <w:rPr>
                <w:rFonts w:ascii="Courier New" w:cs="Courier New" w:eastAsia="Courier New" w:hAnsi="Courier New"/>
                <w:sz w:val="13"/>
                <w:szCs w:val="13"/>
                <w:color w:val="auto"/>
              </w:rPr>
              <w:t>EUROBALL S.p.A.</w:t>
            </w:r>
          </w:p>
        </w:tc>
        <w:tc>
          <w:tcPr>
            <w:tcW w:w="640" w:type="dxa"/>
            <w:vAlign w:val="bottom"/>
          </w:tcPr>
          <w:p>
            <w:pPr>
              <w:ind w:left="320"/>
              <w:spacing w:after="0"/>
              <w:rPr>
                <w:sz w:val="20"/>
                <w:szCs w:val="20"/>
                <w:color w:val="auto"/>
              </w:rPr>
            </w:pPr>
            <w:r>
              <w:rPr>
                <w:rFonts w:ascii="Courier New" w:cs="Courier New" w:eastAsia="Courier New" w:hAnsi="Courier New"/>
                <w:sz w:val="13"/>
                <w:szCs w:val="13"/>
                <w:color w:val="auto"/>
                <w:w w:val="95"/>
              </w:rPr>
              <w:t>- 13</w:t>
            </w:r>
          </w:p>
        </w:tc>
        <w:tc>
          <w:tcPr>
            <w:tcW w:w="480" w:type="dxa"/>
            <w:vAlign w:val="bottom"/>
          </w:tcPr>
          <w:p>
            <w:pPr>
              <w:ind w:left="80"/>
              <w:spacing w:after="0"/>
              <w:rPr>
                <w:sz w:val="20"/>
                <w:szCs w:val="20"/>
                <w:color w:val="auto"/>
              </w:rPr>
            </w:pPr>
            <w:r>
              <w:rPr>
                <w:rFonts w:ascii="Courier New" w:cs="Courier New" w:eastAsia="Courier New" w:hAnsi="Courier New"/>
                <w:sz w:val="13"/>
                <w:szCs w:val="13"/>
                <w:color w:val="auto"/>
                <w:w w:val="97"/>
              </w:rPr>
              <w:t>weeks</w:t>
            </w:r>
          </w:p>
        </w:tc>
      </w:tr>
    </w:tbl>
    <w:p>
      <w:pPr>
        <w:spacing w:after="0" w:line="313" w:lineRule="exact"/>
        <w:rPr>
          <w:sz w:val="20"/>
          <w:szCs w:val="20"/>
          <w:color w:val="auto"/>
        </w:rPr>
      </w:pPr>
    </w:p>
    <w:p>
      <w:pPr>
        <w:ind w:left="560" w:right="4299"/>
        <w:spacing w:after="0" w:line="253" w:lineRule="auto"/>
        <w:rPr>
          <w:sz w:val="20"/>
          <w:szCs w:val="20"/>
          <w:color w:val="auto"/>
        </w:rPr>
      </w:pPr>
      <w:r>
        <w:rPr>
          <w:rFonts w:ascii="Courier New" w:cs="Courier New" w:eastAsia="Courier New" w:hAnsi="Courier New"/>
          <w:sz w:val="13"/>
          <w:szCs w:val="13"/>
          <w:b w:val="1"/>
          <w:bCs w:val="1"/>
          <w:color w:val="auto"/>
        </w:rPr>
        <w:t>5.2.1</w:t>
      </w:r>
      <w:r>
        <w:rPr>
          <w:rFonts w:ascii="Courier New" w:cs="Courier New" w:eastAsia="Courier New" w:hAnsi="Courier New"/>
          <w:sz w:val="13"/>
          <w:szCs w:val="13"/>
          <w:color w:val="auto"/>
        </w:rPr>
        <w:t>.The above mentioned Lead Times will be applicable only if the</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market demand increase of decrease more than the 10% , if less the Supplier shall adjust automatically</w:t>
      </w:r>
    </w:p>
    <w:p>
      <w:pPr>
        <w:spacing w:after="0" w:line="305" w:lineRule="exact"/>
        <w:rPr>
          <w:sz w:val="20"/>
          <w:szCs w:val="20"/>
          <w:color w:val="auto"/>
        </w:rPr>
      </w:pPr>
    </w:p>
    <w:p>
      <w:pPr>
        <w:ind w:left="560" w:right="3819"/>
        <w:spacing w:after="0" w:line="252" w:lineRule="auto"/>
        <w:rPr>
          <w:sz w:val="20"/>
          <w:szCs w:val="20"/>
          <w:color w:val="auto"/>
        </w:rPr>
      </w:pPr>
      <w:r>
        <w:rPr>
          <w:rFonts w:ascii="Courier New" w:cs="Courier New" w:eastAsia="Courier New" w:hAnsi="Courier New"/>
          <w:sz w:val="13"/>
          <w:szCs w:val="13"/>
          <w:b w:val="1"/>
          <w:bCs w:val="1"/>
          <w:color w:val="auto"/>
        </w:rPr>
        <w:t xml:space="preserve">5.2.2. </w:t>
      </w:r>
      <w:r>
        <w:rPr>
          <w:rFonts w:ascii="Courier New" w:cs="Courier New" w:eastAsia="Courier New" w:hAnsi="Courier New"/>
          <w:sz w:val="13"/>
          <w:szCs w:val="13"/>
          <w:color w:val="auto"/>
        </w:rPr>
        <w:t>In case of a new wire requirement, the Supplier agrees that after</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lead time period starting from the Buyer written notice the quantity of the products subject to the above will be put in the Consignment Stock in accordance with the Buyer requirement.</w:t>
      </w:r>
    </w:p>
    <w:p>
      <w:pPr>
        <w:spacing w:after="0" w:line="307"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3"/>
          <w:szCs w:val="13"/>
          <w:b w:val="1"/>
          <w:bCs w:val="1"/>
          <w:color w:val="auto"/>
        </w:rPr>
        <w:t>5.3</w:t>
      </w:r>
      <w:r>
        <w:rPr>
          <w:sz w:val="20"/>
          <w:szCs w:val="20"/>
          <w:color w:val="auto"/>
        </w:rPr>
        <w:tab/>
      </w:r>
      <w:r>
        <w:rPr>
          <w:rFonts w:ascii="Courier New" w:cs="Courier New" w:eastAsia="Courier New" w:hAnsi="Courier New"/>
          <w:sz w:val="13"/>
          <w:szCs w:val="13"/>
          <w:b w:val="1"/>
          <w:bCs w:val="1"/>
          <w:color w:val="auto"/>
        </w:rPr>
        <w:t>SERVICE IMPROVEMENT WORKSHOP</w:t>
      </w:r>
    </w:p>
    <w:p>
      <w:pPr>
        <w:spacing w:after="0" w:line="161" w:lineRule="exact"/>
        <w:rPr>
          <w:sz w:val="20"/>
          <w:szCs w:val="20"/>
          <w:color w:val="auto"/>
        </w:rPr>
      </w:pPr>
    </w:p>
    <w:p>
      <w:pPr>
        <w:ind w:left="560" w:right="3899"/>
        <w:spacing w:after="0" w:line="254" w:lineRule="auto"/>
        <w:rPr>
          <w:sz w:val="20"/>
          <w:szCs w:val="20"/>
          <w:color w:val="auto"/>
        </w:rPr>
      </w:pPr>
      <w:r>
        <w:rPr>
          <w:rFonts w:ascii="Courier New" w:cs="Courier New" w:eastAsia="Courier New" w:hAnsi="Courier New"/>
          <w:sz w:val="13"/>
          <w:szCs w:val="13"/>
          <w:color w:val="auto"/>
        </w:rPr>
        <w:t>At least, 3 times a year per entity a service improvement workshop shall take place with following frame agenda:</w:t>
      </w:r>
    </w:p>
    <w:p>
      <w:pPr>
        <w:sectPr>
          <w:pgSz w:w="11900" w:h="16838" w:orient="portrait"/>
          <w:cols w:equalWidth="0" w:num="1">
            <w:col w:w="10239"/>
          </w:cols>
          <w:pgMar w:left="220" w:top="141" w:right="1440" w:bottom="0" w:gutter="0" w:footer="0" w:header="0"/>
        </w:sectPr>
      </w:pPr>
    </w:p>
    <w:bookmarkStart w:id="46" w:name="page47"/>
    <w:bookmarkEnd w:id="46"/>
    <w:p>
      <w:pPr>
        <w:ind w:left="2880" w:right="6699" w:hanging="2076"/>
        <w:spacing w:after="0" w:line="757" w:lineRule="auto"/>
        <w:tabs>
          <w:tab w:leader="none" w:pos="1196" w:val="left"/>
        </w:tabs>
        <w:numPr>
          <w:ilvl w:val="0"/>
          <w:numId w:val="44"/>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Review of service index Pagina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-28575</wp:posOffset>
            </wp:positionV>
            <wp:extent cx="730440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110" w:lineRule="exact"/>
        <w:rPr>
          <w:sz w:val="20"/>
          <w:szCs w:val="20"/>
          <w:color w:val="auto"/>
        </w:rPr>
      </w:pPr>
    </w:p>
    <w:p>
      <w:pPr>
        <w:jc w:val="right"/>
        <w:ind w:right="3819"/>
        <w:spacing w:after="0"/>
        <w:rPr>
          <w:sz w:val="20"/>
          <w:szCs w:val="20"/>
          <w:color w:val="auto"/>
        </w:rPr>
      </w:pPr>
      <w:r>
        <w:rPr>
          <w:rFonts w:ascii="Courier New" w:cs="Courier New" w:eastAsia="Courier New" w:hAnsi="Courier New"/>
          <w:sz w:val="13"/>
          <w:szCs w:val="13"/>
          <w:color w:val="auto"/>
        </w:rPr>
        <w:t>Contract NN/02/RAW/ge</w:t>
      </w:r>
    </w:p>
    <w:p>
      <w:pPr>
        <w:spacing w:after="0" w:line="161" w:lineRule="exact"/>
        <w:rPr>
          <w:sz w:val="20"/>
          <w:szCs w:val="20"/>
          <w:color w:val="auto"/>
        </w:rPr>
      </w:pPr>
    </w:p>
    <w:p>
      <w:pPr>
        <w:ind w:left="1200" w:hanging="396"/>
        <w:spacing w:after="0"/>
        <w:tabs>
          <w:tab w:leader="none" w:pos="1200" w:val="left"/>
        </w:tabs>
        <w:numPr>
          <w:ilvl w:val="0"/>
          <w:numId w:val="45"/>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Review of stock level set up</w:t>
      </w:r>
    </w:p>
    <w:p>
      <w:pPr>
        <w:spacing w:after="0" w:line="161" w:lineRule="exact"/>
        <w:rPr>
          <w:rFonts w:ascii="Courier New" w:cs="Courier New" w:eastAsia="Courier New" w:hAnsi="Courier New"/>
          <w:sz w:val="13"/>
          <w:szCs w:val="13"/>
          <w:color w:val="auto"/>
        </w:rPr>
      </w:pPr>
    </w:p>
    <w:p>
      <w:pPr>
        <w:ind w:left="1200" w:hanging="396"/>
        <w:spacing w:after="0"/>
        <w:tabs>
          <w:tab w:leader="none" w:pos="1200" w:val="left"/>
        </w:tabs>
        <w:numPr>
          <w:ilvl w:val="0"/>
          <w:numId w:val="45"/>
        </w:numPr>
        <w:rPr>
          <w:rFonts w:ascii="Courier New" w:cs="Courier New" w:eastAsia="Courier New" w:hAnsi="Courier New"/>
          <w:sz w:val="13"/>
          <w:szCs w:val="13"/>
          <w:color w:val="auto"/>
        </w:rPr>
      </w:pPr>
      <w:r>
        <w:rPr>
          <w:rFonts w:ascii="Courier New" w:cs="Courier New" w:eastAsia="Courier New" w:hAnsi="Courier New"/>
          <w:sz w:val="13"/>
          <w:szCs w:val="13"/>
          <w:color w:val="auto"/>
        </w:rPr>
        <w:t>Main issues to be addressed</w:t>
      </w:r>
    </w:p>
    <w:p>
      <w:pPr>
        <w:spacing w:after="0" w:line="161" w:lineRule="exact"/>
        <w:rPr>
          <w:rFonts w:ascii="Courier New" w:cs="Courier New" w:eastAsia="Courier New" w:hAnsi="Courier New"/>
          <w:sz w:val="13"/>
          <w:szCs w:val="13"/>
          <w:color w:val="auto"/>
        </w:rPr>
      </w:pPr>
    </w:p>
    <w:p>
      <w:pPr>
        <w:ind w:left="1200" w:hanging="396"/>
        <w:spacing w:after="0"/>
        <w:tabs>
          <w:tab w:leader="none" w:pos="1200" w:val="left"/>
        </w:tabs>
        <w:numPr>
          <w:ilvl w:val="0"/>
          <w:numId w:val="45"/>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Review of the communication system</w:t>
      </w:r>
    </w:p>
    <w:p>
      <w:pPr>
        <w:spacing w:after="0" w:line="161" w:lineRule="exact"/>
        <w:rPr>
          <w:rFonts w:ascii="Courier New" w:cs="Courier New" w:eastAsia="Courier New" w:hAnsi="Courier New"/>
          <w:sz w:val="13"/>
          <w:szCs w:val="13"/>
          <w:color w:val="auto"/>
        </w:rPr>
      </w:pPr>
    </w:p>
    <w:p>
      <w:pPr>
        <w:ind w:left="1200" w:hanging="396"/>
        <w:spacing w:after="0"/>
        <w:tabs>
          <w:tab w:leader="none" w:pos="1200" w:val="left"/>
        </w:tabs>
        <w:numPr>
          <w:ilvl w:val="0"/>
          <w:numId w:val="45"/>
        </w:numPr>
        <w:rPr>
          <w:rFonts w:ascii="Courier New" w:cs="Courier New" w:eastAsia="Courier New" w:hAnsi="Courier New"/>
          <w:sz w:val="13"/>
          <w:szCs w:val="13"/>
          <w:color w:val="auto"/>
        </w:rPr>
      </w:pPr>
      <w:r>
        <w:rPr>
          <w:rFonts w:ascii="Courier New" w:cs="Courier New" w:eastAsia="Courier New" w:hAnsi="Courier New"/>
          <w:sz w:val="13"/>
          <w:szCs w:val="13"/>
          <w:color w:val="auto"/>
        </w:rPr>
        <w:t>Goals for next period</w:t>
      </w:r>
    </w:p>
    <w:p>
      <w:pPr>
        <w:spacing w:after="0" w:line="161" w:lineRule="exact"/>
        <w:rPr>
          <w:rFonts w:ascii="Courier New" w:cs="Courier New" w:eastAsia="Courier New" w:hAnsi="Courier New"/>
          <w:sz w:val="13"/>
          <w:szCs w:val="13"/>
          <w:color w:val="auto"/>
        </w:rPr>
      </w:pPr>
    </w:p>
    <w:p>
      <w:pPr>
        <w:ind w:left="1200" w:hanging="396"/>
        <w:spacing w:after="0"/>
        <w:tabs>
          <w:tab w:leader="none" w:pos="1200" w:val="left"/>
        </w:tabs>
        <w:numPr>
          <w:ilvl w:val="0"/>
          <w:numId w:val="45"/>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Initiative for common work groups</w:t>
      </w:r>
    </w:p>
    <w:p>
      <w:pPr>
        <w:spacing w:after="0" w:line="161" w:lineRule="exact"/>
        <w:rPr>
          <w:sz w:val="20"/>
          <w:szCs w:val="20"/>
          <w:color w:val="auto"/>
        </w:rPr>
      </w:pPr>
    </w:p>
    <w:p>
      <w:pPr>
        <w:ind w:right="3979" w:firstLine="642"/>
        <w:spacing w:after="0" w:line="254" w:lineRule="auto"/>
        <w:rPr>
          <w:sz w:val="20"/>
          <w:szCs w:val="20"/>
          <w:color w:val="auto"/>
        </w:rPr>
      </w:pPr>
      <w:r>
        <w:rPr>
          <w:rFonts w:ascii="Courier New" w:cs="Courier New" w:eastAsia="Courier New" w:hAnsi="Courier New"/>
          <w:sz w:val="13"/>
          <w:szCs w:val="13"/>
          <w:color w:val="auto"/>
        </w:rPr>
        <w:t>The appendix `'D" gives historical reference for consignment stock and target for the future.</w:t>
      </w:r>
    </w:p>
    <w:p>
      <w:pPr>
        <w:spacing w:after="0" w:line="151"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3"/>
          <w:szCs w:val="13"/>
          <w:b w:val="1"/>
          <w:bCs w:val="1"/>
          <w:color w:val="auto"/>
        </w:rPr>
        <w:t>6 -</w:t>
        <w:tab/>
        <w:t>DELIVERY</w:t>
      </w:r>
    </w:p>
    <w:p>
      <w:pPr>
        <w:spacing w:after="0" w:line="161" w:lineRule="exact"/>
        <w:rPr>
          <w:sz w:val="20"/>
          <w:szCs w:val="20"/>
          <w:color w:val="auto"/>
        </w:rPr>
      </w:pPr>
    </w:p>
    <w:p>
      <w:pPr>
        <w:ind w:left="320" w:right="3819"/>
        <w:spacing w:after="0" w:line="252" w:lineRule="auto"/>
        <w:rPr>
          <w:sz w:val="20"/>
          <w:szCs w:val="20"/>
          <w:color w:val="auto"/>
        </w:rPr>
      </w:pPr>
      <w:r>
        <w:rPr>
          <w:rFonts w:ascii="Courier New" w:cs="Courier New" w:eastAsia="Courier New" w:hAnsi="Courier New"/>
          <w:sz w:val="13"/>
          <w:szCs w:val="13"/>
          <w:b w:val="1"/>
          <w:bCs w:val="1"/>
          <w:color w:val="auto"/>
        </w:rPr>
        <w:t xml:space="preserve">6.1 </w:t>
      </w:r>
      <w:r>
        <w:rPr>
          <w:rFonts w:ascii="Courier New" w:cs="Courier New" w:eastAsia="Courier New" w:hAnsi="Courier New"/>
          <w:sz w:val="13"/>
          <w:szCs w:val="13"/>
          <w:color w:val="auto"/>
        </w:rPr>
        <w:t>Subject to the provisions of Article 12 `Excusable Delay', the Supplier</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undertakes to deliver the Products strictly in accordance with the terms and conditions provided under the terms and conditions as set out under the sub-article 5.1.1</w:t>
      </w:r>
    </w:p>
    <w:p>
      <w:pPr>
        <w:spacing w:after="0" w:line="153" w:lineRule="exact"/>
        <w:rPr>
          <w:sz w:val="20"/>
          <w:szCs w:val="20"/>
          <w:color w:val="auto"/>
        </w:rPr>
      </w:pPr>
    </w:p>
    <w:p>
      <w:pPr>
        <w:ind w:left="320"/>
        <w:spacing w:after="0"/>
        <w:tabs>
          <w:tab w:leader="none" w:pos="780" w:val="left"/>
          <w:tab w:leader="none" w:pos="1260" w:val="left"/>
          <w:tab w:leader="none" w:pos="2140" w:val="left"/>
          <w:tab w:leader="none" w:pos="2620" w:val="left"/>
          <w:tab w:leader="none" w:pos="2940" w:val="left"/>
          <w:tab w:leader="none" w:pos="3920" w:val="left"/>
          <w:tab w:leader="none" w:pos="4320" w:val="left"/>
        </w:tabs>
        <w:rPr>
          <w:sz w:val="20"/>
          <w:szCs w:val="20"/>
          <w:color w:val="auto"/>
        </w:rPr>
      </w:pPr>
      <w:r>
        <w:rPr>
          <w:rFonts w:ascii="Courier New" w:cs="Courier New" w:eastAsia="Courier New" w:hAnsi="Courier New"/>
          <w:sz w:val="13"/>
          <w:szCs w:val="13"/>
          <w:b w:val="1"/>
          <w:bCs w:val="1"/>
          <w:color w:val="auto"/>
        </w:rPr>
        <w:t>6.2</w:t>
      </w:r>
      <w:r>
        <w:rPr>
          <w:sz w:val="20"/>
          <w:szCs w:val="20"/>
          <w:color w:val="auto"/>
        </w:rPr>
        <w:tab/>
      </w:r>
      <w:r>
        <w:rPr>
          <w:rFonts w:ascii="Courier New" w:cs="Courier New" w:eastAsia="Courier New" w:hAnsi="Courier New"/>
          <w:sz w:val="13"/>
          <w:szCs w:val="13"/>
          <w:color w:val="auto"/>
        </w:rPr>
        <w:t>The</w:t>
        <w:tab/>
        <w:t>Products</w:t>
        <w:tab/>
        <w:t>will</w:t>
        <w:tab/>
        <w:t>be</w:t>
        <w:tab/>
        <w:t>delivered</w:t>
        <w:tab/>
        <w:t>DDP</w:t>
        <w:tab/>
        <w:t>(INCOTERMS 2000)</w:t>
      </w:r>
    </w:p>
    <w:p>
      <w:pPr>
        <w:spacing w:after="0" w:line="7" w:lineRule="exact"/>
        <w:rPr>
          <w:sz w:val="20"/>
          <w:szCs w:val="20"/>
          <w:color w:val="auto"/>
        </w:rPr>
      </w:pPr>
    </w:p>
    <w:p>
      <w:pPr>
        <w:ind w:left="320"/>
        <w:spacing w:after="0"/>
        <w:rPr>
          <w:sz w:val="20"/>
          <w:szCs w:val="20"/>
          <w:color w:val="auto"/>
        </w:rPr>
      </w:pPr>
      <w:r>
        <w:rPr>
          <w:rFonts w:ascii="Courier New" w:cs="Courier New" w:eastAsia="Courier New" w:hAnsi="Courier New"/>
          <w:sz w:val="13"/>
          <w:szCs w:val="13"/>
          <w:color w:val="auto"/>
        </w:rPr>
        <w:t>to the destination specified in the Contract and/or Agreed Purchase Order.</w:t>
      </w:r>
    </w:p>
    <w:p>
      <w:pPr>
        <w:spacing w:after="0" w:line="161" w:lineRule="exact"/>
        <w:rPr>
          <w:sz w:val="20"/>
          <w:szCs w:val="20"/>
          <w:color w:val="auto"/>
        </w:rPr>
      </w:pPr>
    </w:p>
    <w:p>
      <w:pPr>
        <w:ind w:left="320" w:right="3979"/>
        <w:spacing w:after="0" w:line="252" w:lineRule="auto"/>
        <w:rPr>
          <w:sz w:val="20"/>
          <w:szCs w:val="20"/>
          <w:color w:val="auto"/>
        </w:rPr>
      </w:pPr>
      <w:r>
        <w:rPr>
          <w:rFonts w:ascii="Courier New" w:cs="Courier New" w:eastAsia="Courier New" w:hAnsi="Courier New"/>
          <w:sz w:val="13"/>
          <w:szCs w:val="13"/>
          <w:b w:val="1"/>
          <w:bCs w:val="1"/>
          <w:color w:val="auto"/>
        </w:rPr>
        <w:t xml:space="preserve">6.3. </w:t>
      </w:r>
      <w:r>
        <w:rPr>
          <w:rFonts w:ascii="Courier New" w:cs="Courier New" w:eastAsia="Courier New" w:hAnsi="Courier New"/>
          <w:sz w:val="13"/>
          <w:szCs w:val="13"/>
          <w:color w:val="auto"/>
        </w:rPr>
        <w:t>Should a Product be delivered in excess of the allowed contractual</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quantity as set out under the sub-article 5.1.1 and/or Agreed Purchase Order, without prior approval of the Buyer, the Buyer shall have the right to return it to the Supplier at Supplier's expenses and risks.</w:t>
      </w:r>
    </w:p>
    <w:p>
      <w:pPr>
        <w:spacing w:after="0" w:line="153" w:lineRule="exact"/>
        <w:rPr>
          <w:sz w:val="20"/>
          <w:szCs w:val="20"/>
          <w:color w:val="auto"/>
        </w:rPr>
      </w:pPr>
    </w:p>
    <w:p>
      <w:pPr>
        <w:ind w:left="320" w:right="3979"/>
        <w:spacing w:after="0" w:line="253" w:lineRule="auto"/>
        <w:rPr>
          <w:sz w:val="20"/>
          <w:szCs w:val="20"/>
          <w:color w:val="auto"/>
        </w:rPr>
      </w:pPr>
      <w:r>
        <w:rPr>
          <w:rFonts w:ascii="Courier New" w:cs="Courier New" w:eastAsia="Courier New" w:hAnsi="Courier New"/>
          <w:sz w:val="13"/>
          <w:szCs w:val="13"/>
          <w:b w:val="1"/>
          <w:bCs w:val="1"/>
          <w:color w:val="auto"/>
        </w:rPr>
        <w:t xml:space="preserve">6.4. </w:t>
      </w:r>
      <w:r>
        <w:rPr>
          <w:rFonts w:ascii="Courier New" w:cs="Courier New" w:eastAsia="Courier New" w:hAnsi="Courier New"/>
          <w:sz w:val="13"/>
          <w:szCs w:val="13"/>
          <w:color w:val="auto"/>
        </w:rPr>
        <w:t>The Supplier shall not deliver any Product nor compliant with the</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specifications and all the other applicable documents, without the written Buyer's approval.</w:t>
      </w:r>
    </w:p>
    <w:p>
      <w:pPr>
        <w:spacing w:after="0" w:line="151" w:lineRule="exact"/>
        <w:rPr>
          <w:sz w:val="20"/>
          <w:szCs w:val="20"/>
          <w:color w:val="auto"/>
        </w:rPr>
      </w:pPr>
    </w:p>
    <w:p>
      <w:pPr>
        <w:ind w:left="320" w:right="4139"/>
        <w:spacing w:after="0" w:line="254" w:lineRule="auto"/>
        <w:rPr>
          <w:sz w:val="20"/>
          <w:szCs w:val="20"/>
          <w:color w:val="auto"/>
        </w:rPr>
      </w:pPr>
      <w:r>
        <w:rPr>
          <w:rFonts w:ascii="Courier New" w:cs="Courier New" w:eastAsia="Courier New" w:hAnsi="Courier New"/>
          <w:sz w:val="13"/>
          <w:szCs w:val="13"/>
          <w:b w:val="1"/>
          <w:bCs w:val="1"/>
          <w:color w:val="auto"/>
        </w:rPr>
        <w:t xml:space="preserve">6.5. </w:t>
      </w:r>
      <w:r>
        <w:rPr>
          <w:rFonts w:ascii="Courier New" w:cs="Courier New" w:eastAsia="Courier New" w:hAnsi="Courier New"/>
          <w:sz w:val="13"/>
          <w:szCs w:val="13"/>
          <w:color w:val="auto"/>
        </w:rPr>
        <w:t>The delivery shall not constitute acceptance of the Products. Their</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tittle shall pass to Buyer on full payment of the products.</w:t>
      </w:r>
    </w:p>
    <w:p>
      <w:pPr>
        <w:spacing w:after="0" w:line="151" w:lineRule="exact"/>
        <w:rPr>
          <w:sz w:val="20"/>
          <w:szCs w:val="20"/>
          <w:color w:val="auto"/>
        </w:rPr>
      </w:pPr>
    </w:p>
    <w:p>
      <w:pPr>
        <w:ind w:left="320" w:right="4139"/>
        <w:spacing w:after="0" w:line="254" w:lineRule="auto"/>
        <w:rPr>
          <w:sz w:val="20"/>
          <w:szCs w:val="20"/>
          <w:color w:val="auto"/>
        </w:rPr>
      </w:pPr>
      <w:r>
        <w:rPr>
          <w:rFonts w:ascii="Courier New" w:cs="Courier New" w:eastAsia="Courier New" w:hAnsi="Courier New"/>
          <w:sz w:val="13"/>
          <w:szCs w:val="13"/>
          <w:b w:val="1"/>
          <w:bCs w:val="1"/>
          <w:color w:val="auto"/>
        </w:rPr>
        <w:t xml:space="preserve">6.6. </w:t>
      </w:r>
      <w:r>
        <w:rPr>
          <w:rFonts w:ascii="Courier New" w:cs="Courier New" w:eastAsia="Courier New" w:hAnsi="Courier New"/>
          <w:sz w:val="13"/>
          <w:szCs w:val="13"/>
          <w:color w:val="auto"/>
        </w:rPr>
        <w:t>For each shipment the Supplier will provide the Buyer the following</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documentation :</w:t>
      </w:r>
    </w:p>
    <w:p>
      <w:pPr>
        <w:spacing w:after="0" w:line="305" w:lineRule="exact"/>
        <w:rPr>
          <w:sz w:val="20"/>
          <w:szCs w:val="20"/>
          <w:color w:val="auto"/>
        </w:rPr>
      </w:pPr>
    </w:p>
    <w:p>
      <w:pPr>
        <w:ind w:left="1200" w:hanging="396"/>
        <w:spacing w:after="0"/>
        <w:tabs>
          <w:tab w:leader="none" w:pos="1200" w:val="left"/>
        </w:tabs>
        <w:numPr>
          <w:ilvl w:val="0"/>
          <w:numId w:val="46"/>
        </w:numPr>
        <w:rPr>
          <w:rFonts w:ascii="Courier New" w:cs="Courier New" w:eastAsia="Courier New" w:hAnsi="Courier New"/>
          <w:sz w:val="13"/>
          <w:szCs w:val="13"/>
          <w:color w:val="auto"/>
        </w:rPr>
      </w:pPr>
      <w:r>
        <w:rPr>
          <w:rFonts w:ascii="Courier New" w:cs="Courier New" w:eastAsia="Courier New" w:hAnsi="Courier New"/>
          <w:sz w:val="13"/>
          <w:szCs w:val="13"/>
          <w:color w:val="auto"/>
        </w:rPr>
        <w:t>advice note,</w:t>
      </w:r>
    </w:p>
    <w:p>
      <w:pPr>
        <w:spacing w:after="0" w:line="161" w:lineRule="exact"/>
        <w:rPr>
          <w:rFonts w:ascii="Courier New" w:cs="Courier New" w:eastAsia="Courier New" w:hAnsi="Courier New"/>
          <w:sz w:val="13"/>
          <w:szCs w:val="13"/>
          <w:color w:val="auto"/>
        </w:rPr>
      </w:pPr>
    </w:p>
    <w:p>
      <w:pPr>
        <w:ind w:left="1200" w:hanging="396"/>
        <w:spacing w:after="0"/>
        <w:tabs>
          <w:tab w:leader="none" w:pos="1200" w:val="left"/>
        </w:tabs>
        <w:numPr>
          <w:ilvl w:val="0"/>
          <w:numId w:val="46"/>
        </w:numPr>
        <w:rPr>
          <w:rFonts w:ascii="Courier New" w:cs="Courier New" w:eastAsia="Courier New" w:hAnsi="Courier New"/>
          <w:sz w:val="13"/>
          <w:szCs w:val="13"/>
          <w:color w:val="auto"/>
        </w:rPr>
      </w:pPr>
      <w:r>
        <w:rPr>
          <w:rFonts w:ascii="Courier New" w:cs="Courier New" w:eastAsia="Courier New" w:hAnsi="Courier New"/>
          <w:sz w:val="13"/>
          <w:szCs w:val="13"/>
          <w:color w:val="auto"/>
        </w:rPr>
        <w:t>certificate of conformity,</w:t>
      </w:r>
    </w:p>
    <w:p>
      <w:pPr>
        <w:spacing w:after="0" w:line="161" w:lineRule="exact"/>
        <w:rPr>
          <w:rFonts w:ascii="Courier New" w:cs="Courier New" w:eastAsia="Courier New" w:hAnsi="Courier New"/>
          <w:sz w:val="13"/>
          <w:szCs w:val="13"/>
          <w:color w:val="auto"/>
        </w:rPr>
      </w:pPr>
    </w:p>
    <w:p>
      <w:pPr>
        <w:ind w:left="1200" w:right="4219" w:hanging="396"/>
        <w:spacing w:after="0" w:line="254" w:lineRule="auto"/>
        <w:tabs>
          <w:tab w:leader="none" w:pos="1200" w:val="left"/>
        </w:tabs>
        <w:numPr>
          <w:ilvl w:val="0"/>
          <w:numId w:val="46"/>
        </w:numPr>
        <w:rPr>
          <w:rFonts w:ascii="Courier New" w:cs="Courier New" w:eastAsia="Courier New" w:hAnsi="Courier New"/>
          <w:sz w:val="13"/>
          <w:szCs w:val="13"/>
          <w:color w:val="auto"/>
        </w:rPr>
      </w:pPr>
      <w:r>
        <w:rPr>
          <w:rFonts w:ascii="Courier New" w:cs="Courier New" w:eastAsia="Courier New" w:hAnsi="Courier New"/>
          <w:sz w:val="13"/>
          <w:szCs w:val="13"/>
          <w:color w:val="auto"/>
        </w:rPr>
        <w:t>additional data as specified in the Purchase Order and to be agreed between the Parties.</w:t>
      </w:r>
    </w:p>
    <w:p>
      <w:pPr>
        <w:spacing w:after="0" w:line="151" w:lineRule="exact"/>
        <w:rPr>
          <w:sz w:val="20"/>
          <w:szCs w:val="20"/>
          <w:color w:val="auto"/>
        </w:rPr>
      </w:pPr>
    </w:p>
    <w:p>
      <w:pPr>
        <w:ind w:left="320"/>
        <w:spacing w:after="0"/>
        <w:rPr>
          <w:sz w:val="20"/>
          <w:szCs w:val="20"/>
          <w:color w:val="auto"/>
        </w:rPr>
      </w:pPr>
      <w:r>
        <w:rPr>
          <w:rFonts w:ascii="Courier New" w:cs="Courier New" w:eastAsia="Courier New" w:hAnsi="Courier New"/>
          <w:sz w:val="13"/>
          <w:szCs w:val="13"/>
          <w:b w:val="1"/>
          <w:bCs w:val="1"/>
          <w:color w:val="auto"/>
        </w:rPr>
        <w:t xml:space="preserve">6.6.1. </w:t>
      </w:r>
      <w:r>
        <w:rPr>
          <w:rFonts w:ascii="Courier New" w:cs="Courier New" w:eastAsia="Courier New" w:hAnsi="Courier New"/>
          <w:sz w:val="13"/>
          <w:szCs w:val="13"/>
          <w:color w:val="auto"/>
        </w:rPr>
        <w:t>Each advice note (with the extended description and bar code too)</w:t>
      </w:r>
    </w:p>
    <w:p>
      <w:pPr>
        <w:spacing w:after="0" w:line="7" w:lineRule="exact"/>
        <w:rPr>
          <w:sz w:val="20"/>
          <w:szCs w:val="20"/>
          <w:color w:val="auto"/>
        </w:rPr>
      </w:pPr>
    </w:p>
    <w:p>
      <w:pPr>
        <w:ind w:left="320"/>
        <w:spacing w:after="0"/>
        <w:rPr>
          <w:sz w:val="20"/>
          <w:szCs w:val="20"/>
          <w:color w:val="auto"/>
        </w:rPr>
      </w:pPr>
      <w:r>
        <w:rPr>
          <w:rFonts w:ascii="Courier New" w:cs="Courier New" w:eastAsia="Courier New" w:hAnsi="Courier New"/>
          <w:sz w:val="13"/>
          <w:szCs w:val="13"/>
          <w:color w:val="auto"/>
        </w:rPr>
        <w:t>will contain the following information:</w:t>
      </w:r>
    </w:p>
    <w:p>
      <w:pPr>
        <w:spacing w:after="0" w:line="161" w:lineRule="exact"/>
        <w:rPr>
          <w:sz w:val="20"/>
          <w:szCs w:val="20"/>
          <w:color w:val="auto"/>
        </w:rPr>
      </w:pPr>
    </w:p>
    <w:p>
      <w:pPr>
        <w:ind w:left="1200" w:hanging="396"/>
        <w:spacing w:after="0"/>
        <w:tabs>
          <w:tab w:leader="none" w:pos="1200" w:val="left"/>
        </w:tabs>
        <w:numPr>
          <w:ilvl w:val="0"/>
          <w:numId w:val="47"/>
        </w:numPr>
        <w:rPr>
          <w:rFonts w:ascii="Courier New" w:cs="Courier New" w:eastAsia="Courier New" w:hAnsi="Courier New"/>
          <w:sz w:val="13"/>
          <w:szCs w:val="13"/>
          <w:color w:val="auto"/>
        </w:rPr>
      </w:pPr>
      <w:r>
        <w:rPr>
          <w:rFonts w:ascii="Courier New" w:cs="Courier New" w:eastAsia="Courier New" w:hAnsi="Courier New"/>
          <w:sz w:val="13"/>
          <w:szCs w:val="13"/>
          <w:color w:val="auto"/>
        </w:rPr>
        <w:t>name and address of the Supplier,</w:t>
      </w:r>
    </w:p>
    <w:p>
      <w:pPr>
        <w:spacing w:after="0" w:line="200" w:lineRule="exact"/>
        <w:rPr>
          <w:rFonts w:ascii="Courier New" w:cs="Courier New" w:eastAsia="Courier New" w:hAnsi="Courier New"/>
          <w:sz w:val="13"/>
          <w:szCs w:val="13"/>
          <w:color w:val="auto"/>
        </w:rPr>
      </w:pPr>
    </w:p>
    <w:p>
      <w:pPr>
        <w:spacing w:after="0" w:line="269" w:lineRule="exact"/>
        <w:rPr>
          <w:rFonts w:ascii="Courier New" w:cs="Courier New" w:eastAsia="Courier New" w:hAnsi="Courier New"/>
          <w:sz w:val="13"/>
          <w:szCs w:val="13"/>
          <w:color w:val="auto"/>
        </w:rPr>
      </w:pPr>
    </w:p>
    <w:p>
      <w:pPr>
        <w:ind w:left="2880"/>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Pagina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right"/>
        <w:ind w:right="3819"/>
        <w:spacing w:after="0"/>
        <w:rPr>
          <w:sz w:val="20"/>
          <w:szCs w:val="20"/>
          <w:color w:val="auto"/>
        </w:rPr>
      </w:pPr>
      <w:r>
        <w:rPr>
          <w:rFonts w:ascii="Courier New" w:cs="Courier New" w:eastAsia="Courier New" w:hAnsi="Courier New"/>
          <w:sz w:val="13"/>
          <w:szCs w:val="13"/>
          <w:color w:val="auto"/>
        </w:rPr>
        <w:t>Contract NN/02/RAW/ge</w:t>
      </w:r>
    </w:p>
    <w:p>
      <w:pPr>
        <w:spacing w:after="0" w:line="315" w:lineRule="exact"/>
        <w:rPr>
          <w:sz w:val="20"/>
          <w:szCs w:val="20"/>
          <w:color w:val="auto"/>
        </w:rPr>
      </w:pPr>
    </w:p>
    <w:p>
      <w:pPr>
        <w:jc w:val="both"/>
        <w:ind w:left="1200" w:right="3819" w:hanging="396"/>
        <w:spacing w:after="0" w:line="253" w:lineRule="auto"/>
        <w:tabs>
          <w:tab w:leader="none" w:pos="1200" w:val="left"/>
        </w:tabs>
        <w:numPr>
          <w:ilvl w:val="0"/>
          <w:numId w:val="48"/>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description , heat number , lot number ,coil number , coil weight of each item delivered with the extended description and bar code too,</w:t>
      </w:r>
    </w:p>
    <w:p>
      <w:pPr>
        <w:spacing w:after="0" w:line="151" w:lineRule="exact"/>
        <w:rPr>
          <w:rFonts w:ascii="Courier New" w:cs="Courier New" w:eastAsia="Courier New" w:hAnsi="Courier New"/>
          <w:sz w:val="13"/>
          <w:szCs w:val="13"/>
          <w:color w:val="auto"/>
        </w:rPr>
      </w:pPr>
    </w:p>
    <w:p>
      <w:pPr>
        <w:ind w:left="1200" w:hanging="396"/>
        <w:spacing w:after="0"/>
        <w:tabs>
          <w:tab w:leader="none" w:pos="1200" w:val="left"/>
        </w:tabs>
        <w:numPr>
          <w:ilvl w:val="0"/>
          <w:numId w:val="48"/>
        </w:numPr>
        <w:rPr>
          <w:rFonts w:ascii="Courier New" w:cs="Courier New" w:eastAsia="Courier New" w:hAnsi="Courier New"/>
          <w:sz w:val="13"/>
          <w:szCs w:val="13"/>
          <w:color w:val="auto"/>
        </w:rPr>
      </w:pPr>
      <w:r>
        <w:rPr>
          <w:rFonts w:ascii="Courier New" w:cs="Courier New" w:eastAsia="Courier New" w:hAnsi="Courier New"/>
          <w:sz w:val="13"/>
          <w:szCs w:val="13"/>
          <w:color w:val="auto"/>
        </w:rPr>
        <w:t>Agreed Purchase Order number of each Product delivered, if any</w:t>
      </w:r>
    </w:p>
    <w:p>
      <w:pPr>
        <w:spacing w:after="0" w:line="161" w:lineRule="exact"/>
        <w:rPr>
          <w:rFonts w:ascii="Courier New" w:cs="Courier New" w:eastAsia="Courier New" w:hAnsi="Courier New"/>
          <w:sz w:val="13"/>
          <w:szCs w:val="13"/>
          <w:color w:val="auto"/>
        </w:rPr>
      </w:pPr>
    </w:p>
    <w:p>
      <w:pPr>
        <w:ind w:left="1200" w:hanging="396"/>
        <w:spacing w:after="0"/>
        <w:tabs>
          <w:tab w:leader="none" w:pos="1200" w:val="left"/>
        </w:tabs>
        <w:numPr>
          <w:ilvl w:val="0"/>
          <w:numId w:val="48"/>
        </w:numPr>
        <w:rPr>
          <w:rFonts w:ascii="Courier New" w:cs="Courier New" w:eastAsia="Courier New" w:hAnsi="Courier New"/>
          <w:sz w:val="13"/>
          <w:szCs w:val="13"/>
          <w:color w:val="auto"/>
        </w:rPr>
      </w:pPr>
      <w:r>
        <w:rPr>
          <w:rFonts w:ascii="Courier New" w:cs="Courier New" w:eastAsia="Courier New" w:hAnsi="Courier New"/>
          <w:sz w:val="13"/>
          <w:szCs w:val="13"/>
          <w:color w:val="auto"/>
        </w:rPr>
        <w:t>name of the carrier or forwarding agent and date of dispatch,</w:t>
      </w:r>
    </w:p>
    <w:p>
      <w:pPr>
        <w:spacing w:after="0" w:line="161" w:lineRule="exact"/>
        <w:rPr>
          <w:rFonts w:ascii="Courier New" w:cs="Courier New" w:eastAsia="Courier New" w:hAnsi="Courier New"/>
          <w:sz w:val="13"/>
          <w:szCs w:val="13"/>
          <w:color w:val="auto"/>
        </w:rPr>
      </w:pPr>
    </w:p>
    <w:p>
      <w:pPr>
        <w:ind w:left="1200" w:hanging="396"/>
        <w:spacing w:after="0"/>
        <w:tabs>
          <w:tab w:leader="none" w:pos="1200" w:val="left"/>
        </w:tabs>
        <w:numPr>
          <w:ilvl w:val="0"/>
          <w:numId w:val="48"/>
        </w:numPr>
        <w:rPr>
          <w:rFonts w:ascii="Courier New" w:cs="Courier New" w:eastAsia="Courier New" w:hAnsi="Courier New"/>
          <w:sz w:val="13"/>
          <w:szCs w:val="13"/>
          <w:color w:val="auto"/>
        </w:rPr>
      </w:pPr>
      <w:r>
        <w:rPr>
          <w:rFonts w:ascii="Courier New" w:cs="Courier New" w:eastAsia="Courier New" w:hAnsi="Courier New"/>
          <w:sz w:val="13"/>
          <w:szCs w:val="13"/>
          <w:color w:val="auto"/>
        </w:rPr>
        <w:t>gross weight of the package,</w:t>
      </w:r>
    </w:p>
    <w:p>
      <w:pPr>
        <w:spacing w:after="0" w:line="161" w:lineRule="exact"/>
        <w:rPr>
          <w:rFonts w:ascii="Courier New" w:cs="Courier New" w:eastAsia="Courier New" w:hAnsi="Courier New"/>
          <w:sz w:val="13"/>
          <w:szCs w:val="13"/>
          <w:color w:val="auto"/>
        </w:rPr>
      </w:pPr>
    </w:p>
    <w:p>
      <w:pPr>
        <w:ind w:left="1200" w:right="3979" w:hanging="396"/>
        <w:spacing w:after="0" w:line="254" w:lineRule="auto"/>
        <w:tabs>
          <w:tab w:leader="none" w:pos="1200" w:val="left"/>
        </w:tabs>
        <w:numPr>
          <w:ilvl w:val="0"/>
          <w:numId w:val="48"/>
        </w:numPr>
        <w:rPr>
          <w:rFonts w:ascii="Courier New" w:cs="Courier New" w:eastAsia="Courier New" w:hAnsi="Courier New"/>
          <w:sz w:val="13"/>
          <w:szCs w:val="13"/>
          <w:color w:val="auto"/>
        </w:rPr>
      </w:pPr>
      <w:r>
        <w:rPr>
          <w:rFonts w:ascii="Courier New" w:cs="Courier New" w:eastAsia="Courier New" w:hAnsi="Courier New"/>
          <w:sz w:val="13"/>
          <w:szCs w:val="13"/>
          <w:color w:val="auto"/>
        </w:rPr>
        <w:t>additional data listed in the Agreed Purchase Order, subject to specific agreement between the Parties.</w:t>
      </w:r>
    </w:p>
    <w:p>
      <w:pPr>
        <w:spacing w:after="0" w:line="151" w:lineRule="exact"/>
        <w:rPr>
          <w:sz w:val="20"/>
          <w:szCs w:val="20"/>
          <w:color w:val="auto"/>
        </w:rPr>
      </w:pPr>
    </w:p>
    <w:p>
      <w:pPr>
        <w:ind w:right="4619" w:firstLine="321"/>
        <w:spacing w:after="0" w:line="254" w:lineRule="auto"/>
        <w:rPr>
          <w:sz w:val="20"/>
          <w:szCs w:val="20"/>
          <w:color w:val="auto"/>
        </w:rPr>
      </w:pPr>
      <w:r>
        <w:rPr>
          <w:rFonts w:ascii="Courier New" w:cs="Courier New" w:eastAsia="Courier New" w:hAnsi="Courier New"/>
          <w:sz w:val="13"/>
          <w:szCs w:val="13"/>
          <w:b w:val="1"/>
          <w:bCs w:val="1"/>
          <w:color w:val="auto"/>
        </w:rPr>
        <w:t xml:space="preserve">6.6.2. </w:t>
      </w:r>
      <w:r>
        <w:rPr>
          <w:rFonts w:ascii="Courier New" w:cs="Courier New" w:eastAsia="Courier New" w:hAnsi="Courier New"/>
          <w:sz w:val="13"/>
          <w:szCs w:val="13"/>
          <w:color w:val="auto"/>
        </w:rPr>
        <w:t>Each invoice (for Pinerolo only) will contain the following</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information:</w:t>
      </w:r>
    </w:p>
    <w:p>
      <w:pPr>
        <w:spacing w:after="0" w:line="151" w:lineRule="exact"/>
        <w:rPr>
          <w:sz w:val="20"/>
          <w:szCs w:val="20"/>
          <w:color w:val="auto"/>
        </w:rPr>
      </w:pPr>
    </w:p>
    <w:p>
      <w:pPr>
        <w:ind w:left="1200" w:hanging="396"/>
        <w:spacing w:after="0"/>
        <w:tabs>
          <w:tab w:leader="none" w:pos="1200" w:val="left"/>
        </w:tabs>
        <w:numPr>
          <w:ilvl w:val="0"/>
          <w:numId w:val="49"/>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description and quantity of each Product delivered,</w:t>
      </w:r>
    </w:p>
    <w:p>
      <w:pPr>
        <w:spacing w:after="0" w:line="161" w:lineRule="exact"/>
        <w:rPr>
          <w:rFonts w:ascii="Courier New" w:cs="Courier New" w:eastAsia="Courier New" w:hAnsi="Courier New"/>
          <w:sz w:val="13"/>
          <w:szCs w:val="13"/>
          <w:color w:val="auto"/>
        </w:rPr>
      </w:pPr>
    </w:p>
    <w:p>
      <w:pPr>
        <w:ind w:left="1200" w:hanging="396"/>
        <w:spacing w:after="0"/>
        <w:tabs>
          <w:tab w:leader="none" w:pos="1200" w:val="left"/>
        </w:tabs>
        <w:numPr>
          <w:ilvl w:val="0"/>
          <w:numId w:val="49"/>
        </w:numPr>
        <w:rPr>
          <w:rFonts w:ascii="Courier New" w:cs="Courier New" w:eastAsia="Courier New" w:hAnsi="Courier New"/>
          <w:sz w:val="13"/>
          <w:szCs w:val="13"/>
          <w:color w:val="auto"/>
        </w:rPr>
      </w:pPr>
      <w:r>
        <w:rPr>
          <w:rFonts w:ascii="Courier New" w:cs="Courier New" w:eastAsia="Courier New" w:hAnsi="Courier New"/>
          <w:sz w:val="13"/>
          <w:szCs w:val="13"/>
          <w:color w:val="auto"/>
        </w:rPr>
        <w:t>Agreed Purchase Order number of each Product delivered, if any</w:t>
      </w:r>
    </w:p>
    <w:p>
      <w:pPr>
        <w:spacing w:after="0" w:line="161" w:lineRule="exact"/>
        <w:rPr>
          <w:rFonts w:ascii="Courier New" w:cs="Courier New" w:eastAsia="Courier New" w:hAnsi="Courier New"/>
          <w:sz w:val="13"/>
          <w:szCs w:val="13"/>
          <w:color w:val="auto"/>
        </w:rPr>
      </w:pPr>
    </w:p>
    <w:p>
      <w:pPr>
        <w:ind w:left="1200" w:hanging="396"/>
        <w:spacing w:after="0"/>
        <w:tabs>
          <w:tab w:leader="none" w:pos="1200" w:val="left"/>
        </w:tabs>
        <w:numPr>
          <w:ilvl w:val="0"/>
          <w:numId w:val="49"/>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invoice number,</w:t>
      </w:r>
    </w:p>
    <w:p>
      <w:pPr>
        <w:spacing w:after="0" w:line="161" w:lineRule="exact"/>
        <w:rPr>
          <w:rFonts w:ascii="Courier New" w:cs="Courier New" w:eastAsia="Courier New" w:hAnsi="Courier New"/>
          <w:sz w:val="13"/>
          <w:szCs w:val="13"/>
          <w:color w:val="auto"/>
        </w:rPr>
      </w:pPr>
    </w:p>
    <w:p>
      <w:pPr>
        <w:ind w:left="1200" w:hanging="396"/>
        <w:spacing w:after="0"/>
        <w:tabs>
          <w:tab w:leader="none" w:pos="1200" w:val="left"/>
        </w:tabs>
        <w:numPr>
          <w:ilvl w:val="0"/>
          <w:numId w:val="49"/>
        </w:numPr>
        <w:rPr>
          <w:rFonts w:ascii="Courier New" w:cs="Courier New" w:eastAsia="Courier New" w:hAnsi="Courier New"/>
          <w:sz w:val="13"/>
          <w:szCs w:val="13"/>
          <w:color w:val="auto"/>
        </w:rPr>
      </w:pPr>
      <w:r>
        <w:rPr>
          <w:rFonts w:ascii="Courier New" w:cs="Courier New" w:eastAsia="Courier New" w:hAnsi="Courier New"/>
          <w:sz w:val="13"/>
          <w:szCs w:val="13"/>
          <w:color w:val="auto"/>
        </w:rPr>
        <w:t>unit and total price of each product,</w:t>
      </w:r>
    </w:p>
    <w:p>
      <w:pPr>
        <w:spacing w:after="0" w:line="161" w:lineRule="exact"/>
        <w:rPr>
          <w:rFonts w:ascii="Courier New" w:cs="Courier New" w:eastAsia="Courier New" w:hAnsi="Courier New"/>
          <w:sz w:val="13"/>
          <w:szCs w:val="13"/>
          <w:color w:val="auto"/>
        </w:rPr>
      </w:pPr>
    </w:p>
    <w:p>
      <w:pPr>
        <w:ind w:left="1200" w:hanging="396"/>
        <w:spacing w:after="0"/>
        <w:tabs>
          <w:tab w:leader="none" w:pos="1200" w:val="left"/>
        </w:tabs>
        <w:numPr>
          <w:ilvl w:val="0"/>
          <w:numId w:val="49"/>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contractual payment conditions,</w:t>
      </w:r>
    </w:p>
    <w:p>
      <w:pPr>
        <w:spacing w:after="0" w:line="161" w:lineRule="exact"/>
        <w:rPr>
          <w:rFonts w:ascii="Courier New" w:cs="Courier New" w:eastAsia="Courier New" w:hAnsi="Courier New"/>
          <w:sz w:val="13"/>
          <w:szCs w:val="13"/>
          <w:color w:val="auto"/>
        </w:rPr>
      </w:pPr>
    </w:p>
    <w:p>
      <w:pPr>
        <w:ind w:left="1200" w:right="4299" w:hanging="396"/>
        <w:spacing w:after="0" w:line="254" w:lineRule="auto"/>
        <w:tabs>
          <w:tab w:leader="none" w:pos="1200" w:val="left"/>
        </w:tabs>
        <w:numPr>
          <w:ilvl w:val="0"/>
          <w:numId w:val="49"/>
        </w:numPr>
        <w:rPr>
          <w:rFonts w:ascii="Courier New" w:cs="Courier New" w:eastAsia="Courier New" w:hAnsi="Courier New"/>
          <w:sz w:val="13"/>
          <w:szCs w:val="13"/>
          <w:color w:val="auto"/>
        </w:rPr>
      </w:pPr>
      <w:r>
        <w:rPr>
          <w:rFonts w:ascii="Courier New" w:cs="Courier New" w:eastAsia="Courier New" w:hAnsi="Courier New"/>
          <w:sz w:val="13"/>
          <w:szCs w:val="13"/>
          <w:color w:val="auto"/>
        </w:rPr>
        <w:t>additional data required through the Agreed Purchase Order, subject to specific agreement between the Parties.</w:t>
      </w:r>
    </w:p>
    <w:p>
      <w:pPr>
        <w:spacing w:after="0" w:line="151" w:lineRule="exact"/>
        <w:rPr>
          <w:sz w:val="20"/>
          <w:szCs w:val="20"/>
          <w:color w:val="auto"/>
        </w:rPr>
      </w:pPr>
    </w:p>
    <w:p>
      <w:pPr>
        <w:ind w:left="320" w:right="3899"/>
        <w:spacing w:after="0" w:line="252" w:lineRule="auto"/>
        <w:rPr>
          <w:sz w:val="20"/>
          <w:szCs w:val="20"/>
          <w:color w:val="auto"/>
        </w:rPr>
      </w:pPr>
      <w:r>
        <w:rPr>
          <w:rFonts w:ascii="Courier New" w:cs="Courier New" w:eastAsia="Courier New" w:hAnsi="Courier New"/>
          <w:sz w:val="13"/>
          <w:szCs w:val="13"/>
          <w:b w:val="1"/>
          <w:bCs w:val="1"/>
          <w:color w:val="auto"/>
        </w:rPr>
        <w:t xml:space="preserve">6.6.3. </w:t>
      </w:r>
      <w:r>
        <w:rPr>
          <w:rFonts w:ascii="Courier New" w:cs="Courier New" w:eastAsia="Courier New" w:hAnsi="Courier New"/>
          <w:sz w:val="13"/>
          <w:szCs w:val="13"/>
          <w:color w:val="auto"/>
        </w:rPr>
        <w:t>The Supplier agrees that in case of additional information to be</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required by the Buyer due to Information Technology (IT) evolution shall be included in the provisions as set out in the sub-articles 6.6.1 and 6.6.2. after specific agreement between the Parties.</w:t>
      </w:r>
    </w:p>
    <w:p>
      <w:pPr>
        <w:spacing w:after="0" w:line="153" w:lineRule="exact"/>
        <w:rPr>
          <w:sz w:val="20"/>
          <w:szCs w:val="20"/>
          <w:color w:val="auto"/>
        </w:rPr>
      </w:pPr>
    </w:p>
    <w:p>
      <w:pPr>
        <w:ind w:left="320" w:right="3819"/>
        <w:spacing w:after="0" w:line="252" w:lineRule="auto"/>
        <w:rPr>
          <w:sz w:val="20"/>
          <w:szCs w:val="20"/>
          <w:color w:val="auto"/>
        </w:rPr>
      </w:pPr>
      <w:r>
        <w:rPr>
          <w:rFonts w:ascii="Courier New" w:cs="Courier New" w:eastAsia="Courier New" w:hAnsi="Courier New"/>
          <w:sz w:val="13"/>
          <w:szCs w:val="13"/>
          <w:b w:val="1"/>
          <w:bCs w:val="1"/>
          <w:color w:val="auto"/>
        </w:rPr>
        <w:t xml:space="preserve">6.6.4. </w:t>
      </w:r>
      <w:r>
        <w:rPr>
          <w:rFonts w:ascii="Courier New" w:cs="Courier New" w:eastAsia="Courier New" w:hAnsi="Courier New"/>
          <w:sz w:val="13"/>
          <w:szCs w:val="13"/>
          <w:color w:val="auto"/>
        </w:rPr>
        <w:t>In order to minimize, the administrative cost in checking invoicing</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for EUROBALL SpA (Pinerolo), the Supplier agree to develop a specific adjustment of its software, providing that this development is reasonable in terms of resources (about 2 men week)</w:t>
      </w:r>
    </w:p>
    <w:p>
      <w:pPr>
        <w:sectPr>
          <w:pgSz w:w="11900" w:h="16838" w:orient="portrait"/>
          <w:cols w:equalWidth="0" w:num="1">
            <w:col w:w="10239"/>
          </w:cols>
          <w:pgMar w:left="220" w:top="141" w:right="1440" w:bottom="0" w:gutter="0" w:footer="0" w:header="0"/>
        </w:sectPr>
      </w:pPr>
    </w:p>
    <w:bookmarkStart w:id="47" w:name="page48"/>
    <w:bookmarkEnd w:id="47"/>
    <w:p>
      <w:pPr>
        <w:ind w:left="480" w:hanging="398"/>
        <w:spacing w:after="0"/>
        <w:tabs>
          <w:tab w:leader="none" w:pos="480" w:val="left"/>
        </w:tabs>
        <w:numPr>
          <w:ilvl w:val="0"/>
          <w:numId w:val="50"/>
        </w:numPr>
        <w:rPr>
          <w:rFonts w:ascii="Courier New" w:cs="Courier New" w:eastAsia="Courier New" w:hAnsi="Courier New"/>
          <w:sz w:val="13"/>
          <w:szCs w:val="13"/>
          <w:b w:val="1"/>
          <w:bCs w:val="1"/>
          <w:color w:val="auto"/>
        </w:rPr>
      </w:pPr>
      <w:r>
        <w:rPr>
          <w:rFonts w:ascii="Courier New" w:cs="Courier New" w:eastAsia="Courier New" w:hAnsi="Courier New"/>
          <w:sz w:val="13"/>
          <w:szCs w:val="13"/>
          <w:b w:val="1"/>
          <w:bCs w:val="1"/>
          <w:color w:val="auto"/>
        </w:rPr>
        <w:t>INSPECTION AND ACCEPTANCE</w:t>
      </w:r>
    </w:p>
    <w:p>
      <w:pPr>
        <w:spacing w:after="0" w:line="161" w:lineRule="exact"/>
        <w:rPr>
          <w:sz w:val="20"/>
          <w:szCs w:val="20"/>
          <w:color w:val="auto"/>
        </w:rPr>
      </w:pPr>
    </w:p>
    <w:p>
      <w:pPr>
        <w:ind w:left="320" w:right="3819"/>
        <w:spacing w:after="0" w:line="252" w:lineRule="auto"/>
        <w:rPr>
          <w:sz w:val="20"/>
          <w:szCs w:val="20"/>
          <w:color w:val="auto"/>
        </w:rPr>
      </w:pPr>
      <w:r>
        <w:rPr>
          <w:rFonts w:ascii="Courier New" w:cs="Courier New" w:eastAsia="Courier New" w:hAnsi="Courier New"/>
          <w:sz w:val="13"/>
          <w:szCs w:val="13"/>
          <w:b w:val="1"/>
          <w:bCs w:val="1"/>
          <w:color w:val="auto"/>
        </w:rPr>
        <w:t xml:space="preserve">7.1. </w:t>
      </w:r>
      <w:r>
        <w:rPr>
          <w:rFonts w:ascii="Courier New" w:cs="Courier New" w:eastAsia="Courier New" w:hAnsi="Courier New"/>
          <w:sz w:val="13"/>
          <w:szCs w:val="13"/>
          <w:color w:val="auto"/>
        </w:rPr>
        <w:t>In respect of test performed by supplier according to specification and</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reported on certificate of conformity, the products delivered to the Buyer shall be self-certified by the Supplier and subject to a statistical inspection by the Buyer. The Buyer shall nevertheless perform control along its own manufacturing process.</w:t>
      </w:r>
    </w:p>
    <w:p>
      <w:pPr>
        <w:spacing w:after="0" w:line="152" w:lineRule="exact"/>
        <w:rPr>
          <w:sz w:val="20"/>
          <w:szCs w:val="20"/>
          <w:color w:val="auto"/>
        </w:rPr>
      </w:pPr>
    </w:p>
    <w:p>
      <w:pPr>
        <w:ind w:left="320" w:right="3819"/>
        <w:spacing w:after="0" w:line="252" w:lineRule="auto"/>
        <w:rPr>
          <w:sz w:val="20"/>
          <w:szCs w:val="20"/>
          <w:color w:val="auto"/>
        </w:rPr>
      </w:pPr>
      <w:r>
        <w:rPr>
          <w:rFonts w:ascii="Courier New" w:cs="Courier New" w:eastAsia="Courier New" w:hAnsi="Courier New"/>
          <w:sz w:val="13"/>
          <w:szCs w:val="13"/>
          <w:b w:val="1"/>
          <w:bCs w:val="1"/>
          <w:color w:val="auto"/>
        </w:rPr>
        <w:t xml:space="preserve">7.2. </w:t>
      </w:r>
      <w:r>
        <w:rPr>
          <w:rFonts w:ascii="Courier New" w:cs="Courier New" w:eastAsia="Courier New" w:hAnsi="Courier New"/>
          <w:sz w:val="13"/>
          <w:szCs w:val="13"/>
          <w:color w:val="auto"/>
        </w:rPr>
        <w:t>Should the products evidence any defect or failure or non conformity in</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respect of the agreed Specification and/or the other agreed applicable contractual requirements, the Buyer will return it to the Supplier at the Supplier's expenses, specifying in writing the grounds for its rejection, providing the supplier agree on such an evidence.</w:t>
      </w:r>
    </w:p>
    <w:p>
      <w:pPr>
        <w:spacing w:after="0" w:line="306" w:lineRule="exact"/>
        <w:rPr>
          <w:sz w:val="20"/>
          <w:szCs w:val="20"/>
          <w:color w:val="auto"/>
        </w:rPr>
      </w:pPr>
    </w:p>
    <w:p>
      <w:pPr>
        <w:ind w:left="2880"/>
        <w:spacing w:after="0"/>
        <w:rPr>
          <w:sz w:val="20"/>
          <w:szCs w:val="20"/>
          <w:color w:val="auto"/>
        </w:rPr>
      </w:pPr>
      <w:r>
        <w:rPr>
          <w:rFonts w:ascii="Courier New" w:cs="Courier New" w:eastAsia="Courier New" w:hAnsi="Courier New"/>
          <w:sz w:val="13"/>
          <w:szCs w:val="13"/>
          <w:color w:val="auto"/>
        </w:rPr>
        <w:t>Pagina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4740"/>
        <w:spacing w:after="0"/>
        <w:rPr>
          <w:sz w:val="20"/>
          <w:szCs w:val="20"/>
          <w:color w:val="auto"/>
        </w:rPr>
      </w:pPr>
      <w:r>
        <w:rPr>
          <w:rFonts w:ascii="Courier New" w:cs="Courier New" w:eastAsia="Courier New" w:hAnsi="Courier New"/>
          <w:sz w:val="13"/>
          <w:szCs w:val="13"/>
          <w:color w:val="auto"/>
        </w:rPr>
        <w:t>Contract NN/02/RAW/ge</w:t>
      </w:r>
    </w:p>
    <w:p>
      <w:pPr>
        <w:spacing w:after="0" w:line="161"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b w:val="1"/>
          <w:bCs w:val="1"/>
          <w:color w:val="auto"/>
        </w:rPr>
        <w:t xml:space="preserve">7.3. </w:t>
      </w:r>
      <w:r>
        <w:rPr>
          <w:rFonts w:ascii="Courier New" w:cs="Courier New" w:eastAsia="Courier New" w:hAnsi="Courier New"/>
          <w:sz w:val="13"/>
          <w:szCs w:val="13"/>
          <w:color w:val="auto"/>
        </w:rPr>
        <w:t>If a non conformance complaint (NCC) is issued by the Buyer, the</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Supplier agree on the following principle :</w:t>
      </w:r>
    </w:p>
    <w:p>
      <w:pPr>
        <w:spacing w:after="0" w:line="161" w:lineRule="exact"/>
        <w:rPr>
          <w:sz w:val="20"/>
          <w:szCs w:val="20"/>
          <w:color w:val="auto"/>
        </w:rPr>
      </w:pPr>
    </w:p>
    <w:p>
      <w:pPr>
        <w:ind w:left="800" w:right="4219" w:hanging="397"/>
        <w:spacing w:after="0" w:line="253" w:lineRule="auto"/>
        <w:tabs>
          <w:tab w:leader="none" w:pos="800" w:val="left"/>
        </w:tabs>
        <w:numPr>
          <w:ilvl w:val="1"/>
          <w:numId w:val="51"/>
        </w:numPr>
        <w:rPr>
          <w:rFonts w:ascii="Courier New" w:cs="Courier New" w:eastAsia="Courier New" w:hAnsi="Courier New"/>
          <w:sz w:val="13"/>
          <w:szCs w:val="13"/>
          <w:color w:val="auto"/>
        </w:rPr>
      </w:pPr>
      <w:r>
        <w:rPr>
          <w:rFonts w:ascii="Courier New" w:cs="Courier New" w:eastAsia="Courier New" w:hAnsi="Courier New"/>
          <w:sz w:val="13"/>
          <w:szCs w:val="13"/>
          <w:color w:val="auto"/>
        </w:rPr>
        <w:t>from the date of NCC and receiving the sample for examination, to provide a reply to the Buyer with corrective actions, if any, in accordance with the 8D form within :</w:t>
      </w:r>
    </w:p>
    <w:p>
      <w:pPr>
        <w:spacing w:after="0" w:line="151" w:lineRule="exact"/>
        <w:rPr>
          <w:rFonts w:ascii="Courier New" w:cs="Courier New" w:eastAsia="Courier New" w:hAnsi="Courier New"/>
          <w:sz w:val="13"/>
          <w:szCs w:val="13"/>
          <w:color w:val="auto"/>
        </w:rPr>
      </w:pPr>
    </w:p>
    <w:p>
      <w:pPr>
        <w:ind w:left="800"/>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ofor NCC during 1st half 2002 : 15 working days.</w:t>
      </w:r>
    </w:p>
    <w:p>
      <w:pPr>
        <w:spacing w:after="0" w:line="161" w:lineRule="exact"/>
        <w:rPr>
          <w:rFonts w:ascii="Courier New" w:cs="Courier New" w:eastAsia="Courier New" w:hAnsi="Courier New"/>
          <w:sz w:val="13"/>
          <w:szCs w:val="13"/>
          <w:color w:val="auto"/>
        </w:rPr>
      </w:pPr>
    </w:p>
    <w:p>
      <w:pPr>
        <w:ind w:left="800"/>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ofor NCC during 2nd half 2002 and later : 10 working days</w:t>
      </w:r>
    </w:p>
    <w:p>
      <w:pPr>
        <w:spacing w:after="0" w:line="161" w:lineRule="exact"/>
        <w:rPr>
          <w:rFonts w:ascii="Courier New" w:cs="Courier New" w:eastAsia="Courier New" w:hAnsi="Courier New"/>
          <w:sz w:val="13"/>
          <w:szCs w:val="13"/>
          <w:color w:val="auto"/>
        </w:rPr>
      </w:pPr>
    </w:p>
    <w:p>
      <w:pPr>
        <w:ind w:left="800"/>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ofor NCC during year 2003 and later : 7 working days</w:t>
      </w:r>
    </w:p>
    <w:p>
      <w:pPr>
        <w:spacing w:after="0" w:line="161" w:lineRule="exact"/>
        <w:rPr>
          <w:rFonts w:ascii="Courier New" w:cs="Courier New" w:eastAsia="Courier New" w:hAnsi="Courier New"/>
          <w:sz w:val="13"/>
          <w:szCs w:val="13"/>
          <w:color w:val="auto"/>
        </w:rPr>
      </w:pPr>
    </w:p>
    <w:p>
      <w:pPr>
        <w:ind w:left="800" w:right="3899" w:hanging="397"/>
        <w:spacing w:after="0" w:line="254" w:lineRule="auto"/>
        <w:tabs>
          <w:tab w:leader="none" w:pos="800" w:val="left"/>
        </w:tabs>
        <w:numPr>
          <w:ilvl w:val="1"/>
          <w:numId w:val="51"/>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the investigation require a longer time, the Supplier could ask an extended period.</w:t>
      </w:r>
    </w:p>
    <w:p>
      <w:pPr>
        <w:spacing w:after="0" w:line="150" w:lineRule="exact"/>
        <w:rPr>
          <w:rFonts w:ascii="Courier New" w:cs="Courier New" w:eastAsia="Courier New" w:hAnsi="Courier New"/>
          <w:sz w:val="13"/>
          <w:szCs w:val="13"/>
          <w:color w:val="auto"/>
        </w:rPr>
      </w:pPr>
    </w:p>
    <w:p>
      <w:pPr>
        <w:ind w:left="240" w:hanging="238"/>
        <w:spacing w:after="0"/>
        <w:tabs>
          <w:tab w:leader="none" w:pos="240" w:val="left"/>
        </w:tabs>
        <w:numPr>
          <w:ilvl w:val="0"/>
          <w:numId w:val="51"/>
        </w:numPr>
        <w:rPr>
          <w:rFonts w:ascii="Courier New" w:cs="Courier New" w:eastAsia="Courier New" w:hAnsi="Courier New"/>
          <w:sz w:val="13"/>
          <w:szCs w:val="13"/>
          <w:b w:val="1"/>
          <w:bCs w:val="1"/>
          <w:color w:val="auto"/>
        </w:rPr>
      </w:pPr>
      <w:r>
        <w:rPr>
          <w:rFonts w:ascii="Courier New" w:cs="Courier New" w:eastAsia="Courier New" w:hAnsi="Courier New"/>
          <w:sz w:val="13"/>
          <w:szCs w:val="13"/>
          <w:b w:val="1"/>
          <w:bCs w:val="1"/>
          <w:color w:val="auto"/>
        </w:rPr>
        <w:t>QUALITY</w:t>
      </w:r>
    </w:p>
    <w:p>
      <w:pPr>
        <w:spacing w:after="0" w:line="161" w:lineRule="exact"/>
        <w:rPr>
          <w:sz w:val="20"/>
          <w:szCs w:val="20"/>
          <w:color w:val="auto"/>
        </w:rPr>
      </w:pPr>
    </w:p>
    <w:p>
      <w:pPr>
        <w:ind w:left="320"/>
        <w:spacing w:after="0"/>
        <w:tabs>
          <w:tab w:leader="none" w:pos="780" w:val="left"/>
        </w:tabs>
        <w:rPr>
          <w:sz w:val="20"/>
          <w:szCs w:val="20"/>
          <w:color w:val="auto"/>
        </w:rPr>
      </w:pPr>
      <w:r>
        <w:rPr>
          <w:rFonts w:ascii="Courier New" w:cs="Courier New" w:eastAsia="Courier New" w:hAnsi="Courier New"/>
          <w:sz w:val="13"/>
          <w:szCs w:val="13"/>
          <w:b w:val="1"/>
          <w:bCs w:val="1"/>
          <w:color w:val="auto"/>
        </w:rPr>
        <w:t>8.1.</w:t>
        <w:tab/>
        <w:t>Quality Assurance</w:t>
      </w:r>
    </w:p>
    <w:p>
      <w:pPr>
        <w:spacing w:after="0" w:line="161" w:lineRule="exact"/>
        <w:rPr>
          <w:sz w:val="20"/>
          <w:szCs w:val="20"/>
          <w:color w:val="auto"/>
        </w:rPr>
      </w:pPr>
    </w:p>
    <w:p>
      <w:pPr>
        <w:ind w:left="320" w:right="3979"/>
        <w:spacing w:after="0" w:line="252" w:lineRule="auto"/>
        <w:rPr>
          <w:sz w:val="20"/>
          <w:szCs w:val="20"/>
          <w:color w:val="auto"/>
        </w:rPr>
      </w:pPr>
      <w:r>
        <w:rPr>
          <w:rFonts w:ascii="Courier New" w:cs="Courier New" w:eastAsia="Courier New" w:hAnsi="Courier New"/>
          <w:sz w:val="13"/>
          <w:szCs w:val="13"/>
          <w:color w:val="auto"/>
        </w:rPr>
        <w:t>The Supplier shall ensure that an effective quality system is established, documented, implemented and maintained in its premises and in the premises of its subcontractors-at-all-levels in order to grant that the performance of this Contract and the Agreed Purchase Orders will be executed in compliance with the provisions of this Contract.</w:t>
      </w:r>
    </w:p>
    <w:p>
      <w:pPr>
        <w:spacing w:after="0" w:line="152" w:lineRule="exact"/>
        <w:rPr>
          <w:sz w:val="20"/>
          <w:szCs w:val="20"/>
          <w:color w:val="auto"/>
        </w:rPr>
      </w:pPr>
    </w:p>
    <w:p>
      <w:pPr>
        <w:ind w:left="320" w:right="4059"/>
        <w:spacing w:after="0" w:line="252" w:lineRule="auto"/>
        <w:rPr>
          <w:sz w:val="20"/>
          <w:szCs w:val="20"/>
          <w:color w:val="auto"/>
        </w:rPr>
      </w:pPr>
      <w:r>
        <w:rPr>
          <w:rFonts w:ascii="Courier New" w:cs="Courier New" w:eastAsia="Courier New" w:hAnsi="Courier New"/>
          <w:sz w:val="13"/>
          <w:szCs w:val="13"/>
          <w:color w:val="auto"/>
        </w:rPr>
        <w:t>The Supplier agrees to establish a so-called "Zero Defects Strategy" including continuous improvement in matter of inclusion level to be implemented and verified in accordance with the provisions of sub-article 8.3.</w:t>
      </w:r>
    </w:p>
    <w:p>
      <w:pPr>
        <w:spacing w:after="0" w:line="153" w:lineRule="exact"/>
        <w:rPr>
          <w:sz w:val="20"/>
          <w:szCs w:val="20"/>
          <w:color w:val="auto"/>
        </w:rPr>
      </w:pPr>
    </w:p>
    <w:p>
      <w:pPr>
        <w:ind w:left="320"/>
        <w:spacing w:after="0"/>
        <w:tabs>
          <w:tab w:leader="none" w:pos="780" w:val="left"/>
        </w:tabs>
        <w:rPr>
          <w:sz w:val="20"/>
          <w:szCs w:val="20"/>
          <w:color w:val="auto"/>
        </w:rPr>
      </w:pPr>
      <w:r>
        <w:rPr>
          <w:rFonts w:ascii="Courier New" w:cs="Courier New" w:eastAsia="Courier New" w:hAnsi="Courier New"/>
          <w:sz w:val="13"/>
          <w:szCs w:val="13"/>
          <w:b w:val="1"/>
          <w:bCs w:val="1"/>
          <w:color w:val="auto"/>
        </w:rPr>
        <w:t>8.2.</w:t>
        <w:tab/>
        <w:t>Specifications</w:t>
      </w:r>
    </w:p>
    <w:p>
      <w:pPr>
        <w:spacing w:after="0" w:line="161" w:lineRule="exact"/>
        <w:rPr>
          <w:sz w:val="20"/>
          <w:szCs w:val="20"/>
          <w:color w:val="auto"/>
        </w:rPr>
      </w:pPr>
    </w:p>
    <w:p>
      <w:pPr>
        <w:ind w:left="320"/>
        <w:spacing w:after="0"/>
        <w:rPr>
          <w:sz w:val="20"/>
          <w:szCs w:val="20"/>
          <w:color w:val="auto"/>
        </w:rPr>
      </w:pPr>
      <w:r>
        <w:rPr>
          <w:rFonts w:ascii="Courier New" w:cs="Courier New" w:eastAsia="Courier New" w:hAnsi="Courier New"/>
          <w:sz w:val="13"/>
          <w:szCs w:val="13"/>
          <w:color w:val="auto"/>
        </w:rPr>
        <w:t>The applicable specifications for Euroball are set out under the Article 2.</w:t>
      </w:r>
    </w:p>
    <w:p>
      <w:pPr>
        <w:spacing w:after="0" w:line="161" w:lineRule="exact"/>
        <w:rPr>
          <w:sz w:val="20"/>
          <w:szCs w:val="20"/>
          <w:color w:val="auto"/>
        </w:rPr>
      </w:pPr>
    </w:p>
    <w:p>
      <w:pPr>
        <w:ind w:left="320"/>
        <w:spacing w:after="0"/>
        <w:tabs>
          <w:tab w:leader="none" w:pos="780" w:val="left"/>
        </w:tabs>
        <w:rPr>
          <w:sz w:val="20"/>
          <w:szCs w:val="20"/>
          <w:color w:val="auto"/>
        </w:rPr>
      </w:pPr>
      <w:r>
        <w:rPr>
          <w:rFonts w:ascii="Courier New" w:cs="Courier New" w:eastAsia="Courier New" w:hAnsi="Courier New"/>
          <w:sz w:val="13"/>
          <w:szCs w:val="13"/>
          <w:b w:val="1"/>
          <w:bCs w:val="1"/>
          <w:color w:val="auto"/>
        </w:rPr>
        <w:t>8.3.</w:t>
        <w:tab/>
        <w:t>Quality Improvement Work Shop</w:t>
      </w:r>
    </w:p>
    <w:p>
      <w:pPr>
        <w:spacing w:after="0" w:line="161" w:lineRule="exact"/>
        <w:rPr>
          <w:sz w:val="20"/>
          <w:szCs w:val="20"/>
          <w:color w:val="auto"/>
        </w:rPr>
      </w:pPr>
    </w:p>
    <w:p>
      <w:pPr>
        <w:ind w:left="320" w:right="4059"/>
        <w:spacing w:after="0" w:line="254" w:lineRule="auto"/>
        <w:rPr>
          <w:sz w:val="20"/>
          <w:szCs w:val="20"/>
          <w:color w:val="auto"/>
        </w:rPr>
      </w:pPr>
      <w:r>
        <w:rPr>
          <w:rFonts w:ascii="Courier New" w:cs="Courier New" w:eastAsia="Courier New" w:hAnsi="Courier New"/>
          <w:sz w:val="13"/>
          <w:szCs w:val="13"/>
          <w:color w:val="auto"/>
        </w:rPr>
        <w:t>At least twice a year for each entity, quality improvement workshop shall take place with following frame agenda :</w:t>
      </w:r>
    </w:p>
    <w:p>
      <w:pPr>
        <w:spacing w:after="0" w:line="151" w:lineRule="exact"/>
        <w:rPr>
          <w:sz w:val="20"/>
          <w:szCs w:val="20"/>
          <w:color w:val="auto"/>
        </w:rPr>
      </w:pPr>
    </w:p>
    <w:p>
      <w:pPr>
        <w:ind w:left="1200" w:hanging="396"/>
        <w:spacing w:after="0"/>
        <w:tabs>
          <w:tab w:leader="none" w:pos="1200" w:val="left"/>
        </w:tabs>
        <w:numPr>
          <w:ilvl w:val="0"/>
          <w:numId w:val="52"/>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Review of the non conformity index, analysis by main causes</w:t>
      </w:r>
    </w:p>
    <w:p>
      <w:pPr>
        <w:spacing w:after="0" w:line="161" w:lineRule="exact"/>
        <w:rPr>
          <w:rFonts w:ascii="Courier New" w:cs="Courier New" w:eastAsia="Courier New" w:hAnsi="Courier New"/>
          <w:sz w:val="13"/>
          <w:szCs w:val="13"/>
          <w:color w:val="auto"/>
        </w:rPr>
      </w:pPr>
    </w:p>
    <w:p>
      <w:pPr>
        <w:ind w:left="1200" w:hanging="396"/>
        <w:spacing w:after="0"/>
        <w:tabs>
          <w:tab w:leader="none" w:pos="1200" w:val="left"/>
        </w:tabs>
        <w:numPr>
          <w:ilvl w:val="0"/>
          <w:numId w:val="52"/>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Review of claims</w:t>
      </w:r>
    </w:p>
    <w:p>
      <w:pPr>
        <w:spacing w:after="0" w:line="161" w:lineRule="exact"/>
        <w:rPr>
          <w:rFonts w:ascii="Courier New" w:cs="Courier New" w:eastAsia="Courier New" w:hAnsi="Courier New"/>
          <w:sz w:val="13"/>
          <w:szCs w:val="13"/>
          <w:color w:val="auto"/>
        </w:rPr>
      </w:pPr>
    </w:p>
    <w:p>
      <w:pPr>
        <w:ind w:left="1200" w:hanging="396"/>
        <w:spacing w:after="0"/>
        <w:tabs>
          <w:tab w:leader="none" w:pos="1200" w:val="left"/>
        </w:tabs>
        <w:numPr>
          <w:ilvl w:val="0"/>
          <w:numId w:val="52"/>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Review of corrective actions</w:t>
      </w:r>
    </w:p>
    <w:p>
      <w:pPr>
        <w:spacing w:after="0" w:line="161" w:lineRule="exact"/>
        <w:rPr>
          <w:rFonts w:ascii="Courier New" w:cs="Courier New" w:eastAsia="Courier New" w:hAnsi="Courier New"/>
          <w:sz w:val="13"/>
          <w:szCs w:val="13"/>
          <w:color w:val="auto"/>
        </w:rPr>
      </w:pPr>
    </w:p>
    <w:p>
      <w:pPr>
        <w:ind w:left="1200" w:hanging="396"/>
        <w:spacing w:after="0"/>
        <w:tabs>
          <w:tab w:leader="none" w:pos="1200" w:val="left"/>
        </w:tabs>
        <w:numPr>
          <w:ilvl w:val="0"/>
          <w:numId w:val="52"/>
        </w:numPr>
        <w:rPr>
          <w:rFonts w:ascii="Courier New" w:cs="Courier New" w:eastAsia="Courier New" w:hAnsi="Courier New"/>
          <w:sz w:val="13"/>
          <w:szCs w:val="13"/>
          <w:color w:val="auto"/>
        </w:rPr>
      </w:pPr>
      <w:r>
        <w:rPr>
          <w:rFonts w:ascii="Courier New" w:cs="Courier New" w:eastAsia="Courier New" w:hAnsi="Courier New"/>
          <w:sz w:val="13"/>
          <w:szCs w:val="13"/>
          <w:color w:val="auto"/>
        </w:rPr>
        <w:t>Goals for the next period</w:t>
      </w:r>
    </w:p>
    <w:p>
      <w:pPr>
        <w:spacing w:after="0" w:line="315" w:lineRule="exact"/>
        <w:rPr>
          <w:sz w:val="20"/>
          <w:szCs w:val="20"/>
          <w:color w:val="auto"/>
        </w:rPr>
      </w:pPr>
    </w:p>
    <w:p>
      <w:pPr>
        <w:ind w:left="2880"/>
        <w:spacing w:after="0"/>
        <w:rPr>
          <w:sz w:val="20"/>
          <w:szCs w:val="20"/>
          <w:color w:val="auto"/>
        </w:rPr>
      </w:pPr>
      <w:r>
        <w:rPr>
          <w:rFonts w:ascii="Courier New" w:cs="Courier New" w:eastAsia="Courier New" w:hAnsi="Courier New"/>
          <w:sz w:val="13"/>
          <w:szCs w:val="13"/>
          <w:color w:val="auto"/>
        </w:rPr>
        <w:t>Pagina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4740"/>
        <w:spacing w:after="0"/>
        <w:rPr>
          <w:sz w:val="20"/>
          <w:szCs w:val="20"/>
          <w:color w:val="auto"/>
        </w:rPr>
      </w:pPr>
      <w:r>
        <w:rPr>
          <w:rFonts w:ascii="Courier New" w:cs="Courier New" w:eastAsia="Courier New" w:hAnsi="Courier New"/>
          <w:sz w:val="13"/>
          <w:szCs w:val="13"/>
          <w:color w:val="auto"/>
        </w:rPr>
        <w:t>Contract NN/02/RAW/ge</w:t>
      </w:r>
    </w:p>
    <w:p>
      <w:pPr>
        <w:spacing w:after="0" w:line="315" w:lineRule="exact"/>
        <w:rPr>
          <w:sz w:val="20"/>
          <w:szCs w:val="20"/>
          <w:color w:val="auto"/>
        </w:rPr>
      </w:pPr>
    </w:p>
    <w:p>
      <w:pPr>
        <w:ind w:left="1200" w:hanging="396"/>
        <w:spacing w:after="0"/>
        <w:tabs>
          <w:tab w:leader="none" w:pos="1200" w:val="left"/>
        </w:tabs>
        <w:numPr>
          <w:ilvl w:val="0"/>
          <w:numId w:val="53"/>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Initiative for common work groups</w:t>
      </w:r>
    </w:p>
    <w:p>
      <w:pPr>
        <w:spacing w:after="0" w:line="161" w:lineRule="exact"/>
        <w:rPr>
          <w:sz w:val="20"/>
          <w:szCs w:val="20"/>
          <w:color w:val="auto"/>
        </w:rPr>
      </w:pPr>
    </w:p>
    <w:p>
      <w:pPr>
        <w:ind w:right="4379" w:firstLine="401"/>
        <w:spacing w:after="0" w:line="254" w:lineRule="auto"/>
        <w:rPr>
          <w:sz w:val="20"/>
          <w:szCs w:val="20"/>
          <w:color w:val="auto"/>
        </w:rPr>
      </w:pPr>
      <w:r>
        <w:rPr>
          <w:rFonts w:ascii="Courier New" w:cs="Courier New" w:eastAsia="Courier New" w:hAnsi="Courier New"/>
          <w:sz w:val="13"/>
          <w:szCs w:val="13"/>
          <w:color w:val="auto"/>
        </w:rPr>
        <w:t>The appendix "E" gives historical reference for number of claims and target for the future.</w:t>
      </w:r>
    </w:p>
    <w:p>
      <w:pPr>
        <w:spacing w:after="0" w:line="151" w:lineRule="exact"/>
        <w:rPr>
          <w:sz w:val="20"/>
          <w:szCs w:val="20"/>
          <w:color w:val="auto"/>
        </w:rPr>
      </w:pPr>
    </w:p>
    <w:p>
      <w:pPr>
        <w:ind w:left="800" w:hanging="397"/>
        <w:spacing w:after="0"/>
        <w:tabs>
          <w:tab w:leader="none" w:pos="800" w:val="left"/>
        </w:tabs>
        <w:numPr>
          <w:ilvl w:val="0"/>
          <w:numId w:val="54"/>
        </w:numPr>
        <w:rPr>
          <w:rFonts w:ascii="Courier New" w:cs="Courier New" w:eastAsia="Courier New" w:hAnsi="Courier New"/>
          <w:sz w:val="13"/>
          <w:szCs w:val="13"/>
          <w:b w:val="1"/>
          <w:bCs w:val="1"/>
          <w:color w:val="auto"/>
        </w:rPr>
      </w:pPr>
      <w:r>
        <w:rPr>
          <w:rFonts w:ascii="Courier New" w:cs="Courier New" w:eastAsia="Courier New" w:hAnsi="Courier New"/>
          <w:sz w:val="13"/>
          <w:szCs w:val="13"/>
          <w:b w:val="1"/>
          <w:bCs w:val="1"/>
          <w:color w:val="auto"/>
        </w:rPr>
        <w:t>PRODUCT LIABILITY RESPONSIBILITY</w:t>
      </w:r>
    </w:p>
    <w:p>
      <w:pPr>
        <w:spacing w:after="0" w:line="161" w:lineRule="exact"/>
        <w:rPr>
          <w:sz w:val="20"/>
          <w:szCs w:val="20"/>
          <w:color w:val="auto"/>
        </w:rPr>
      </w:pPr>
    </w:p>
    <w:p>
      <w:pPr>
        <w:ind w:left="400" w:right="3899"/>
        <w:spacing w:after="0" w:line="252" w:lineRule="auto"/>
        <w:rPr>
          <w:sz w:val="20"/>
          <w:szCs w:val="20"/>
          <w:color w:val="auto"/>
        </w:rPr>
      </w:pPr>
      <w:r>
        <w:rPr>
          <w:rFonts w:ascii="Courier New" w:cs="Courier New" w:eastAsia="Courier New" w:hAnsi="Courier New"/>
          <w:sz w:val="13"/>
          <w:szCs w:val="13"/>
          <w:b w:val="1"/>
          <w:bCs w:val="1"/>
          <w:color w:val="auto"/>
        </w:rPr>
        <w:t xml:space="preserve">9.1. </w:t>
      </w:r>
      <w:r>
        <w:rPr>
          <w:rFonts w:ascii="Courier New" w:cs="Courier New" w:eastAsia="Courier New" w:hAnsi="Courier New"/>
          <w:sz w:val="13"/>
          <w:szCs w:val="13"/>
          <w:color w:val="auto"/>
        </w:rPr>
        <w:t>The Supplier is responsible and liable towards the Buyer for any type</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of damages each Products can cause to people and/or third parties, as a consequence of failures attributable of a default or negligence in the manufacturing and the documentation of the Products in respect of the agreed specification.</w:t>
      </w:r>
    </w:p>
    <w:p>
      <w:pPr>
        <w:spacing w:after="0" w:line="152" w:lineRule="exact"/>
        <w:rPr>
          <w:sz w:val="20"/>
          <w:szCs w:val="20"/>
          <w:color w:val="auto"/>
        </w:rPr>
      </w:pPr>
    </w:p>
    <w:p>
      <w:pPr>
        <w:ind w:left="400" w:right="3899"/>
        <w:spacing w:after="0" w:line="253" w:lineRule="auto"/>
        <w:rPr>
          <w:sz w:val="20"/>
          <w:szCs w:val="20"/>
          <w:color w:val="auto"/>
        </w:rPr>
      </w:pPr>
      <w:r>
        <w:rPr>
          <w:rFonts w:ascii="Courier New" w:cs="Courier New" w:eastAsia="Courier New" w:hAnsi="Courier New"/>
          <w:sz w:val="13"/>
          <w:szCs w:val="13"/>
          <w:color w:val="auto"/>
        </w:rPr>
        <w:t>The Supplier shall indemnify and hold harmless the Buyer from each and all claims, liabilities and losses suffered by the Buyer and/or third parties arising out or in connection with the above failures.</w:t>
      </w:r>
    </w:p>
    <w:p>
      <w:pPr>
        <w:spacing w:after="0" w:line="151" w:lineRule="exact"/>
        <w:rPr>
          <w:sz w:val="20"/>
          <w:szCs w:val="20"/>
          <w:color w:val="auto"/>
        </w:rPr>
      </w:pPr>
    </w:p>
    <w:p>
      <w:pPr>
        <w:jc w:val="both"/>
        <w:ind w:left="400" w:right="3819"/>
        <w:spacing w:after="0" w:line="253" w:lineRule="auto"/>
        <w:rPr>
          <w:sz w:val="20"/>
          <w:szCs w:val="20"/>
          <w:color w:val="auto"/>
        </w:rPr>
      </w:pPr>
      <w:r>
        <w:rPr>
          <w:rFonts w:ascii="Courier New" w:cs="Courier New" w:eastAsia="Courier New" w:hAnsi="Courier New"/>
          <w:sz w:val="13"/>
          <w:szCs w:val="13"/>
          <w:b w:val="1"/>
          <w:bCs w:val="1"/>
          <w:color w:val="auto"/>
        </w:rPr>
        <w:t xml:space="preserve">9.2. </w:t>
      </w:r>
      <w:r>
        <w:rPr>
          <w:rFonts w:ascii="Courier New" w:cs="Courier New" w:eastAsia="Courier New" w:hAnsi="Courier New"/>
          <w:sz w:val="13"/>
          <w:szCs w:val="13"/>
          <w:color w:val="auto"/>
        </w:rPr>
        <w:t>The Supplier will arrange an adequate insurance policy. The amount of</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damages recoverable through this insurance policy will be not lower than 30 Million Euro.</w:t>
      </w:r>
    </w:p>
    <w:p>
      <w:pPr>
        <w:spacing w:after="0" w:line="151" w:lineRule="exact"/>
        <w:rPr>
          <w:sz w:val="20"/>
          <w:szCs w:val="20"/>
          <w:color w:val="auto"/>
        </w:rPr>
      </w:pPr>
    </w:p>
    <w:p>
      <w:pPr>
        <w:ind w:left="400" w:right="4299"/>
        <w:spacing w:after="0" w:line="253" w:lineRule="auto"/>
        <w:rPr>
          <w:sz w:val="20"/>
          <w:szCs w:val="20"/>
          <w:color w:val="auto"/>
        </w:rPr>
      </w:pPr>
      <w:r>
        <w:rPr>
          <w:rFonts w:ascii="Courier New" w:cs="Courier New" w:eastAsia="Courier New" w:hAnsi="Courier New"/>
          <w:sz w:val="13"/>
          <w:szCs w:val="13"/>
          <w:color w:val="auto"/>
        </w:rPr>
        <w:t>The above insurance policy will be settled 3 (three) months after the signature of the present Contract , and shall be renewed for all the duration of this Contract.</w:t>
      </w:r>
    </w:p>
    <w:p>
      <w:pPr>
        <w:spacing w:after="0" w:line="151" w:lineRule="exact"/>
        <w:rPr>
          <w:sz w:val="20"/>
          <w:szCs w:val="20"/>
          <w:color w:val="auto"/>
        </w:rPr>
      </w:pPr>
    </w:p>
    <w:p>
      <w:pPr>
        <w:ind w:left="400" w:right="4059"/>
        <w:spacing w:after="0" w:line="254" w:lineRule="auto"/>
        <w:rPr>
          <w:sz w:val="20"/>
          <w:szCs w:val="20"/>
          <w:color w:val="auto"/>
        </w:rPr>
      </w:pPr>
      <w:r>
        <w:rPr>
          <w:rFonts w:ascii="Courier New" w:cs="Courier New" w:eastAsia="Courier New" w:hAnsi="Courier New"/>
          <w:sz w:val="13"/>
          <w:szCs w:val="13"/>
          <w:color w:val="auto"/>
        </w:rPr>
        <w:t>Copy of said insurance policy will be delivered to the Buyer immediately after its settlement.</w:t>
      </w:r>
    </w:p>
    <w:p>
      <w:pPr>
        <w:spacing w:after="0" w:line="151" w:lineRule="exact"/>
        <w:rPr>
          <w:sz w:val="20"/>
          <w:szCs w:val="20"/>
          <w:color w:val="auto"/>
        </w:rPr>
      </w:pPr>
    </w:p>
    <w:p>
      <w:pPr>
        <w:spacing w:after="0"/>
        <w:tabs>
          <w:tab w:leader="none" w:pos="380" w:val="left"/>
        </w:tabs>
        <w:rPr>
          <w:sz w:val="20"/>
          <w:szCs w:val="20"/>
          <w:color w:val="auto"/>
        </w:rPr>
      </w:pPr>
      <w:r>
        <w:rPr>
          <w:rFonts w:ascii="Courier New" w:cs="Courier New" w:eastAsia="Courier New" w:hAnsi="Courier New"/>
          <w:sz w:val="13"/>
          <w:szCs w:val="13"/>
          <w:b w:val="1"/>
          <w:bCs w:val="1"/>
          <w:color w:val="auto"/>
        </w:rPr>
        <w:t>10.</w:t>
        <w:tab/>
        <w:t>MATERIAL AND WORKMANSHIP WARRANTY</w:t>
      </w:r>
    </w:p>
    <w:p>
      <w:pPr>
        <w:sectPr>
          <w:pgSz w:w="11900" w:h="16838" w:orient="portrait"/>
          <w:cols w:equalWidth="0" w:num="1">
            <w:col w:w="10239"/>
          </w:cols>
          <w:pgMar w:left="220" w:top="295" w:right="1440" w:bottom="0" w:gutter="0" w:footer="0" w:header="0"/>
        </w:sectPr>
      </w:pPr>
    </w:p>
    <w:bookmarkStart w:id="48" w:name="page49"/>
    <w:bookmarkEnd w:id="48"/>
    <w:p>
      <w:pPr>
        <w:ind w:left="400" w:right="3979"/>
        <w:spacing w:after="0" w:line="253" w:lineRule="auto"/>
        <w:rPr>
          <w:sz w:val="20"/>
          <w:szCs w:val="20"/>
          <w:color w:val="auto"/>
        </w:rPr>
      </w:pPr>
      <w:r>
        <w:rPr>
          <w:rFonts w:ascii="Courier New" w:cs="Courier New" w:eastAsia="Courier New" w:hAnsi="Courier New"/>
          <w:sz w:val="13"/>
          <w:szCs w:val="13"/>
          <w:b w:val="1"/>
          <w:bCs w:val="1"/>
          <w:color w:val="auto"/>
        </w:rPr>
        <w:t xml:space="preserve">10.1.1. </w:t>
      </w:r>
      <w:r>
        <w:rPr>
          <w:rFonts w:ascii="Courier New" w:cs="Courier New" w:eastAsia="Courier New" w:hAnsi="Courier New"/>
          <w:sz w:val="13"/>
          <w:szCs w:val="13"/>
          <w:color w:val="auto"/>
        </w:rPr>
        <w:t>The Supplier warrants, subject to the provisions of this Article,</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that each Products delivered under or pursuant to this Contract and/or Agreed Purchase Order shall :</w:t>
      </w:r>
    </w:p>
    <w:p>
      <w:pPr>
        <w:spacing w:after="0" w:line="151" w:lineRule="exact"/>
        <w:rPr>
          <w:sz w:val="20"/>
          <w:szCs w:val="20"/>
          <w:color w:val="auto"/>
        </w:rPr>
      </w:pPr>
    </w:p>
    <w:p>
      <w:pPr>
        <w:ind w:left="1200" w:right="3979" w:hanging="396"/>
        <w:spacing w:after="0" w:line="252" w:lineRule="auto"/>
        <w:tabs>
          <w:tab w:leader="none" w:pos="1200" w:val="left"/>
        </w:tabs>
        <w:numPr>
          <w:ilvl w:val="0"/>
          <w:numId w:val="55"/>
        </w:numPr>
        <w:rPr>
          <w:rFonts w:ascii="Courier New" w:cs="Courier New" w:eastAsia="Courier New" w:hAnsi="Courier New"/>
          <w:sz w:val="13"/>
          <w:szCs w:val="13"/>
          <w:color w:val="auto"/>
        </w:rPr>
      </w:pPr>
      <w:r>
        <w:rPr>
          <w:rFonts w:ascii="Courier New" w:cs="Courier New" w:eastAsia="Courier New" w:hAnsi="Courier New"/>
          <w:sz w:val="13"/>
          <w:szCs w:val="13"/>
          <w:color w:val="auto"/>
        </w:rPr>
        <w:t>be conform in all respects to the Product Specification and the other requirements and prescriptions of the Contract and/or Agreed Purchase Order and be free from defects in material and workmanship.</w:t>
      </w:r>
    </w:p>
    <w:p>
      <w:pPr>
        <w:spacing w:after="0" w:line="153" w:lineRule="exact"/>
        <w:rPr>
          <w:sz w:val="20"/>
          <w:szCs w:val="20"/>
          <w:color w:val="auto"/>
        </w:rPr>
      </w:pPr>
    </w:p>
    <w:p>
      <w:pPr>
        <w:ind w:left="560" w:right="3819"/>
        <w:spacing w:after="0" w:line="253" w:lineRule="auto"/>
        <w:rPr>
          <w:sz w:val="20"/>
          <w:szCs w:val="20"/>
          <w:color w:val="auto"/>
        </w:rPr>
      </w:pPr>
      <w:r>
        <w:rPr>
          <w:rFonts w:ascii="Courier New" w:cs="Courier New" w:eastAsia="Courier New" w:hAnsi="Courier New"/>
          <w:sz w:val="13"/>
          <w:szCs w:val="13"/>
          <w:b w:val="1"/>
          <w:bCs w:val="1"/>
          <w:color w:val="auto"/>
        </w:rPr>
        <w:t xml:space="preserve">10.1.2. </w:t>
      </w:r>
      <w:r>
        <w:rPr>
          <w:rFonts w:ascii="Courier New" w:cs="Courier New" w:eastAsia="Courier New" w:hAnsi="Courier New"/>
          <w:sz w:val="13"/>
          <w:szCs w:val="13"/>
          <w:color w:val="auto"/>
        </w:rPr>
        <w:t>The warranty period granted by the Supplier for the Products will</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be 3 months for coating and 36 months for other features from the delivery date to the Buyer</w:t>
      </w:r>
    </w:p>
    <w:p>
      <w:pPr>
        <w:spacing w:after="0" w:line="151" w:lineRule="exact"/>
        <w:rPr>
          <w:sz w:val="20"/>
          <w:szCs w:val="20"/>
          <w:color w:val="auto"/>
        </w:rPr>
      </w:pPr>
    </w:p>
    <w:p>
      <w:pPr>
        <w:ind w:left="560" w:right="3899"/>
        <w:spacing w:after="0" w:line="251" w:lineRule="auto"/>
        <w:rPr>
          <w:sz w:val="20"/>
          <w:szCs w:val="20"/>
          <w:color w:val="auto"/>
        </w:rPr>
      </w:pPr>
      <w:r>
        <w:rPr>
          <w:rFonts w:ascii="Courier New" w:cs="Courier New" w:eastAsia="Courier New" w:hAnsi="Courier New"/>
          <w:sz w:val="13"/>
          <w:szCs w:val="13"/>
          <w:b w:val="1"/>
          <w:bCs w:val="1"/>
          <w:color w:val="auto"/>
        </w:rPr>
        <w:t xml:space="preserve">10.1.3. </w:t>
      </w:r>
      <w:r>
        <w:rPr>
          <w:rFonts w:ascii="Courier New" w:cs="Courier New" w:eastAsia="Courier New" w:hAnsi="Courier New"/>
          <w:sz w:val="13"/>
          <w:szCs w:val="13"/>
          <w:color w:val="auto"/>
        </w:rPr>
        <w:t>In the event of any Product failing to conform with the warranty</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requirements listed at Sub-Article 10.1., it will be returned within 15 days to the Supplier by the Buyer with a rejection note describing the defect found. The return of the Products to the Supplier will freeze or interrupt its remaining warranty period and all the relevant replacement costs will be born by the Supplier.</w:t>
      </w:r>
    </w:p>
    <w:p>
      <w:pPr>
        <w:spacing w:after="0" w:line="310" w:lineRule="exact"/>
        <w:rPr>
          <w:sz w:val="20"/>
          <w:szCs w:val="20"/>
          <w:color w:val="auto"/>
        </w:rPr>
      </w:pPr>
    </w:p>
    <w:p>
      <w:pPr>
        <w:ind w:left="2800"/>
        <w:spacing w:after="0"/>
        <w:rPr>
          <w:sz w:val="20"/>
          <w:szCs w:val="20"/>
          <w:color w:val="auto"/>
        </w:rPr>
      </w:pPr>
      <w:r>
        <w:rPr>
          <w:rFonts w:ascii="Courier New" w:cs="Courier New" w:eastAsia="Courier New" w:hAnsi="Courier New"/>
          <w:sz w:val="13"/>
          <w:szCs w:val="13"/>
          <w:color w:val="auto"/>
        </w:rPr>
        <w:t>Pagina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4740"/>
        <w:spacing w:after="0"/>
        <w:rPr>
          <w:sz w:val="20"/>
          <w:szCs w:val="20"/>
          <w:color w:val="auto"/>
        </w:rPr>
      </w:pPr>
      <w:r>
        <w:rPr>
          <w:rFonts w:ascii="Courier New" w:cs="Courier New" w:eastAsia="Courier New" w:hAnsi="Courier New"/>
          <w:sz w:val="13"/>
          <w:szCs w:val="13"/>
          <w:color w:val="auto"/>
        </w:rPr>
        <w:t>Contract NN/02/RAW/ge</w:t>
      </w:r>
    </w:p>
    <w:p>
      <w:pPr>
        <w:spacing w:after="0" w:line="315" w:lineRule="exact"/>
        <w:rPr>
          <w:sz w:val="20"/>
          <w:szCs w:val="20"/>
          <w:color w:val="auto"/>
        </w:rPr>
      </w:pPr>
    </w:p>
    <w:p>
      <w:pPr>
        <w:ind w:left="560" w:right="4139"/>
        <w:spacing w:after="0" w:line="254" w:lineRule="auto"/>
        <w:rPr>
          <w:sz w:val="20"/>
          <w:szCs w:val="20"/>
          <w:color w:val="auto"/>
        </w:rPr>
      </w:pPr>
      <w:r>
        <w:rPr>
          <w:rFonts w:ascii="Courier New" w:cs="Courier New" w:eastAsia="Courier New" w:hAnsi="Courier New"/>
          <w:sz w:val="13"/>
          <w:szCs w:val="13"/>
          <w:b w:val="1"/>
          <w:bCs w:val="1"/>
          <w:color w:val="auto"/>
        </w:rPr>
        <w:t xml:space="preserve">10.1.4. </w:t>
      </w:r>
      <w:r>
        <w:rPr>
          <w:rFonts w:ascii="Courier New" w:cs="Courier New" w:eastAsia="Courier New" w:hAnsi="Courier New"/>
          <w:sz w:val="13"/>
          <w:szCs w:val="13"/>
          <w:color w:val="auto"/>
        </w:rPr>
        <w:t>The Supplier shall be liable for all transportation costs and</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risks of the Products returned under warranty.</w:t>
      </w:r>
    </w:p>
    <w:p>
      <w:pPr>
        <w:spacing w:after="0" w:line="151"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b w:val="1"/>
          <w:bCs w:val="1"/>
          <w:color w:val="auto"/>
        </w:rPr>
        <w:t xml:space="preserve">10.1.5. </w:t>
      </w:r>
      <w:r>
        <w:rPr>
          <w:rFonts w:ascii="Courier New" w:cs="Courier New" w:eastAsia="Courier New" w:hAnsi="Courier New"/>
          <w:sz w:val="13"/>
          <w:szCs w:val="13"/>
          <w:color w:val="auto"/>
        </w:rPr>
        <w:t>At the expiry of the warranty periods set out in Sub-Article</w:t>
      </w:r>
    </w:p>
    <w:p>
      <w:pPr>
        <w:spacing w:after="0" w:line="7" w:lineRule="exact"/>
        <w:rPr>
          <w:sz w:val="20"/>
          <w:szCs w:val="20"/>
          <w:color w:val="auto"/>
        </w:rPr>
      </w:pPr>
    </w:p>
    <w:p>
      <w:pPr>
        <w:ind w:left="560" w:right="4299"/>
        <w:spacing w:after="0" w:line="254" w:lineRule="auto"/>
        <w:rPr>
          <w:sz w:val="20"/>
          <w:szCs w:val="20"/>
          <w:color w:val="auto"/>
        </w:rPr>
      </w:pPr>
      <w:r>
        <w:rPr>
          <w:rFonts w:ascii="Courier New" w:cs="Courier New" w:eastAsia="Courier New" w:hAnsi="Courier New"/>
          <w:sz w:val="13"/>
          <w:szCs w:val="13"/>
          <w:color w:val="auto"/>
        </w:rPr>
        <w:t>10.1.2., the liability of the Supplier shall continue in respect of manufacturing and documentation hidden defects of the Products.</w:t>
      </w:r>
    </w:p>
    <w:p>
      <w:pPr>
        <w:spacing w:after="0" w:line="151" w:lineRule="exact"/>
        <w:rPr>
          <w:sz w:val="20"/>
          <w:szCs w:val="20"/>
          <w:color w:val="auto"/>
        </w:rPr>
      </w:pPr>
    </w:p>
    <w:p>
      <w:pPr>
        <w:jc w:val="center"/>
        <w:ind w:right="7599"/>
        <w:spacing w:after="0"/>
        <w:rPr>
          <w:sz w:val="20"/>
          <w:szCs w:val="20"/>
          <w:color w:val="auto"/>
        </w:rPr>
      </w:pPr>
      <w:r>
        <w:rPr>
          <w:rFonts w:ascii="Courier New" w:cs="Courier New" w:eastAsia="Courier New" w:hAnsi="Courier New"/>
          <w:sz w:val="13"/>
          <w:szCs w:val="13"/>
          <w:b w:val="1"/>
          <w:bCs w:val="1"/>
          <w:color w:val="auto"/>
        </w:rPr>
        <w:t>11 - PAYMENT TERMS AND CONDITIONS</w:t>
      </w:r>
    </w:p>
    <w:p>
      <w:pPr>
        <w:spacing w:after="0" w:line="161"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b w:val="1"/>
          <w:bCs w:val="1"/>
          <w:color w:val="auto"/>
        </w:rPr>
        <w:t>11.1. Payment Terms</w:t>
      </w:r>
    </w:p>
    <w:p>
      <w:pPr>
        <w:spacing w:after="0" w:line="161"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The payment of the invoices shall be made on the following base :</w:t>
      </w:r>
    </w:p>
    <w:p>
      <w:pPr>
        <w:spacing w:after="0" w:line="161" w:lineRule="exact"/>
        <w:rPr>
          <w:sz w:val="20"/>
          <w:szCs w:val="20"/>
          <w:color w:val="auto"/>
        </w:rPr>
      </w:pPr>
    </w:p>
    <w:p>
      <w:pPr>
        <w:ind w:left="960"/>
        <w:spacing w:after="0"/>
        <w:rPr>
          <w:sz w:val="20"/>
          <w:szCs w:val="20"/>
          <w:color w:val="auto"/>
        </w:rPr>
      </w:pPr>
      <w:r>
        <w:rPr>
          <w:rFonts w:ascii="Courier New" w:cs="Courier New" w:eastAsia="Courier New" w:hAnsi="Courier New"/>
          <w:sz w:val="13"/>
          <w:szCs w:val="13"/>
          <w:color w:val="auto"/>
        </w:rPr>
        <w:t>60 days net from the end of the month of consumption.</w:t>
      </w:r>
    </w:p>
    <w:p>
      <w:pPr>
        <w:spacing w:after="0" w:line="161" w:lineRule="exact"/>
        <w:rPr>
          <w:sz w:val="20"/>
          <w:szCs w:val="20"/>
          <w:color w:val="auto"/>
        </w:rPr>
      </w:pPr>
    </w:p>
    <w:p>
      <w:pPr>
        <w:ind w:left="640" w:right="3819"/>
        <w:spacing w:after="0" w:line="252" w:lineRule="auto"/>
        <w:rPr>
          <w:sz w:val="20"/>
          <w:szCs w:val="20"/>
          <w:color w:val="auto"/>
        </w:rPr>
      </w:pPr>
      <w:r>
        <w:rPr>
          <w:rFonts w:ascii="Courier New" w:cs="Courier New" w:eastAsia="Courier New" w:hAnsi="Courier New"/>
          <w:sz w:val="13"/>
          <w:szCs w:val="13"/>
          <w:color w:val="auto"/>
        </w:rPr>
        <w:t>Should the Supplier's insurance company reduce the existing credit limit for one or more of EUROBALL ENTITIES both Buyer and Supplier shall agree to renegotiate payment term and/or market share in accordance with the new credit limit.</w:t>
      </w:r>
    </w:p>
    <w:p>
      <w:pPr>
        <w:spacing w:after="0" w:line="153" w:lineRule="exact"/>
        <w:rPr>
          <w:sz w:val="20"/>
          <w:szCs w:val="20"/>
          <w:color w:val="auto"/>
        </w:rPr>
      </w:pPr>
    </w:p>
    <w:p>
      <w:pPr>
        <w:ind w:left="560"/>
        <w:spacing w:after="0"/>
        <w:tabs>
          <w:tab w:leader="none" w:pos="1100" w:val="left"/>
        </w:tabs>
        <w:rPr>
          <w:sz w:val="20"/>
          <w:szCs w:val="20"/>
          <w:color w:val="auto"/>
        </w:rPr>
      </w:pPr>
      <w:r>
        <w:rPr>
          <w:rFonts w:ascii="Courier New" w:cs="Courier New" w:eastAsia="Courier New" w:hAnsi="Courier New"/>
          <w:sz w:val="13"/>
          <w:szCs w:val="13"/>
          <w:b w:val="1"/>
          <w:bCs w:val="1"/>
          <w:color w:val="auto"/>
        </w:rPr>
        <w:t>11.2.</w:t>
        <w:tab/>
        <w:t>Payment Conditions</w:t>
      </w:r>
    </w:p>
    <w:p>
      <w:pPr>
        <w:spacing w:after="0" w:line="161" w:lineRule="exact"/>
        <w:rPr>
          <w:sz w:val="20"/>
          <w:szCs w:val="20"/>
          <w:color w:val="auto"/>
        </w:rPr>
      </w:pPr>
    </w:p>
    <w:p>
      <w:pPr>
        <w:ind w:left="640" w:right="3899"/>
        <w:spacing w:after="0" w:line="254" w:lineRule="auto"/>
        <w:rPr>
          <w:sz w:val="20"/>
          <w:szCs w:val="20"/>
          <w:color w:val="auto"/>
        </w:rPr>
      </w:pPr>
      <w:r>
        <w:rPr>
          <w:rFonts w:ascii="Courier New" w:cs="Courier New" w:eastAsia="Courier New" w:hAnsi="Courier New"/>
          <w:sz w:val="13"/>
          <w:szCs w:val="13"/>
          <w:color w:val="auto"/>
        </w:rPr>
        <w:t>The prices payable under Article 3 shall be paid in accordance with the provisions of this Article.</w:t>
      </w:r>
    </w:p>
    <w:p>
      <w:pPr>
        <w:spacing w:after="0" w:line="151" w:lineRule="exact"/>
        <w:rPr>
          <w:sz w:val="20"/>
          <w:szCs w:val="20"/>
          <w:color w:val="auto"/>
        </w:rPr>
      </w:pPr>
    </w:p>
    <w:p>
      <w:pPr>
        <w:ind w:left="640" w:right="3979"/>
        <w:spacing w:after="0" w:line="253" w:lineRule="auto"/>
        <w:rPr>
          <w:sz w:val="20"/>
          <w:szCs w:val="20"/>
          <w:color w:val="auto"/>
        </w:rPr>
      </w:pPr>
      <w:r>
        <w:rPr>
          <w:rFonts w:ascii="Courier New" w:cs="Courier New" w:eastAsia="Courier New" w:hAnsi="Courier New"/>
          <w:sz w:val="13"/>
          <w:szCs w:val="13"/>
          <w:color w:val="auto"/>
        </w:rPr>
        <w:t>In respect of the prices set out in Article 3, the Supplier's invoices will be paid, provided that the Products will have been delivered together with the documentation set out in sub article 6.6.</w:t>
      </w:r>
    </w:p>
    <w:p>
      <w:pPr>
        <w:spacing w:after="0" w:line="151" w:lineRule="exact"/>
        <w:rPr>
          <w:sz w:val="20"/>
          <w:szCs w:val="20"/>
          <w:color w:val="auto"/>
        </w:rPr>
      </w:pPr>
    </w:p>
    <w:p>
      <w:pPr>
        <w:ind w:left="640"/>
        <w:spacing w:after="0"/>
        <w:rPr>
          <w:sz w:val="20"/>
          <w:szCs w:val="20"/>
          <w:color w:val="auto"/>
        </w:rPr>
      </w:pPr>
      <w:r>
        <w:rPr>
          <w:rFonts w:ascii="Courier New" w:cs="Courier New" w:eastAsia="Courier New" w:hAnsi="Courier New"/>
          <w:sz w:val="13"/>
          <w:szCs w:val="13"/>
          <w:b w:val="1"/>
          <w:bCs w:val="1"/>
          <w:color w:val="auto"/>
        </w:rPr>
        <w:t>12. Excusable delay</w:t>
      </w:r>
    </w:p>
    <w:p>
      <w:pPr>
        <w:spacing w:after="0" w:line="161" w:lineRule="exact"/>
        <w:rPr>
          <w:sz w:val="20"/>
          <w:szCs w:val="20"/>
          <w:color w:val="auto"/>
        </w:rPr>
      </w:pPr>
    </w:p>
    <w:p>
      <w:pPr>
        <w:ind w:left="640" w:right="3899"/>
        <w:spacing w:after="0" w:line="253" w:lineRule="auto"/>
        <w:rPr>
          <w:sz w:val="20"/>
          <w:szCs w:val="20"/>
          <w:color w:val="auto"/>
        </w:rPr>
      </w:pPr>
      <w:r>
        <w:rPr>
          <w:rFonts w:ascii="Courier New" w:cs="Courier New" w:eastAsia="Courier New" w:hAnsi="Courier New"/>
          <w:sz w:val="13"/>
          <w:szCs w:val="13"/>
          <w:b w:val="1"/>
          <w:bCs w:val="1"/>
          <w:color w:val="auto"/>
        </w:rPr>
        <w:t xml:space="preserve">12.1. </w:t>
      </w:r>
      <w:r>
        <w:rPr>
          <w:rFonts w:ascii="Courier New" w:cs="Courier New" w:eastAsia="Courier New" w:hAnsi="Courier New"/>
          <w:sz w:val="13"/>
          <w:szCs w:val="13"/>
          <w:color w:val="auto"/>
        </w:rPr>
        <w:t>A delay in the performance of any obligation under the Contract,</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which is caused by or result of force majeure event shall constitute an excusable delay.</w:t>
      </w:r>
    </w:p>
    <w:p>
      <w:pPr>
        <w:spacing w:after="0" w:line="151" w:lineRule="exact"/>
        <w:rPr>
          <w:sz w:val="20"/>
          <w:szCs w:val="20"/>
          <w:color w:val="auto"/>
        </w:rPr>
      </w:pPr>
    </w:p>
    <w:p>
      <w:pPr>
        <w:ind w:left="640" w:right="3899"/>
        <w:spacing w:after="0" w:line="252" w:lineRule="auto"/>
        <w:rPr>
          <w:sz w:val="20"/>
          <w:szCs w:val="20"/>
          <w:color w:val="auto"/>
        </w:rPr>
      </w:pPr>
      <w:r>
        <w:rPr>
          <w:rFonts w:ascii="Courier New" w:cs="Courier New" w:eastAsia="Courier New" w:hAnsi="Courier New"/>
          <w:sz w:val="13"/>
          <w:szCs w:val="13"/>
          <w:b w:val="1"/>
          <w:bCs w:val="1"/>
          <w:color w:val="auto"/>
        </w:rPr>
        <w:t xml:space="preserve">12.2. </w:t>
      </w:r>
      <w:r>
        <w:rPr>
          <w:rFonts w:ascii="Courier New" w:cs="Courier New" w:eastAsia="Courier New" w:hAnsi="Courier New"/>
          <w:sz w:val="13"/>
          <w:szCs w:val="13"/>
          <w:color w:val="auto"/>
        </w:rPr>
        <w:t>To the extent that as a result of an excusable delay the delivery</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of the Product is not achieved in due time, the date of achievement of that commitment shall be postponed by the duration of the excusable delay to a date for the achievement of that commitment which then shall be a reference for such date as amended by the application of this Article.</w:t>
      </w:r>
    </w:p>
    <w:p>
      <w:pPr>
        <w:spacing w:after="0" w:line="200" w:lineRule="exact"/>
        <w:rPr>
          <w:sz w:val="20"/>
          <w:szCs w:val="20"/>
          <w:color w:val="auto"/>
        </w:rPr>
      </w:pPr>
    </w:p>
    <w:p>
      <w:pPr>
        <w:spacing w:after="0" w:line="261" w:lineRule="exact"/>
        <w:rPr>
          <w:sz w:val="20"/>
          <w:szCs w:val="20"/>
          <w:color w:val="auto"/>
        </w:rPr>
      </w:pPr>
    </w:p>
    <w:p>
      <w:pPr>
        <w:ind w:left="2800"/>
        <w:spacing w:after="0"/>
        <w:rPr>
          <w:sz w:val="20"/>
          <w:szCs w:val="20"/>
          <w:color w:val="auto"/>
        </w:rPr>
      </w:pPr>
      <w:r>
        <w:rPr>
          <w:rFonts w:ascii="Courier New" w:cs="Courier New" w:eastAsia="Courier New" w:hAnsi="Courier New"/>
          <w:sz w:val="13"/>
          <w:szCs w:val="13"/>
          <w:color w:val="auto"/>
        </w:rPr>
        <w:t>Pagina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4740"/>
        <w:spacing w:after="0"/>
        <w:rPr>
          <w:sz w:val="20"/>
          <w:szCs w:val="20"/>
          <w:color w:val="auto"/>
        </w:rPr>
      </w:pPr>
      <w:r>
        <w:rPr>
          <w:rFonts w:ascii="Courier New" w:cs="Courier New" w:eastAsia="Courier New" w:hAnsi="Courier New"/>
          <w:sz w:val="13"/>
          <w:szCs w:val="13"/>
          <w:color w:val="auto"/>
        </w:rPr>
        <w:t>Contract NN/02/RAW/ge</w:t>
      </w:r>
    </w:p>
    <w:p>
      <w:pPr>
        <w:spacing w:after="0" w:line="161" w:lineRule="exact"/>
        <w:rPr>
          <w:sz w:val="20"/>
          <w:szCs w:val="20"/>
          <w:color w:val="auto"/>
        </w:rPr>
      </w:pPr>
    </w:p>
    <w:p>
      <w:pPr>
        <w:ind w:left="800" w:right="4219"/>
        <w:spacing w:after="0" w:line="253" w:lineRule="auto"/>
        <w:rPr>
          <w:sz w:val="20"/>
          <w:szCs w:val="20"/>
          <w:color w:val="auto"/>
        </w:rPr>
      </w:pPr>
      <w:r>
        <w:rPr>
          <w:rFonts w:ascii="Courier New" w:cs="Courier New" w:eastAsia="Courier New" w:hAnsi="Courier New"/>
          <w:sz w:val="13"/>
          <w:szCs w:val="13"/>
          <w:b w:val="1"/>
          <w:bCs w:val="1"/>
          <w:color w:val="auto"/>
        </w:rPr>
        <w:t xml:space="preserve">12.3. </w:t>
      </w:r>
      <w:r>
        <w:rPr>
          <w:rFonts w:ascii="Courier New" w:cs="Courier New" w:eastAsia="Courier New" w:hAnsi="Courier New"/>
          <w:sz w:val="13"/>
          <w:szCs w:val="13"/>
          <w:color w:val="auto"/>
        </w:rPr>
        <w:t>The Supplier shall at all times, at no cost for the Buyer,</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use its best efforts to minimize the delay in the delivery of the Products involved and to recover the time lost.</w:t>
      </w:r>
    </w:p>
    <w:p>
      <w:pPr>
        <w:spacing w:after="0" w:line="151" w:lineRule="exact"/>
        <w:rPr>
          <w:sz w:val="20"/>
          <w:szCs w:val="20"/>
          <w:color w:val="auto"/>
        </w:rPr>
      </w:pPr>
    </w:p>
    <w:p>
      <w:pPr>
        <w:ind w:left="800"/>
        <w:spacing w:after="0"/>
        <w:rPr>
          <w:sz w:val="20"/>
          <w:szCs w:val="20"/>
          <w:color w:val="auto"/>
        </w:rPr>
      </w:pPr>
      <w:r>
        <w:rPr>
          <w:rFonts w:ascii="Courier New" w:cs="Courier New" w:eastAsia="Courier New" w:hAnsi="Courier New"/>
          <w:sz w:val="13"/>
          <w:szCs w:val="13"/>
          <w:b w:val="1"/>
          <w:bCs w:val="1"/>
          <w:color w:val="auto"/>
        </w:rPr>
        <w:t xml:space="preserve">12.4. </w:t>
      </w:r>
      <w:r>
        <w:rPr>
          <w:rFonts w:ascii="Courier New" w:cs="Courier New" w:eastAsia="Courier New" w:hAnsi="Courier New"/>
          <w:sz w:val="13"/>
          <w:szCs w:val="13"/>
          <w:color w:val="auto"/>
        </w:rPr>
        <w:t>Should the event justifying the excusable delay last for</w:t>
      </w:r>
    </w:p>
    <w:p>
      <w:pPr>
        <w:spacing w:after="0" w:line="7" w:lineRule="exact"/>
        <w:rPr>
          <w:sz w:val="20"/>
          <w:szCs w:val="20"/>
          <w:color w:val="auto"/>
        </w:rPr>
      </w:pPr>
    </w:p>
    <w:p>
      <w:pPr>
        <w:ind w:left="800" w:right="3899"/>
        <w:spacing w:after="0" w:line="252" w:lineRule="auto"/>
        <w:rPr>
          <w:sz w:val="20"/>
          <w:szCs w:val="20"/>
          <w:color w:val="auto"/>
        </w:rPr>
      </w:pPr>
      <w:r>
        <w:rPr>
          <w:rFonts w:ascii="Courier New" w:cs="Courier New" w:eastAsia="Courier New" w:hAnsi="Courier New"/>
          <w:sz w:val="13"/>
          <w:szCs w:val="13"/>
          <w:color w:val="auto"/>
        </w:rPr>
        <w:t>more than 2 (two) consecutive week, the Buyer shall have the right to suspend the MARKET SHARE commitment for the period affected by the excusable delay or suspend the Contract in accordance with the provisions of sub article 13.2 or terminate the Contract with provision of article 13.2.4.</w:t>
      </w:r>
    </w:p>
    <w:p>
      <w:pPr>
        <w:spacing w:after="0" w:line="152" w:lineRule="exact"/>
        <w:rPr>
          <w:sz w:val="20"/>
          <w:szCs w:val="20"/>
          <w:color w:val="auto"/>
        </w:rPr>
      </w:pPr>
    </w:p>
    <w:p>
      <w:pPr>
        <w:ind w:left="800" w:right="4139"/>
        <w:spacing w:after="0" w:line="254" w:lineRule="auto"/>
        <w:rPr>
          <w:sz w:val="20"/>
          <w:szCs w:val="20"/>
          <w:color w:val="auto"/>
        </w:rPr>
      </w:pPr>
      <w:r>
        <w:rPr>
          <w:rFonts w:ascii="Courier New" w:cs="Courier New" w:eastAsia="Courier New" w:hAnsi="Courier New"/>
          <w:sz w:val="13"/>
          <w:szCs w:val="13"/>
          <w:b w:val="1"/>
          <w:bCs w:val="1"/>
          <w:color w:val="auto"/>
        </w:rPr>
        <w:t xml:space="preserve">12.5. </w:t>
      </w:r>
      <w:r>
        <w:rPr>
          <w:rFonts w:ascii="Courier New" w:cs="Courier New" w:eastAsia="Courier New" w:hAnsi="Courier New"/>
          <w:sz w:val="13"/>
          <w:szCs w:val="13"/>
          <w:color w:val="auto"/>
        </w:rPr>
        <w:t>No relief from liability for late delivery shall apply under</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this Article unless the Supplier has :</w:t>
      </w:r>
    </w:p>
    <w:p>
      <w:pPr>
        <w:spacing w:after="0" w:line="151" w:lineRule="exact"/>
        <w:rPr>
          <w:sz w:val="20"/>
          <w:szCs w:val="20"/>
          <w:color w:val="auto"/>
        </w:rPr>
      </w:pPr>
    </w:p>
    <w:p>
      <w:pPr>
        <w:ind w:left="1200" w:right="4539" w:hanging="396"/>
        <w:spacing w:after="0" w:line="254" w:lineRule="auto"/>
        <w:tabs>
          <w:tab w:leader="none" w:pos="1200" w:val="left"/>
        </w:tabs>
        <w:numPr>
          <w:ilvl w:val="0"/>
          <w:numId w:val="56"/>
        </w:numPr>
        <w:rPr>
          <w:rFonts w:ascii="Courier New" w:cs="Courier New" w:eastAsia="Courier New" w:hAnsi="Courier New"/>
          <w:sz w:val="13"/>
          <w:szCs w:val="13"/>
          <w:color w:val="auto"/>
        </w:rPr>
      </w:pPr>
      <w:r>
        <w:rPr>
          <w:rFonts w:ascii="Courier New" w:cs="Courier New" w:eastAsia="Courier New" w:hAnsi="Courier New"/>
          <w:sz w:val="13"/>
          <w:szCs w:val="13"/>
          <w:color w:val="auto"/>
        </w:rPr>
        <w:t>within 3 days from its occurrence, notified the Buyer by facsimile and/or e-mail such excusable delay; and</w:t>
      </w:r>
    </w:p>
    <w:p>
      <w:pPr>
        <w:spacing w:after="0" w:line="150" w:lineRule="exact"/>
        <w:rPr>
          <w:rFonts w:ascii="Courier New" w:cs="Courier New" w:eastAsia="Courier New" w:hAnsi="Courier New"/>
          <w:sz w:val="13"/>
          <w:szCs w:val="13"/>
          <w:color w:val="auto"/>
        </w:rPr>
      </w:pPr>
    </w:p>
    <w:p>
      <w:pPr>
        <w:ind w:left="1200" w:right="3819" w:hanging="396"/>
        <w:spacing w:after="0" w:line="253" w:lineRule="auto"/>
        <w:tabs>
          <w:tab w:leader="none" w:pos="1200" w:val="left"/>
        </w:tabs>
        <w:numPr>
          <w:ilvl w:val="0"/>
          <w:numId w:val="56"/>
        </w:numPr>
        <w:rPr>
          <w:rFonts w:ascii="Courier New" w:cs="Courier New" w:eastAsia="Courier New" w:hAnsi="Courier New"/>
          <w:sz w:val="13"/>
          <w:szCs w:val="13"/>
          <w:color w:val="auto"/>
        </w:rPr>
      </w:pPr>
      <w:r>
        <w:rPr>
          <w:rFonts w:ascii="Courier New" w:cs="Courier New" w:eastAsia="Courier New" w:hAnsi="Courier New"/>
          <w:sz w:val="13"/>
          <w:szCs w:val="13"/>
          <w:color w:val="auto"/>
        </w:rPr>
        <w:t>within 6 days from its occurrence, provided the Buyer a detailed report of the situation caused by such excusable delay, inclusive of the potential remedial actions.</w:t>
      </w:r>
    </w:p>
    <w:p>
      <w:pPr>
        <w:spacing w:after="0" w:line="151" w:lineRule="exact"/>
        <w:rPr>
          <w:sz w:val="20"/>
          <w:szCs w:val="20"/>
          <w:color w:val="auto"/>
        </w:rPr>
      </w:pPr>
    </w:p>
    <w:p>
      <w:pPr>
        <w:ind w:left="560"/>
        <w:spacing w:after="0"/>
        <w:tabs>
          <w:tab w:leader="none" w:pos="1420" w:val="left"/>
        </w:tabs>
        <w:rPr>
          <w:sz w:val="20"/>
          <w:szCs w:val="20"/>
          <w:color w:val="auto"/>
        </w:rPr>
      </w:pPr>
      <w:r>
        <w:rPr>
          <w:rFonts w:ascii="Courier New" w:cs="Courier New" w:eastAsia="Courier New" w:hAnsi="Courier New"/>
          <w:sz w:val="13"/>
          <w:szCs w:val="13"/>
          <w:b w:val="1"/>
          <w:bCs w:val="1"/>
          <w:color w:val="auto"/>
        </w:rPr>
        <w:t>13 -</w:t>
      </w:r>
      <w:r>
        <w:rPr>
          <w:sz w:val="20"/>
          <w:szCs w:val="20"/>
          <w:color w:val="auto"/>
        </w:rPr>
        <w:tab/>
      </w:r>
      <w:r>
        <w:rPr>
          <w:rFonts w:ascii="Courier New" w:cs="Courier New" w:eastAsia="Courier New" w:hAnsi="Courier New"/>
          <w:sz w:val="13"/>
          <w:szCs w:val="13"/>
          <w:b w:val="1"/>
          <w:bCs w:val="1"/>
          <w:color w:val="auto"/>
        </w:rPr>
        <w:t>TERMINATION</w:t>
      </w:r>
    </w:p>
    <w:p>
      <w:pPr>
        <w:spacing w:after="0" w:line="161" w:lineRule="exact"/>
        <w:rPr>
          <w:sz w:val="20"/>
          <w:szCs w:val="20"/>
          <w:color w:val="auto"/>
        </w:rPr>
      </w:pPr>
    </w:p>
    <w:p>
      <w:pPr>
        <w:ind w:left="560"/>
        <w:spacing w:after="0"/>
        <w:tabs>
          <w:tab w:leader="none" w:pos="1420" w:val="left"/>
        </w:tabs>
        <w:rPr>
          <w:sz w:val="20"/>
          <w:szCs w:val="20"/>
          <w:color w:val="auto"/>
        </w:rPr>
      </w:pPr>
      <w:r>
        <w:rPr>
          <w:rFonts w:ascii="Courier New" w:cs="Courier New" w:eastAsia="Courier New" w:hAnsi="Courier New"/>
          <w:sz w:val="13"/>
          <w:szCs w:val="13"/>
          <w:b w:val="1"/>
          <w:bCs w:val="1"/>
          <w:color w:val="auto"/>
        </w:rPr>
        <w:t>13.1.</w:t>
      </w:r>
      <w:r>
        <w:rPr>
          <w:sz w:val="20"/>
          <w:szCs w:val="20"/>
          <w:color w:val="auto"/>
        </w:rPr>
        <w:tab/>
      </w:r>
      <w:r>
        <w:rPr>
          <w:rFonts w:ascii="Courier New" w:cs="Courier New" w:eastAsia="Courier New" w:hAnsi="Courier New"/>
          <w:sz w:val="13"/>
          <w:szCs w:val="13"/>
          <w:b w:val="1"/>
          <w:bCs w:val="1"/>
          <w:color w:val="auto"/>
        </w:rPr>
        <w:t>Termination for Default</w:t>
      </w:r>
    </w:p>
    <w:p>
      <w:pPr>
        <w:spacing w:after="0" w:line="161" w:lineRule="exact"/>
        <w:rPr>
          <w:sz w:val="20"/>
          <w:szCs w:val="20"/>
          <w:color w:val="auto"/>
        </w:rPr>
      </w:pPr>
    </w:p>
    <w:p>
      <w:pPr>
        <w:ind w:left="560" w:right="3819"/>
        <w:spacing w:after="0" w:line="252" w:lineRule="auto"/>
        <w:rPr>
          <w:sz w:val="20"/>
          <w:szCs w:val="20"/>
          <w:color w:val="auto"/>
        </w:rPr>
      </w:pPr>
      <w:r>
        <w:rPr>
          <w:rFonts w:ascii="Courier New" w:cs="Courier New" w:eastAsia="Courier New" w:hAnsi="Courier New"/>
          <w:sz w:val="13"/>
          <w:szCs w:val="13"/>
          <w:b w:val="1"/>
          <w:bCs w:val="1"/>
          <w:color w:val="auto"/>
        </w:rPr>
        <w:t xml:space="preserve">13.1.1. </w:t>
      </w:r>
      <w:r>
        <w:rPr>
          <w:rFonts w:ascii="Courier New" w:cs="Courier New" w:eastAsia="Courier New" w:hAnsi="Courier New"/>
          <w:sz w:val="13"/>
          <w:szCs w:val="13"/>
          <w:color w:val="auto"/>
        </w:rPr>
        <w:t>If either party materially breaches a provision of this</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Agreement, the other party may give notice in writing of the breach and request that the breach be remedied. The notice must specify the relevant facts that caused the breach. The breaching party will have no more than</w:t>
      </w:r>
    </w:p>
    <w:p>
      <w:pPr>
        <w:sectPr>
          <w:pgSz w:w="11900" w:h="16838" w:orient="portrait"/>
          <w:cols w:equalWidth="0" w:num="1">
            <w:col w:w="10239"/>
          </w:cols>
          <w:pgMar w:left="220" w:top="296" w:right="1440" w:bottom="0" w:gutter="0" w:footer="0" w:header="0"/>
        </w:sectPr>
      </w:pPr>
    </w:p>
    <w:bookmarkStart w:id="49" w:name="page50"/>
    <w:bookmarkEnd w:id="49"/>
    <w:p>
      <w:pPr>
        <w:ind w:left="560" w:right="3979"/>
        <w:spacing w:after="0" w:line="251" w:lineRule="auto"/>
        <w:rPr>
          <w:sz w:val="20"/>
          <w:szCs w:val="20"/>
          <w:color w:val="auto"/>
        </w:rPr>
      </w:pPr>
      <w:r>
        <w:rPr>
          <w:rFonts w:ascii="Courier New" w:cs="Courier New" w:eastAsia="Courier New" w:hAnsi="Courier New"/>
          <w:sz w:val="13"/>
          <w:szCs w:val="13"/>
          <w:color w:val="auto"/>
        </w:rPr>
        <w:t>ten days to propose an appropriate plan to remedy the breach and an additional twenty (20) days to complete the remedy. If the breaching party has not completed the remedy within the 30 days period, the notifying party will have the right to terminate the contract by giving written notice to the breaching party at least 30 days prior to the effective date of termination specified in the notice..</w:t>
      </w:r>
    </w:p>
    <w:p>
      <w:pPr>
        <w:spacing w:after="0" w:line="155"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The provision of this article include:</w:t>
      </w:r>
    </w:p>
    <w:p>
      <w:pPr>
        <w:spacing w:after="0" w:line="161" w:lineRule="exact"/>
        <w:rPr>
          <w:sz w:val="20"/>
          <w:szCs w:val="20"/>
          <w:color w:val="auto"/>
        </w:rPr>
      </w:pPr>
    </w:p>
    <w:p>
      <w:pPr>
        <w:ind w:left="1200" w:hanging="396"/>
        <w:spacing w:after="0"/>
        <w:tabs>
          <w:tab w:leader="none" w:pos="1200" w:val="left"/>
        </w:tabs>
        <w:numPr>
          <w:ilvl w:val="0"/>
          <w:numId w:val="57"/>
        </w:numPr>
        <w:rPr>
          <w:rFonts w:ascii="Courier New" w:cs="Courier New" w:eastAsia="Courier New" w:hAnsi="Courier New"/>
          <w:sz w:val="13"/>
          <w:szCs w:val="13"/>
          <w:color w:val="auto"/>
        </w:rPr>
      </w:pPr>
      <w:r>
        <w:rPr>
          <w:rFonts w:ascii="Courier New" w:cs="Courier New" w:eastAsia="Courier New" w:hAnsi="Courier New"/>
          <w:sz w:val="13"/>
          <w:szCs w:val="13"/>
          <w:color w:val="auto"/>
        </w:rPr>
        <w:t>by Buyer :</w:t>
      </w:r>
    </w:p>
    <w:p>
      <w:pPr>
        <w:spacing w:after="0" w:line="6" w:lineRule="exact"/>
        <w:rPr>
          <w:rFonts w:ascii="Courier New" w:cs="Courier New" w:eastAsia="Courier New" w:hAnsi="Courier New"/>
          <w:sz w:val="13"/>
          <w:szCs w:val="13"/>
          <w:color w:val="auto"/>
        </w:rPr>
      </w:pPr>
    </w:p>
    <w:p>
      <w:pPr>
        <w:ind w:left="1200" w:right="4139"/>
        <w:spacing w:after="0" w:line="254"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the case of non performance by Supplier affecting heavily the quality of the product or the service</w:t>
      </w:r>
    </w:p>
    <w:p>
      <w:pPr>
        <w:spacing w:after="0" w:line="150" w:lineRule="exact"/>
        <w:rPr>
          <w:rFonts w:ascii="Courier New" w:cs="Courier New" w:eastAsia="Courier New" w:hAnsi="Courier New"/>
          <w:sz w:val="13"/>
          <w:szCs w:val="13"/>
          <w:color w:val="auto"/>
        </w:rPr>
      </w:pPr>
    </w:p>
    <w:p>
      <w:pPr>
        <w:ind w:left="1200" w:hanging="396"/>
        <w:spacing w:after="0"/>
        <w:tabs>
          <w:tab w:leader="none" w:pos="1200" w:val="left"/>
        </w:tabs>
        <w:numPr>
          <w:ilvl w:val="0"/>
          <w:numId w:val="57"/>
        </w:numPr>
        <w:rPr>
          <w:rFonts w:ascii="Courier New" w:cs="Courier New" w:eastAsia="Courier New" w:hAnsi="Courier New"/>
          <w:sz w:val="13"/>
          <w:szCs w:val="13"/>
          <w:color w:val="auto"/>
        </w:rPr>
      </w:pPr>
      <w:r>
        <w:rPr>
          <w:rFonts w:ascii="Courier New" w:cs="Courier New" w:eastAsia="Courier New" w:hAnsi="Courier New"/>
          <w:sz w:val="13"/>
          <w:szCs w:val="13"/>
          <w:color w:val="auto"/>
        </w:rPr>
        <w:t>by Seller :</w:t>
      </w:r>
    </w:p>
    <w:p>
      <w:pPr>
        <w:spacing w:after="0" w:line="6" w:lineRule="exact"/>
        <w:rPr>
          <w:rFonts w:ascii="Courier New" w:cs="Courier New" w:eastAsia="Courier New" w:hAnsi="Courier New"/>
          <w:sz w:val="13"/>
          <w:szCs w:val="13"/>
          <w:color w:val="auto"/>
        </w:rPr>
      </w:pPr>
    </w:p>
    <w:p>
      <w:pPr>
        <w:ind w:left="1200"/>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the case if the Buyer fails to pay on the agreed price.</w:t>
      </w:r>
    </w:p>
    <w:p>
      <w:pPr>
        <w:spacing w:after="0" w:line="315" w:lineRule="exact"/>
        <w:rPr>
          <w:sz w:val="20"/>
          <w:szCs w:val="20"/>
          <w:color w:val="auto"/>
        </w:rPr>
      </w:pPr>
    </w:p>
    <w:p>
      <w:pPr>
        <w:ind w:left="2800"/>
        <w:spacing w:after="0"/>
        <w:rPr>
          <w:sz w:val="20"/>
          <w:szCs w:val="20"/>
          <w:color w:val="auto"/>
        </w:rPr>
      </w:pPr>
      <w:r>
        <w:rPr>
          <w:rFonts w:ascii="Courier New" w:cs="Courier New" w:eastAsia="Courier New" w:hAnsi="Courier New"/>
          <w:sz w:val="13"/>
          <w:szCs w:val="13"/>
          <w:color w:val="auto"/>
        </w:rPr>
        <w:t>Pagina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right"/>
        <w:ind w:right="3819"/>
        <w:spacing w:after="0"/>
        <w:rPr>
          <w:sz w:val="20"/>
          <w:szCs w:val="20"/>
          <w:color w:val="auto"/>
        </w:rPr>
      </w:pPr>
      <w:r>
        <w:rPr>
          <w:rFonts w:ascii="Courier New" w:cs="Courier New" w:eastAsia="Courier New" w:hAnsi="Courier New"/>
          <w:sz w:val="13"/>
          <w:szCs w:val="13"/>
          <w:color w:val="auto"/>
        </w:rPr>
        <w:t>Contract NN/02/RAW/ge</w:t>
      </w:r>
    </w:p>
    <w:p>
      <w:pPr>
        <w:spacing w:after="0" w:line="315" w:lineRule="exact"/>
        <w:rPr>
          <w:sz w:val="20"/>
          <w:szCs w:val="20"/>
          <w:color w:val="auto"/>
        </w:rPr>
      </w:pPr>
    </w:p>
    <w:p>
      <w:pPr>
        <w:ind w:left="800"/>
        <w:spacing w:after="0"/>
        <w:rPr>
          <w:sz w:val="20"/>
          <w:szCs w:val="20"/>
          <w:color w:val="auto"/>
        </w:rPr>
      </w:pPr>
      <w:r>
        <w:rPr>
          <w:rFonts w:ascii="Courier New" w:cs="Courier New" w:eastAsia="Courier New" w:hAnsi="Courier New"/>
          <w:sz w:val="13"/>
          <w:szCs w:val="13"/>
          <w:b w:val="1"/>
          <w:bCs w:val="1"/>
          <w:color w:val="auto"/>
        </w:rPr>
        <w:t xml:space="preserve">13.1.2. </w:t>
      </w:r>
      <w:r>
        <w:rPr>
          <w:rFonts w:ascii="Courier New" w:cs="Courier New" w:eastAsia="Courier New" w:hAnsi="Courier New"/>
          <w:sz w:val="13"/>
          <w:szCs w:val="13"/>
          <w:color w:val="auto"/>
        </w:rPr>
        <w:t>If either party becomes insolvent or subject to</w:t>
      </w:r>
    </w:p>
    <w:p>
      <w:pPr>
        <w:spacing w:after="0" w:line="7" w:lineRule="exact"/>
        <w:rPr>
          <w:sz w:val="20"/>
          <w:szCs w:val="20"/>
          <w:color w:val="auto"/>
        </w:rPr>
      </w:pPr>
    </w:p>
    <w:p>
      <w:pPr>
        <w:ind w:left="800" w:right="3899"/>
        <w:spacing w:after="0" w:line="252" w:lineRule="auto"/>
        <w:rPr>
          <w:sz w:val="20"/>
          <w:szCs w:val="20"/>
          <w:color w:val="auto"/>
        </w:rPr>
      </w:pPr>
      <w:r>
        <w:rPr>
          <w:rFonts w:ascii="Courier New" w:cs="Courier New" w:eastAsia="Courier New" w:hAnsi="Courier New"/>
          <w:sz w:val="13"/>
          <w:szCs w:val="13"/>
          <w:color w:val="auto"/>
        </w:rPr>
        <w:t>proceedings under any law relating to bankruptcy, insolvency or the relief of debtors, the other party may take any action, including terminating this Agreement in whole or part upon notice to the other party, to protect its interests to the extent permitted by applicable law.</w:t>
      </w:r>
    </w:p>
    <w:p>
      <w:pPr>
        <w:spacing w:after="0" w:line="152" w:lineRule="exact"/>
        <w:rPr>
          <w:sz w:val="20"/>
          <w:szCs w:val="20"/>
          <w:color w:val="auto"/>
        </w:rPr>
      </w:pPr>
    </w:p>
    <w:p>
      <w:pPr>
        <w:ind w:left="800" w:right="3979"/>
        <w:spacing w:after="0" w:line="254" w:lineRule="auto"/>
        <w:rPr>
          <w:sz w:val="20"/>
          <w:szCs w:val="20"/>
          <w:color w:val="auto"/>
        </w:rPr>
      </w:pPr>
      <w:r>
        <w:rPr>
          <w:rFonts w:ascii="Courier New" w:cs="Courier New" w:eastAsia="Courier New" w:hAnsi="Courier New"/>
          <w:sz w:val="13"/>
          <w:szCs w:val="13"/>
          <w:b w:val="1"/>
          <w:bCs w:val="1"/>
          <w:color w:val="auto"/>
        </w:rPr>
        <w:t xml:space="preserve">13.1.3. </w:t>
      </w:r>
      <w:r>
        <w:rPr>
          <w:rFonts w:ascii="Courier New" w:cs="Courier New" w:eastAsia="Courier New" w:hAnsi="Courier New"/>
          <w:sz w:val="13"/>
          <w:szCs w:val="13"/>
          <w:color w:val="auto"/>
        </w:rPr>
        <w:t>In the event of Termination, the Buyer shall be obligated to</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purchase products which are already shipped or ready for shipment.</w:t>
      </w:r>
    </w:p>
    <w:p>
      <w:pPr>
        <w:spacing w:after="0" w:line="151" w:lineRule="exact"/>
        <w:rPr>
          <w:sz w:val="20"/>
          <w:szCs w:val="20"/>
          <w:color w:val="auto"/>
        </w:rPr>
      </w:pPr>
    </w:p>
    <w:p>
      <w:pPr>
        <w:ind w:left="800" w:right="3819"/>
        <w:spacing w:after="0" w:line="254" w:lineRule="auto"/>
        <w:rPr>
          <w:sz w:val="20"/>
          <w:szCs w:val="20"/>
          <w:color w:val="auto"/>
        </w:rPr>
      </w:pPr>
      <w:r>
        <w:rPr>
          <w:rFonts w:ascii="Courier New" w:cs="Courier New" w:eastAsia="Courier New" w:hAnsi="Courier New"/>
          <w:sz w:val="13"/>
          <w:szCs w:val="13"/>
          <w:color w:val="auto"/>
        </w:rPr>
        <w:t>The Parties agreed that the respective receivables under the supply of the products will be set off even partially.</w:t>
      </w:r>
    </w:p>
    <w:p>
      <w:pPr>
        <w:spacing w:after="0" w:line="151"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3"/>
          <w:szCs w:val="13"/>
          <w:b w:val="1"/>
          <w:bCs w:val="1"/>
          <w:color w:val="auto"/>
        </w:rPr>
        <w:t>13.2.</w:t>
      </w:r>
      <w:r>
        <w:rPr>
          <w:sz w:val="20"/>
          <w:szCs w:val="20"/>
          <w:color w:val="auto"/>
        </w:rPr>
        <w:tab/>
      </w:r>
      <w:r>
        <w:rPr>
          <w:rFonts w:ascii="Courier New" w:cs="Courier New" w:eastAsia="Courier New" w:hAnsi="Courier New"/>
          <w:sz w:val="13"/>
          <w:szCs w:val="13"/>
          <w:b w:val="1"/>
          <w:bCs w:val="1"/>
          <w:color w:val="auto"/>
        </w:rPr>
        <w:t>Termination or suspension for Convenience</w:t>
      </w:r>
    </w:p>
    <w:p>
      <w:pPr>
        <w:spacing w:after="0" w:line="161" w:lineRule="exact"/>
        <w:rPr>
          <w:sz w:val="20"/>
          <w:szCs w:val="20"/>
          <w:color w:val="auto"/>
        </w:rPr>
      </w:pPr>
    </w:p>
    <w:p>
      <w:pPr>
        <w:ind w:left="800" w:right="3819"/>
        <w:spacing w:after="0" w:line="252" w:lineRule="auto"/>
        <w:rPr>
          <w:sz w:val="20"/>
          <w:szCs w:val="20"/>
          <w:color w:val="auto"/>
        </w:rPr>
      </w:pPr>
      <w:r>
        <w:rPr>
          <w:rFonts w:ascii="Courier New" w:cs="Courier New" w:eastAsia="Courier New" w:hAnsi="Courier New"/>
          <w:sz w:val="13"/>
          <w:szCs w:val="13"/>
          <w:b w:val="1"/>
          <w:bCs w:val="1"/>
          <w:color w:val="auto"/>
        </w:rPr>
        <w:t xml:space="preserve">13.2.1. </w:t>
      </w:r>
      <w:r>
        <w:rPr>
          <w:rFonts w:ascii="Courier New" w:cs="Courier New" w:eastAsia="Courier New" w:hAnsi="Courier New"/>
          <w:sz w:val="13"/>
          <w:szCs w:val="13"/>
          <w:color w:val="auto"/>
        </w:rPr>
        <w:t>Notwithstanding anything contained in the Contract and/or</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Agreed Purchase Order, the Buyer may, at any time and from time to time, during the term of the Contract and/or Agreed Purchase Order, by written notice to the Supplier (herein after referred to as "Termination or suspension Notice"), terminate or suspend the whole or any part or parts of the Contract and/or Agreed Purchase Order not yet performed or completed, in any of the events or situations hereinafter described.</w:t>
      </w:r>
    </w:p>
    <w:p>
      <w:pPr>
        <w:spacing w:after="0" w:line="306" w:lineRule="exact"/>
        <w:rPr>
          <w:sz w:val="20"/>
          <w:szCs w:val="20"/>
          <w:color w:val="auto"/>
        </w:rPr>
      </w:pPr>
    </w:p>
    <w:p>
      <w:pPr>
        <w:ind w:left="800" w:right="3979"/>
        <w:spacing w:after="0" w:line="251" w:lineRule="auto"/>
        <w:rPr>
          <w:sz w:val="20"/>
          <w:szCs w:val="20"/>
          <w:color w:val="auto"/>
        </w:rPr>
      </w:pPr>
      <w:r>
        <w:rPr>
          <w:rFonts w:ascii="Courier New" w:cs="Courier New" w:eastAsia="Courier New" w:hAnsi="Courier New"/>
          <w:sz w:val="13"/>
          <w:szCs w:val="13"/>
          <w:color w:val="auto"/>
        </w:rPr>
        <w:t>Upon the Termination or suspension Notice being served, the Supplier and all its suppliers and subcontractors-at-all-levels shall, within 10 (ten) Days, cease any terminated or suspended activity in accordance with and to the extend specified in such Termination or suspension Notice and no further subcontracts shall be placed upon receipt of the Terminated Notice ; in case of change of Buyer's manufacturing process the Supplier and all supplier and sub-contractors-at-all levels shall cease any terminated activity in accordance with the lead time mentioned under the sub- article 5.2.</w:t>
      </w:r>
    </w:p>
    <w:p>
      <w:pPr>
        <w:spacing w:after="0" w:line="156" w:lineRule="exact"/>
        <w:rPr>
          <w:sz w:val="20"/>
          <w:szCs w:val="20"/>
          <w:color w:val="auto"/>
        </w:rPr>
      </w:pPr>
    </w:p>
    <w:p>
      <w:pPr>
        <w:ind w:left="800" w:right="3899"/>
        <w:spacing w:after="0" w:line="254" w:lineRule="auto"/>
        <w:rPr>
          <w:sz w:val="20"/>
          <w:szCs w:val="20"/>
          <w:color w:val="auto"/>
        </w:rPr>
      </w:pPr>
      <w:r>
        <w:rPr>
          <w:rFonts w:ascii="Courier New" w:cs="Courier New" w:eastAsia="Courier New" w:hAnsi="Courier New"/>
          <w:sz w:val="13"/>
          <w:szCs w:val="13"/>
          <w:b w:val="1"/>
          <w:bCs w:val="1"/>
          <w:color w:val="auto"/>
        </w:rPr>
        <w:t xml:space="preserve">13.2.2. </w:t>
      </w:r>
      <w:r>
        <w:rPr>
          <w:rFonts w:ascii="Courier New" w:cs="Courier New" w:eastAsia="Courier New" w:hAnsi="Courier New"/>
          <w:sz w:val="13"/>
          <w:szCs w:val="13"/>
          <w:color w:val="auto"/>
        </w:rPr>
        <w:t>The events or situations that will entitle the Buyer to serve</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the Termination or suspension Notice are:</w:t>
      </w:r>
    </w:p>
    <w:p>
      <w:pPr>
        <w:spacing w:after="0" w:line="151" w:lineRule="exact"/>
        <w:rPr>
          <w:sz w:val="20"/>
          <w:szCs w:val="20"/>
          <w:color w:val="auto"/>
        </w:rPr>
      </w:pPr>
    </w:p>
    <w:p>
      <w:pPr>
        <w:ind w:left="1200" w:right="4459" w:hanging="396"/>
        <w:spacing w:after="0" w:line="254" w:lineRule="auto"/>
        <w:tabs>
          <w:tab w:leader="none" w:pos="1200" w:val="left"/>
        </w:tabs>
        <w:numPr>
          <w:ilvl w:val="0"/>
          <w:numId w:val="5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duration of the excusable delay over 2 (two) weeks in accordance with the provisions of Sub-Article 12.4. ;</w:t>
      </w:r>
    </w:p>
    <w:p>
      <w:pPr>
        <w:spacing w:after="0" w:line="150" w:lineRule="exact"/>
        <w:rPr>
          <w:rFonts w:ascii="Courier New" w:cs="Courier New" w:eastAsia="Courier New" w:hAnsi="Courier New"/>
          <w:sz w:val="13"/>
          <w:szCs w:val="13"/>
          <w:color w:val="auto"/>
        </w:rPr>
      </w:pPr>
    </w:p>
    <w:p>
      <w:pPr>
        <w:ind w:left="1200" w:right="3899" w:hanging="396"/>
        <w:spacing w:after="0" w:line="254" w:lineRule="auto"/>
        <w:tabs>
          <w:tab w:leader="none" w:pos="1200" w:val="left"/>
        </w:tabs>
        <w:numPr>
          <w:ilvl w:val="0"/>
          <w:numId w:val="5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occurrence of a force majeure event to the Buyer over than 4 weeks ;</w:t>
      </w:r>
    </w:p>
    <w:p>
      <w:pPr>
        <w:spacing w:after="0" w:line="150" w:lineRule="exact"/>
        <w:rPr>
          <w:rFonts w:ascii="Courier New" w:cs="Courier New" w:eastAsia="Courier New" w:hAnsi="Courier New"/>
          <w:sz w:val="13"/>
          <w:szCs w:val="13"/>
          <w:color w:val="auto"/>
        </w:rPr>
      </w:pPr>
    </w:p>
    <w:p>
      <w:pPr>
        <w:ind w:left="1200" w:right="4139" w:hanging="396"/>
        <w:spacing w:after="0" w:line="254" w:lineRule="auto"/>
        <w:tabs>
          <w:tab w:leader="none" w:pos="1200" w:val="left"/>
        </w:tabs>
        <w:numPr>
          <w:ilvl w:val="0"/>
          <w:numId w:val="58"/>
        </w:numPr>
        <w:rPr>
          <w:rFonts w:ascii="Courier New" w:cs="Courier New" w:eastAsia="Courier New" w:hAnsi="Courier New"/>
          <w:sz w:val="13"/>
          <w:szCs w:val="13"/>
          <w:color w:val="auto"/>
        </w:rPr>
      </w:pPr>
      <w:r>
        <w:rPr>
          <w:rFonts w:ascii="Courier New" w:cs="Courier New" w:eastAsia="Courier New" w:hAnsi="Courier New"/>
          <w:sz w:val="13"/>
          <w:szCs w:val="13"/>
          <w:color w:val="auto"/>
        </w:rPr>
        <w:t>Change of Buyer's manufacturing process leading to change the products listed under the sub-article 2.1.;</w:t>
      </w:r>
    </w:p>
    <w:p>
      <w:pPr>
        <w:spacing w:after="0" w:line="151" w:lineRule="exact"/>
        <w:rPr>
          <w:sz w:val="20"/>
          <w:szCs w:val="20"/>
          <w:color w:val="auto"/>
        </w:rPr>
      </w:pPr>
    </w:p>
    <w:p>
      <w:pPr>
        <w:ind w:left="720" w:right="3819"/>
        <w:spacing w:after="0" w:line="252" w:lineRule="auto"/>
        <w:rPr>
          <w:sz w:val="20"/>
          <w:szCs w:val="20"/>
          <w:color w:val="auto"/>
        </w:rPr>
      </w:pPr>
      <w:r>
        <w:rPr>
          <w:rFonts w:ascii="Courier New" w:cs="Courier New" w:eastAsia="Courier New" w:hAnsi="Courier New"/>
          <w:sz w:val="13"/>
          <w:szCs w:val="13"/>
          <w:b w:val="1"/>
          <w:bCs w:val="1"/>
          <w:color w:val="auto"/>
        </w:rPr>
        <w:t xml:space="preserve">13.2.3. </w:t>
      </w:r>
      <w:r>
        <w:rPr>
          <w:rFonts w:ascii="Courier New" w:cs="Courier New" w:eastAsia="Courier New" w:hAnsi="Courier New"/>
          <w:sz w:val="13"/>
          <w:szCs w:val="13"/>
          <w:color w:val="auto"/>
        </w:rPr>
        <w:t>In the event the Termination or suspension Notice is served,</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the Buyer shall compensate the Supplier for any direct cost relevant to the part of the Contract performed in the frame of the Contract and/or Agreed Purchase Order in full compliance with the relevant technical and qualitative requirements.</w:t>
      </w:r>
    </w:p>
    <w:p>
      <w:pPr>
        <w:spacing w:after="0" w:line="306" w:lineRule="exact"/>
        <w:rPr>
          <w:sz w:val="20"/>
          <w:szCs w:val="20"/>
          <w:color w:val="auto"/>
        </w:rPr>
      </w:pPr>
    </w:p>
    <w:p>
      <w:pPr>
        <w:ind w:left="2800"/>
        <w:spacing w:after="0"/>
        <w:rPr>
          <w:sz w:val="20"/>
          <w:szCs w:val="20"/>
          <w:color w:val="auto"/>
        </w:rPr>
      </w:pPr>
      <w:r>
        <w:rPr>
          <w:rFonts w:ascii="Courier New" w:cs="Courier New" w:eastAsia="Courier New" w:hAnsi="Courier New"/>
          <w:sz w:val="13"/>
          <w:szCs w:val="13"/>
          <w:color w:val="auto"/>
        </w:rPr>
        <w:t>Pagina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271145</wp:posOffset>
            </wp:positionV>
            <wp:extent cx="730440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4740"/>
        <w:spacing w:after="0"/>
        <w:rPr>
          <w:sz w:val="20"/>
          <w:szCs w:val="20"/>
          <w:color w:val="auto"/>
        </w:rPr>
      </w:pPr>
      <w:r>
        <w:rPr>
          <w:rFonts w:ascii="Courier New" w:cs="Courier New" w:eastAsia="Courier New" w:hAnsi="Courier New"/>
          <w:sz w:val="13"/>
          <w:szCs w:val="13"/>
          <w:color w:val="auto"/>
        </w:rPr>
        <w:t>Contract NN/02/RAW/ge</w:t>
      </w:r>
    </w:p>
    <w:p>
      <w:pPr>
        <w:spacing w:after="0" w:line="161" w:lineRule="exact"/>
        <w:rPr>
          <w:sz w:val="20"/>
          <w:szCs w:val="20"/>
          <w:color w:val="auto"/>
        </w:rPr>
      </w:pPr>
    </w:p>
    <w:p>
      <w:pPr>
        <w:ind w:left="800" w:right="3819"/>
        <w:spacing w:after="0" w:line="252" w:lineRule="auto"/>
        <w:rPr>
          <w:sz w:val="20"/>
          <w:szCs w:val="20"/>
          <w:color w:val="auto"/>
        </w:rPr>
      </w:pPr>
      <w:r>
        <w:rPr>
          <w:rFonts w:ascii="Courier New" w:cs="Courier New" w:eastAsia="Courier New" w:hAnsi="Courier New"/>
          <w:sz w:val="13"/>
          <w:szCs w:val="13"/>
          <w:color w:val="auto"/>
        </w:rPr>
        <w:t>Within 30 (thirty) Days from the Termination or suspension Notice, the Supplier shall submit to the Buyer the list of the activities and work-in-progress subject to termination together with a comprehensive description of their status and costs afforded for material and manpower.</w:t>
      </w:r>
    </w:p>
    <w:p>
      <w:pPr>
        <w:spacing w:after="0" w:line="152" w:lineRule="exact"/>
        <w:rPr>
          <w:sz w:val="20"/>
          <w:szCs w:val="20"/>
          <w:color w:val="auto"/>
        </w:rPr>
      </w:pPr>
    </w:p>
    <w:p>
      <w:pPr>
        <w:ind w:left="800" w:right="3979"/>
        <w:spacing w:after="0" w:line="252" w:lineRule="auto"/>
        <w:rPr>
          <w:sz w:val="20"/>
          <w:szCs w:val="20"/>
          <w:color w:val="auto"/>
        </w:rPr>
      </w:pPr>
      <w:r>
        <w:rPr>
          <w:rFonts w:ascii="Courier New" w:cs="Courier New" w:eastAsia="Courier New" w:hAnsi="Courier New"/>
          <w:sz w:val="13"/>
          <w:szCs w:val="13"/>
          <w:color w:val="auto"/>
        </w:rPr>
        <w:t>The reimbursement under the provisions of this Article shall be made only on the basis of the evidence produced by the Supplier and accepted by the Buyer, and shall, in no way, exceed the price which would have been paid by the Buyer for the terminated activity.</w:t>
      </w:r>
    </w:p>
    <w:p>
      <w:pPr>
        <w:spacing w:after="0" w:line="153" w:lineRule="exact"/>
        <w:rPr>
          <w:sz w:val="20"/>
          <w:szCs w:val="20"/>
          <w:color w:val="auto"/>
        </w:rPr>
      </w:pPr>
    </w:p>
    <w:p>
      <w:pPr>
        <w:ind w:left="800" w:right="3819"/>
        <w:spacing w:after="0" w:line="253" w:lineRule="auto"/>
        <w:rPr>
          <w:sz w:val="20"/>
          <w:szCs w:val="20"/>
          <w:color w:val="auto"/>
        </w:rPr>
      </w:pPr>
      <w:r>
        <w:rPr>
          <w:rFonts w:ascii="Courier New" w:cs="Courier New" w:eastAsia="Courier New" w:hAnsi="Courier New"/>
          <w:sz w:val="13"/>
          <w:szCs w:val="13"/>
          <w:color w:val="auto"/>
        </w:rPr>
        <w:t>At all times, the Supplier shall co-operate with the Buyer and do everything possible within its power to minimize and reduce the amount of Buyer's obligations in event of termination here above.</w:t>
      </w:r>
    </w:p>
    <w:p>
      <w:pPr>
        <w:spacing w:after="0" w:line="151" w:lineRule="exact"/>
        <w:rPr>
          <w:sz w:val="20"/>
          <w:szCs w:val="20"/>
          <w:color w:val="auto"/>
        </w:rPr>
      </w:pPr>
    </w:p>
    <w:p>
      <w:pPr>
        <w:jc w:val="both"/>
        <w:ind w:left="800" w:right="3899"/>
        <w:spacing w:after="0" w:line="253" w:lineRule="auto"/>
        <w:rPr>
          <w:sz w:val="20"/>
          <w:szCs w:val="20"/>
          <w:color w:val="auto"/>
        </w:rPr>
      </w:pPr>
      <w:r>
        <w:rPr>
          <w:rFonts w:ascii="Courier New" w:cs="Courier New" w:eastAsia="Courier New" w:hAnsi="Courier New"/>
          <w:sz w:val="13"/>
          <w:szCs w:val="13"/>
          <w:b w:val="1"/>
          <w:bCs w:val="1"/>
          <w:color w:val="auto"/>
        </w:rPr>
        <w:t xml:space="preserve">13.2.4. </w:t>
      </w:r>
      <w:r>
        <w:rPr>
          <w:rFonts w:ascii="Courier New" w:cs="Courier New" w:eastAsia="Courier New" w:hAnsi="Courier New"/>
          <w:sz w:val="13"/>
          <w:szCs w:val="13"/>
          <w:color w:val="auto"/>
        </w:rPr>
        <w:t>In the event of a force majeure when either party has failed</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to perform its obligation for more than 3 months, the other party may terminate the Contract without liability.</w:t>
      </w:r>
    </w:p>
    <w:p>
      <w:pPr>
        <w:spacing w:after="0" w:line="151" w:lineRule="exact"/>
        <w:rPr>
          <w:sz w:val="20"/>
          <w:szCs w:val="20"/>
          <w:color w:val="auto"/>
        </w:rPr>
      </w:pPr>
    </w:p>
    <w:p>
      <w:pPr>
        <w:ind w:left="800"/>
        <w:spacing w:after="0"/>
        <w:rPr>
          <w:sz w:val="20"/>
          <w:szCs w:val="20"/>
          <w:color w:val="auto"/>
        </w:rPr>
      </w:pPr>
      <w:r>
        <w:rPr>
          <w:rFonts w:ascii="Courier New" w:cs="Courier New" w:eastAsia="Courier New" w:hAnsi="Courier New"/>
          <w:sz w:val="13"/>
          <w:szCs w:val="13"/>
          <w:b w:val="1"/>
          <w:bCs w:val="1"/>
          <w:color w:val="auto"/>
        </w:rPr>
        <w:t>13.3. Termination for Break in Technology</w:t>
      </w:r>
    </w:p>
    <w:p>
      <w:pPr>
        <w:spacing w:after="0" w:line="161" w:lineRule="exact"/>
        <w:rPr>
          <w:sz w:val="20"/>
          <w:szCs w:val="20"/>
          <w:color w:val="auto"/>
        </w:rPr>
      </w:pPr>
    </w:p>
    <w:p>
      <w:pPr>
        <w:ind w:left="800"/>
        <w:spacing w:after="0"/>
        <w:rPr>
          <w:sz w:val="20"/>
          <w:szCs w:val="20"/>
          <w:color w:val="auto"/>
        </w:rPr>
      </w:pPr>
      <w:r>
        <w:rPr>
          <w:rFonts w:ascii="Courier New" w:cs="Courier New" w:eastAsia="Courier New" w:hAnsi="Courier New"/>
          <w:sz w:val="13"/>
          <w:szCs w:val="13"/>
          <w:b w:val="1"/>
          <w:bCs w:val="1"/>
          <w:color w:val="auto"/>
        </w:rPr>
        <w:t xml:space="preserve">13.3.1. </w:t>
      </w:r>
      <w:r>
        <w:rPr>
          <w:rFonts w:ascii="Courier New" w:cs="Courier New" w:eastAsia="Courier New" w:hAnsi="Courier New"/>
          <w:sz w:val="13"/>
          <w:szCs w:val="13"/>
          <w:color w:val="auto"/>
        </w:rPr>
        <w:t>If during the contract a new technology, unknown by</w:t>
      </w:r>
    </w:p>
    <w:p>
      <w:pPr>
        <w:spacing w:after="0" w:line="7" w:lineRule="exact"/>
        <w:rPr>
          <w:sz w:val="20"/>
          <w:szCs w:val="20"/>
          <w:color w:val="auto"/>
        </w:rPr>
      </w:pPr>
    </w:p>
    <w:p>
      <w:pPr>
        <w:ind w:left="800"/>
        <w:spacing w:after="0"/>
        <w:rPr>
          <w:sz w:val="20"/>
          <w:szCs w:val="20"/>
          <w:color w:val="auto"/>
        </w:rPr>
      </w:pPr>
      <w:r>
        <w:rPr>
          <w:rFonts w:ascii="Courier New" w:cs="Courier New" w:eastAsia="Courier New" w:hAnsi="Courier New"/>
          <w:sz w:val="13"/>
          <w:szCs w:val="13"/>
          <w:color w:val="auto"/>
        </w:rPr>
        <w:t>parties at the time of the signature of the contract appears, affect</w:t>
      </w:r>
    </w:p>
    <w:p>
      <w:pPr>
        <w:sectPr>
          <w:pgSz w:w="11900" w:h="16838" w:orient="portrait"/>
          <w:cols w:equalWidth="0" w:num="1">
            <w:col w:w="10239"/>
          </w:cols>
          <w:pgMar w:left="220" w:top="141" w:right="1440" w:bottom="0" w:gutter="0" w:footer="0" w:header="0"/>
        </w:sectPr>
      </w:pPr>
    </w:p>
    <w:bookmarkStart w:id="50" w:name="page51"/>
    <w:bookmarkEnd w:id="50"/>
    <w:p>
      <w:pPr>
        <w:ind w:left="800" w:right="3899"/>
        <w:spacing w:after="0" w:line="252" w:lineRule="auto"/>
        <w:rPr>
          <w:sz w:val="20"/>
          <w:szCs w:val="20"/>
          <w:color w:val="auto"/>
        </w:rPr>
      </w:pPr>
      <w:r>
        <w:rPr>
          <w:rFonts w:ascii="Courier New" w:cs="Courier New" w:eastAsia="Courier New" w:hAnsi="Courier New"/>
          <w:sz w:val="13"/>
          <w:szCs w:val="13"/>
          <w:color w:val="auto"/>
        </w:rPr>
        <w:t>the product, the process of the product either within the supplier or within the Buyer in such a way that : if Parties had known this technology, they evidently would not have agreed upon the contract ; in this case, a party could ask for an advance termination.</w:t>
      </w:r>
    </w:p>
    <w:p>
      <w:pPr>
        <w:spacing w:after="0" w:line="153" w:lineRule="exact"/>
        <w:rPr>
          <w:sz w:val="20"/>
          <w:szCs w:val="20"/>
          <w:color w:val="auto"/>
        </w:rPr>
      </w:pPr>
    </w:p>
    <w:p>
      <w:pPr>
        <w:ind w:left="800" w:right="3899"/>
        <w:spacing w:after="0" w:line="252" w:lineRule="auto"/>
        <w:rPr>
          <w:sz w:val="20"/>
          <w:szCs w:val="20"/>
          <w:color w:val="auto"/>
        </w:rPr>
      </w:pPr>
      <w:r>
        <w:rPr>
          <w:rFonts w:ascii="Courier New" w:cs="Courier New" w:eastAsia="Courier New" w:hAnsi="Courier New"/>
          <w:sz w:val="13"/>
          <w:szCs w:val="13"/>
          <w:b w:val="1"/>
          <w:bCs w:val="1"/>
          <w:color w:val="auto"/>
        </w:rPr>
        <w:t xml:space="preserve">13.3.2. </w:t>
      </w:r>
      <w:r>
        <w:rPr>
          <w:rFonts w:ascii="Courier New" w:cs="Courier New" w:eastAsia="Courier New" w:hAnsi="Courier New"/>
          <w:sz w:val="13"/>
          <w:szCs w:val="13"/>
          <w:color w:val="auto"/>
        </w:rPr>
        <w:t>The party asking for termination shall bring the evidence of</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such a situation. Providing the other party accept that evidence, the contract may be terminated not earlier than 6 months after notice of termination has been issued.</w:t>
      </w:r>
    </w:p>
    <w:p>
      <w:pPr>
        <w:spacing w:after="0" w:line="153" w:lineRule="exact"/>
        <w:rPr>
          <w:sz w:val="20"/>
          <w:szCs w:val="20"/>
          <w:color w:val="auto"/>
        </w:rPr>
      </w:pPr>
    </w:p>
    <w:p>
      <w:pPr>
        <w:ind w:left="800"/>
        <w:spacing w:after="0"/>
        <w:rPr>
          <w:sz w:val="20"/>
          <w:szCs w:val="20"/>
          <w:color w:val="auto"/>
        </w:rPr>
      </w:pPr>
      <w:r>
        <w:rPr>
          <w:rFonts w:ascii="Courier New" w:cs="Courier New" w:eastAsia="Courier New" w:hAnsi="Courier New"/>
          <w:sz w:val="13"/>
          <w:szCs w:val="13"/>
          <w:b w:val="1"/>
          <w:bCs w:val="1"/>
          <w:color w:val="auto"/>
        </w:rPr>
        <w:t>14- DURATION</w:t>
      </w:r>
    </w:p>
    <w:p>
      <w:pPr>
        <w:spacing w:after="0" w:line="161" w:lineRule="exact"/>
        <w:rPr>
          <w:sz w:val="20"/>
          <w:szCs w:val="20"/>
          <w:color w:val="auto"/>
        </w:rPr>
      </w:pPr>
    </w:p>
    <w:p>
      <w:pPr>
        <w:ind w:left="800" w:right="4059"/>
        <w:spacing w:after="0" w:line="254" w:lineRule="auto"/>
        <w:rPr>
          <w:sz w:val="20"/>
          <w:szCs w:val="20"/>
          <w:color w:val="auto"/>
        </w:rPr>
      </w:pPr>
      <w:r>
        <w:rPr>
          <w:rFonts w:ascii="Courier New" w:cs="Courier New" w:eastAsia="Courier New" w:hAnsi="Courier New"/>
          <w:sz w:val="13"/>
          <w:szCs w:val="13"/>
          <w:color w:val="auto"/>
        </w:rPr>
        <w:t>This agreement is valid from January 1st year 2002 to December 31st year 2005</w:t>
      </w:r>
    </w:p>
    <w:p>
      <w:pPr>
        <w:spacing w:after="0" w:line="151" w:lineRule="exact"/>
        <w:rPr>
          <w:sz w:val="20"/>
          <w:szCs w:val="20"/>
          <w:color w:val="auto"/>
        </w:rPr>
      </w:pPr>
    </w:p>
    <w:p>
      <w:pPr>
        <w:ind w:left="800" w:right="3899"/>
        <w:spacing w:after="0" w:line="252" w:lineRule="auto"/>
        <w:rPr>
          <w:sz w:val="20"/>
          <w:szCs w:val="20"/>
          <w:color w:val="auto"/>
        </w:rPr>
      </w:pPr>
      <w:r>
        <w:rPr>
          <w:rFonts w:ascii="Courier New" w:cs="Courier New" w:eastAsia="Courier New" w:hAnsi="Courier New"/>
          <w:sz w:val="13"/>
          <w:szCs w:val="13"/>
          <w:color w:val="auto"/>
        </w:rPr>
        <w:t>After December 31st 2005 the agreement will be automatically renewed every year following 2005 for consecutive periods of one year. If any of the parties is not willing for renew, a formal notice shall be addressed to the other party 12 (twelve) month before the date of contractual termination.</w:t>
      </w:r>
    </w:p>
    <w:p>
      <w:pPr>
        <w:spacing w:after="0" w:line="152" w:lineRule="exact"/>
        <w:rPr>
          <w:sz w:val="20"/>
          <w:szCs w:val="20"/>
          <w:color w:val="auto"/>
        </w:rPr>
      </w:pPr>
    </w:p>
    <w:p>
      <w:pPr>
        <w:ind w:left="720"/>
        <w:spacing w:after="0"/>
        <w:tabs>
          <w:tab w:leader="none" w:pos="1420" w:val="left"/>
        </w:tabs>
        <w:rPr>
          <w:sz w:val="20"/>
          <w:szCs w:val="20"/>
          <w:color w:val="auto"/>
        </w:rPr>
      </w:pPr>
      <w:r>
        <w:rPr>
          <w:rFonts w:ascii="Courier New" w:cs="Courier New" w:eastAsia="Courier New" w:hAnsi="Courier New"/>
          <w:sz w:val="13"/>
          <w:szCs w:val="13"/>
          <w:b w:val="1"/>
          <w:bCs w:val="1"/>
          <w:color w:val="auto"/>
        </w:rPr>
        <w:t>15 -</w:t>
      </w:r>
      <w:r>
        <w:rPr>
          <w:sz w:val="20"/>
          <w:szCs w:val="20"/>
          <w:color w:val="auto"/>
        </w:rPr>
        <w:tab/>
      </w:r>
      <w:r>
        <w:rPr>
          <w:rFonts w:ascii="Courier New" w:cs="Courier New" w:eastAsia="Courier New" w:hAnsi="Courier New"/>
          <w:sz w:val="13"/>
          <w:szCs w:val="13"/>
          <w:b w:val="1"/>
          <w:bCs w:val="1"/>
          <w:color w:val="auto"/>
        </w:rPr>
        <w:t>ASSIGNMENT</w:t>
      </w:r>
    </w:p>
    <w:p>
      <w:pPr>
        <w:spacing w:after="0" w:line="315" w:lineRule="exact"/>
        <w:rPr>
          <w:sz w:val="20"/>
          <w:szCs w:val="20"/>
          <w:color w:val="auto"/>
        </w:rPr>
      </w:pPr>
    </w:p>
    <w:p>
      <w:pPr>
        <w:ind w:left="2800"/>
        <w:spacing w:after="0"/>
        <w:rPr>
          <w:sz w:val="20"/>
          <w:szCs w:val="20"/>
          <w:color w:val="auto"/>
        </w:rPr>
      </w:pPr>
      <w:r>
        <w:rPr>
          <w:rFonts w:ascii="Courier New" w:cs="Courier New" w:eastAsia="Courier New" w:hAnsi="Courier New"/>
          <w:sz w:val="13"/>
          <w:szCs w:val="13"/>
          <w:color w:val="auto"/>
        </w:rPr>
        <w:t>Pagina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right"/>
        <w:ind w:right="3819"/>
        <w:spacing w:after="0"/>
        <w:rPr>
          <w:sz w:val="20"/>
          <w:szCs w:val="20"/>
          <w:color w:val="auto"/>
        </w:rPr>
      </w:pPr>
      <w:r>
        <w:rPr>
          <w:rFonts w:ascii="Courier New" w:cs="Courier New" w:eastAsia="Courier New" w:hAnsi="Courier New"/>
          <w:sz w:val="13"/>
          <w:szCs w:val="13"/>
          <w:color w:val="auto"/>
        </w:rPr>
        <w:t>Contract NN/02/RAW/ge</w:t>
      </w:r>
    </w:p>
    <w:p>
      <w:pPr>
        <w:spacing w:after="0" w:line="315" w:lineRule="exact"/>
        <w:rPr>
          <w:sz w:val="20"/>
          <w:szCs w:val="20"/>
          <w:color w:val="auto"/>
        </w:rPr>
      </w:pPr>
    </w:p>
    <w:p>
      <w:pPr>
        <w:ind w:left="800" w:right="3819"/>
        <w:spacing w:after="0" w:line="254" w:lineRule="auto"/>
        <w:rPr>
          <w:sz w:val="20"/>
          <w:szCs w:val="20"/>
          <w:color w:val="auto"/>
        </w:rPr>
      </w:pPr>
      <w:r>
        <w:rPr>
          <w:rFonts w:ascii="Courier New" w:cs="Courier New" w:eastAsia="Courier New" w:hAnsi="Courier New"/>
          <w:sz w:val="13"/>
          <w:szCs w:val="13"/>
          <w:color w:val="auto"/>
        </w:rPr>
        <w:t>This agreement may not be assigned or transferred for whatever reason by one party without the express written agreement of the other party.</w:t>
      </w:r>
    </w:p>
    <w:p>
      <w:pPr>
        <w:spacing w:after="0" w:line="305" w:lineRule="exact"/>
        <w:rPr>
          <w:sz w:val="20"/>
          <w:szCs w:val="20"/>
          <w:color w:val="auto"/>
        </w:rPr>
      </w:pPr>
    </w:p>
    <w:p>
      <w:pPr>
        <w:ind w:left="800"/>
        <w:spacing w:after="0"/>
        <w:rPr>
          <w:sz w:val="20"/>
          <w:szCs w:val="20"/>
          <w:color w:val="auto"/>
        </w:rPr>
      </w:pPr>
      <w:r>
        <w:rPr>
          <w:rFonts w:ascii="Courier New" w:cs="Courier New" w:eastAsia="Courier New" w:hAnsi="Courier New"/>
          <w:sz w:val="13"/>
          <w:szCs w:val="13"/>
          <w:b w:val="1"/>
          <w:bCs w:val="1"/>
          <w:color w:val="auto"/>
        </w:rPr>
        <w:t>16.1. APPLICABLE LAW</w:t>
      </w:r>
    </w:p>
    <w:p>
      <w:pPr>
        <w:spacing w:after="0" w:line="161" w:lineRule="exact"/>
        <w:rPr>
          <w:sz w:val="20"/>
          <w:szCs w:val="20"/>
          <w:color w:val="auto"/>
        </w:rPr>
      </w:pPr>
    </w:p>
    <w:p>
      <w:pPr>
        <w:ind w:left="800" w:right="3899"/>
        <w:spacing w:after="0" w:line="257" w:lineRule="auto"/>
        <w:rPr>
          <w:sz w:val="20"/>
          <w:szCs w:val="20"/>
          <w:color w:val="auto"/>
        </w:rPr>
      </w:pPr>
      <w:r>
        <w:rPr>
          <w:rFonts w:ascii="Courier New" w:cs="Courier New" w:eastAsia="Courier New" w:hAnsi="Courier New"/>
          <w:sz w:val="13"/>
          <w:szCs w:val="13"/>
          <w:color w:val="auto"/>
        </w:rPr>
        <w:t>The Contract shall be interpreted , construed and governed by and the relations between the Parties determined by the laws in force in Italy.</w:t>
      </w:r>
    </w:p>
    <w:p>
      <w:pPr>
        <w:spacing w:after="0" w:line="301" w:lineRule="exact"/>
        <w:rPr>
          <w:sz w:val="20"/>
          <w:szCs w:val="20"/>
          <w:color w:val="auto"/>
        </w:rPr>
      </w:pPr>
    </w:p>
    <w:p>
      <w:pPr>
        <w:ind w:left="800"/>
        <w:spacing w:after="0"/>
        <w:rPr>
          <w:sz w:val="20"/>
          <w:szCs w:val="20"/>
          <w:color w:val="auto"/>
        </w:rPr>
      </w:pPr>
      <w:r>
        <w:rPr>
          <w:rFonts w:ascii="Courier New" w:cs="Courier New" w:eastAsia="Courier New" w:hAnsi="Courier New"/>
          <w:sz w:val="13"/>
          <w:szCs w:val="13"/>
          <w:b w:val="1"/>
          <w:bCs w:val="1"/>
          <w:color w:val="auto"/>
        </w:rPr>
        <w:t>16.2 Disputes</w:t>
      </w:r>
    </w:p>
    <w:p>
      <w:pPr>
        <w:spacing w:after="0" w:line="161" w:lineRule="exact"/>
        <w:rPr>
          <w:sz w:val="20"/>
          <w:szCs w:val="20"/>
          <w:color w:val="auto"/>
        </w:rPr>
      </w:pPr>
    </w:p>
    <w:p>
      <w:pPr>
        <w:ind w:left="800" w:right="3899"/>
        <w:spacing w:after="0" w:line="252" w:lineRule="auto"/>
        <w:rPr>
          <w:sz w:val="20"/>
          <w:szCs w:val="20"/>
          <w:color w:val="auto"/>
        </w:rPr>
      </w:pPr>
      <w:r>
        <w:rPr>
          <w:rFonts w:ascii="Courier New" w:cs="Courier New" w:eastAsia="Courier New" w:hAnsi="Courier New"/>
          <w:sz w:val="13"/>
          <w:szCs w:val="13"/>
          <w:b w:val="1"/>
          <w:bCs w:val="1"/>
          <w:color w:val="auto"/>
        </w:rPr>
        <w:t xml:space="preserve">16.2.1 </w:t>
      </w:r>
      <w:r>
        <w:rPr>
          <w:rFonts w:ascii="Courier New" w:cs="Courier New" w:eastAsia="Courier New" w:hAnsi="Courier New"/>
          <w:sz w:val="13"/>
          <w:szCs w:val="13"/>
          <w:color w:val="auto"/>
        </w:rPr>
        <w:t>The Buyer and the Supplier recognize the importance of a good</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long term working relationship which will seek to minimize the possibility of potential areas of disputes and the importance of fast and cost-effective procedures to resolve Disputes under the Contract should the need arise.</w:t>
      </w:r>
    </w:p>
    <w:p>
      <w:pPr>
        <w:spacing w:after="0" w:line="152" w:lineRule="exact"/>
        <w:rPr>
          <w:sz w:val="20"/>
          <w:szCs w:val="20"/>
          <w:color w:val="auto"/>
        </w:rPr>
      </w:pPr>
    </w:p>
    <w:p>
      <w:pPr>
        <w:ind w:left="800" w:right="3899"/>
        <w:spacing w:after="0" w:line="253" w:lineRule="auto"/>
        <w:rPr>
          <w:sz w:val="20"/>
          <w:szCs w:val="20"/>
          <w:color w:val="auto"/>
        </w:rPr>
      </w:pPr>
      <w:r>
        <w:rPr>
          <w:rFonts w:ascii="Courier New" w:cs="Courier New" w:eastAsia="Courier New" w:hAnsi="Courier New"/>
          <w:sz w:val="13"/>
          <w:szCs w:val="13"/>
          <w:b w:val="1"/>
          <w:bCs w:val="1"/>
          <w:color w:val="auto"/>
        </w:rPr>
        <w:t xml:space="preserve">16.2.2. </w:t>
      </w:r>
      <w:r>
        <w:rPr>
          <w:rFonts w:ascii="Courier New" w:cs="Courier New" w:eastAsia="Courier New" w:hAnsi="Courier New"/>
          <w:sz w:val="13"/>
          <w:szCs w:val="13"/>
          <w:color w:val="auto"/>
        </w:rPr>
        <w:t>The Parties shall use all reasonable endeavors to resolve any</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Dispute, by informal discussion and good faith negotiation with the aim to reach an amicable settlement of such a Dispute.</w:t>
      </w:r>
    </w:p>
    <w:p>
      <w:pPr>
        <w:spacing w:after="0" w:line="151" w:lineRule="exact"/>
        <w:rPr>
          <w:sz w:val="20"/>
          <w:szCs w:val="20"/>
          <w:color w:val="auto"/>
        </w:rPr>
      </w:pPr>
    </w:p>
    <w:p>
      <w:pPr>
        <w:ind w:left="800" w:right="3899"/>
        <w:spacing w:after="0" w:line="252" w:lineRule="auto"/>
        <w:rPr>
          <w:sz w:val="20"/>
          <w:szCs w:val="20"/>
          <w:color w:val="auto"/>
        </w:rPr>
      </w:pPr>
      <w:r>
        <w:rPr>
          <w:rFonts w:ascii="Courier New" w:cs="Courier New" w:eastAsia="Courier New" w:hAnsi="Courier New"/>
          <w:sz w:val="13"/>
          <w:szCs w:val="13"/>
          <w:color w:val="auto"/>
        </w:rPr>
        <w:t>If the Dispute is not resolved within 15 (fifteen) Days from the date of the notice given to a Party by the other claiming the lack of respect of one or more of the contractual obligations, it will be escalated within both Parties which will have additional 20 (twenty) Days to reach an amicable settlement.</w:t>
      </w:r>
    </w:p>
    <w:p>
      <w:pPr>
        <w:spacing w:after="0" w:line="152" w:lineRule="exact"/>
        <w:rPr>
          <w:sz w:val="20"/>
          <w:szCs w:val="20"/>
          <w:color w:val="auto"/>
        </w:rPr>
      </w:pPr>
    </w:p>
    <w:p>
      <w:pPr>
        <w:ind w:left="800" w:right="3979"/>
        <w:spacing w:after="0" w:line="253" w:lineRule="auto"/>
        <w:rPr>
          <w:sz w:val="20"/>
          <w:szCs w:val="20"/>
          <w:color w:val="auto"/>
        </w:rPr>
      </w:pPr>
      <w:r>
        <w:rPr>
          <w:rFonts w:ascii="Courier New" w:cs="Courier New" w:eastAsia="Courier New" w:hAnsi="Courier New"/>
          <w:sz w:val="13"/>
          <w:szCs w:val="13"/>
          <w:color w:val="auto"/>
        </w:rPr>
        <w:t>Should the Parties fail to reach an amicable settlement, the Dispute shall be finally settled by arbitration in accordance with the provisions hereunder indicated.</w:t>
      </w:r>
    </w:p>
    <w:p>
      <w:pPr>
        <w:spacing w:after="0" w:line="151" w:lineRule="exact"/>
        <w:rPr>
          <w:sz w:val="20"/>
          <w:szCs w:val="20"/>
          <w:color w:val="auto"/>
        </w:rPr>
      </w:pPr>
    </w:p>
    <w:p>
      <w:pPr>
        <w:ind w:left="800" w:right="3819"/>
        <w:spacing w:after="0" w:line="251" w:lineRule="auto"/>
        <w:rPr>
          <w:sz w:val="20"/>
          <w:szCs w:val="20"/>
          <w:color w:val="auto"/>
        </w:rPr>
      </w:pPr>
      <w:r>
        <w:rPr>
          <w:rFonts w:ascii="Courier New" w:cs="Courier New" w:eastAsia="Courier New" w:hAnsi="Courier New"/>
          <w:sz w:val="13"/>
          <w:szCs w:val="13"/>
          <w:b w:val="1"/>
          <w:bCs w:val="1"/>
          <w:color w:val="auto"/>
        </w:rPr>
        <w:t xml:space="preserve">16.2.3. </w:t>
      </w:r>
      <w:r>
        <w:rPr>
          <w:rFonts w:ascii="Courier New" w:cs="Courier New" w:eastAsia="Courier New" w:hAnsi="Courier New"/>
          <w:sz w:val="13"/>
          <w:szCs w:val="13"/>
          <w:color w:val="auto"/>
        </w:rPr>
        <w:t>Any Dispute relating to the interpretation, application or</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termination for whatever reason of this Contract shall be finally settled by arbitration under the Rules of Conciliation and Arbitration of the International Chamber of Commerce of Geneva Switzerland by three arbitrators appointed in accordance with said rules, subject to the following conditions:</w:t>
      </w:r>
    </w:p>
    <w:p>
      <w:pPr>
        <w:spacing w:after="0" w:line="155" w:lineRule="exact"/>
        <w:rPr>
          <w:sz w:val="20"/>
          <w:szCs w:val="20"/>
          <w:color w:val="auto"/>
        </w:rPr>
      </w:pPr>
    </w:p>
    <w:p>
      <w:pPr>
        <w:ind w:left="1200" w:hanging="396"/>
        <w:spacing w:after="0"/>
        <w:tabs>
          <w:tab w:leader="none" w:pos="1200" w:val="left"/>
        </w:tabs>
        <w:numPr>
          <w:ilvl w:val="0"/>
          <w:numId w:val="59"/>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location of any such arbitration shall be Geneva Switzerland;</w:t>
      </w:r>
    </w:p>
    <w:p>
      <w:pPr>
        <w:spacing w:after="0" w:line="161" w:lineRule="exact"/>
        <w:rPr>
          <w:rFonts w:ascii="Courier New" w:cs="Courier New" w:eastAsia="Courier New" w:hAnsi="Courier New"/>
          <w:sz w:val="13"/>
          <w:szCs w:val="13"/>
          <w:color w:val="auto"/>
        </w:rPr>
      </w:pPr>
    </w:p>
    <w:p>
      <w:pPr>
        <w:ind w:left="1200" w:right="3819" w:hanging="396"/>
        <w:spacing w:after="0" w:line="253" w:lineRule="auto"/>
        <w:tabs>
          <w:tab w:leader="none" w:pos="1200" w:val="left"/>
        </w:tabs>
        <w:numPr>
          <w:ilvl w:val="0"/>
          <w:numId w:val="59"/>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language of the arbitration proceedings and of the award shall be English but the documents relevant to the Dispute may be produced in the original language;</w:t>
      </w:r>
    </w:p>
    <w:p>
      <w:pPr>
        <w:spacing w:after="0" w:line="151" w:lineRule="exact"/>
        <w:rPr>
          <w:rFonts w:ascii="Courier New" w:cs="Courier New" w:eastAsia="Courier New" w:hAnsi="Courier New"/>
          <w:sz w:val="13"/>
          <w:szCs w:val="13"/>
          <w:color w:val="auto"/>
        </w:rPr>
      </w:pPr>
    </w:p>
    <w:p>
      <w:pPr>
        <w:ind w:left="1200" w:right="3979" w:hanging="396"/>
        <w:spacing w:after="0" w:line="254" w:lineRule="auto"/>
        <w:tabs>
          <w:tab w:leader="none" w:pos="1200" w:val="left"/>
        </w:tabs>
        <w:numPr>
          <w:ilvl w:val="0"/>
          <w:numId w:val="59"/>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arbitrators shall decide the Dispute in accordance with the laws of the Italy.</w:t>
      </w:r>
    </w:p>
    <w:p>
      <w:pPr>
        <w:spacing w:after="0" w:line="305" w:lineRule="exact"/>
        <w:rPr>
          <w:sz w:val="20"/>
          <w:szCs w:val="20"/>
          <w:color w:val="auto"/>
        </w:rPr>
      </w:pPr>
    </w:p>
    <w:p>
      <w:pPr>
        <w:ind w:left="2800"/>
        <w:spacing w:after="0"/>
        <w:rPr>
          <w:sz w:val="20"/>
          <w:szCs w:val="20"/>
          <w:color w:val="auto"/>
        </w:rPr>
      </w:pPr>
      <w:r>
        <w:rPr>
          <w:rFonts w:ascii="Courier New" w:cs="Courier New" w:eastAsia="Courier New" w:hAnsi="Courier New"/>
          <w:sz w:val="13"/>
          <w:szCs w:val="13"/>
          <w:color w:val="auto"/>
        </w:rPr>
        <w:t>Pagina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right"/>
        <w:ind w:right="3819"/>
        <w:spacing w:after="0"/>
        <w:rPr>
          <w:sz w:val="20"/>
          <w:szCs w:val="20"/>
          <w:color w:val="auto"/>
        </w:rPr>
      </w:pPr>
      <w:r>
        <w:rPr>
          <w:rFonts w:ascii="Courier New" w:cs="Courier New" w:eastAsia="Courier New" w:hAnsi="Courier New"/>
          <w:sz w:val="13"/>
          <w:szCs w:val="13"/>
          <w:color w:val="auto"/>
        </w:rPr>
        <w:t>Contract NN/02/RAW/ge</w:t>
      </w:r>
    </w:p>
    <w:p>
      <w:pPr>
        <w:spacing w:after="0" w:line="161" w:lineRule="exact"/>
        <w:rPr>
          <w:sz w:val="20"/>
          <w:szCs w:val="20"/>
          <w:color w:val="auto"/>
        </w:rPr>
      </w:pPr>
    </w:p>
    <w:p>
      <w:pPr>
        <w:ind w:left="1200" w:right="3979" w:hanging="396"/>
        <w:spacing w:after="0" w:line="253" w:lineRule="auto"/>
        <w:tabs>
          <w:tab w:leader="none" w:pos="1200" w:val="left"/>
        </w:tabs>
        <w:numPr>
          <w:ilvl w:val="0"/>
          <w:numId w:val="60"/>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award of the arbitrators shall be final and shall not be subject to any appeal or recourse of any kind. This award shall determine the apportionment of the arbitration expenses.</w:t>
      </w:r>
    </w:p>
    <w:p>
      <w:pPr>
        <w:spacing w:after="0" w:line="151" w:lineRule="exact"/>
        <w:rPr>
          <w:sz w:val="20"/>
          <w:szCs w:val="20"/>
          <w:color w:val="auto"/>
        </w:rPr>
      </w:pPr>
    </w:p>
    <w:p>
      <w:pPr>
        <w:ind w:left="800"/>
        <w:spacing w:after="0"/>
        <w:rPr>
          <w:sz w:val="20"/>
          <w:szCs w:val="20"/>
          <w:color w:val="auto"/>
        </w:rPr>
      </w:pPr>
      <w:r>
        <w:rPr>
          <w:rFonts w:ascii="Courier New" w:cs="Courier New" w:eastAsia="Courier New" w:hAnsi="Courier New"/>
          <w:sz w:val="13"/>
          <w:szCs w:val="13"/>
          <w:b w:val="1"/>
          <w:bCs w:val="1"/>
          <w:color w:val="auto"/>
        </w:rPr>
        <w:t>16.2.4.</w:t>
      </w:r>
      <w:r>
        <w:rPr>
          <w:rFonts w:ascii="Courier New" w:cs="Courier New" w:eastAsia="Courier New" w:hAnsi="Courier New"/>
          <w:sz w:val="13"/>
          <w:szCs w:val="13"/>
          <w:color w:val="auto"/>
        </w:rPr>
        <w:t>During the settlement of the Dispute, the parties shall</w:t>
      </w:r>
    </w:p>
    <w:p>
      <w:pPr>
        <w:spacing w:after="0" w:line="7" w:lineRule="exact"/>
        <w:rPr>
          <w:sz w:val="20"/>
          <w:szCs w:val="20"/>
          <w:color w:val="auto"/>
        </w:rPr>
      </w:pPr>
    </w:p>
    <w:p>
      <w:pPr>
        <w:ind w:left="800"/>
        <w:spacing w:after="0"/>
        <w:rPr>
          <w:sz w:val="20"/>
          <w:szCs w:val="20"/>
          <w:color w:val="auto"/>
        </w:rPr>
      </w:pPr>
      <w:r>
        <w:rPr>
          <w:rFonts w:ascii="Courier New" w:cs="Courier New" w:eastAsia="Courier New" w:hAnsi="Courier New"/>
          <w:sz w:val="13"/>
          <w:szCs w:val="13"/>
          <w:color w:val="auto"/>
        </w:rPr>
        <w:t>continue to perform their Contractual obligations.</w:t>
      </w:r>
    </w:p>
    <w:p>
      <w:pPr>
        <w:spacing w:after="0" w:line="161" w:lineRule="exact"/>
        <w:rPr>
          <w:sz w:val="20"/>
          <w:szCs w:val="20"/>
          <w:color w:val="auto"/>
        </w:rPr>
      </w:pPr>
    </w:p>
    <w:p>
      <w:pPr>
        <w:ind w:left="800" w:right="4059"/>
        <w:spacing w:after="0" w:line="253" w:lineRule="auto"/>
        <w:rPr>
          <w:sz w:val="20"/>
          <w:szCs w:val="20"/>
          <w:color w:val="auto"/>
        </w:rPr>
      </w:pPr>
      <w:r>
        <w:rPr>
          <w:rFonts w:ascii="Courier New" w:cs="Courier New" w:eastAsia="Courier New" w:hAnsi="Courier New"/>
          <w:sz w:val="13"/>
          <w:szCs w:val="13"/>
          <w:color w:val="auto"/>
        </w:rPr>
        <w:t>The provisions of this agreement shall supersede, and in particular with regard to the Supplier's and Buyer's respective general or special conditions of sale and of purchase.</w:t>
      </w:r>
    </w:p>
    <w:p>
      <w:pPr>
        <w:spacing w:after="0" w:line="305" w:lineRule="exact"/>
        <w:rPr>
          <w:sz w:val="20"/>
          <w:szCs w:val="20"/>
          <w:color w:val="auto"/>
        </w:rPr>
      </w:pPr>
    </w:p>
    <w:p>
      <w:pPr>
        <w:ind w:left="720" w:hanging="718"/>
        <w:spacing w:after="0"/>
        <w:tabs>
          <w:tab w:leader="none" w:pos="720" w:val="left"/>
        </w:tabs>
        <w:numPr>
          <w:ilvl w:val="0"/>
          <w:numId w:val="61"/>
        </w:numPr>
        <w:rPr>
          <w:rFonts w:ascii="Courier New" w:cs="Courier New" w:eastAsia="Courier New" w:hAnsi="Courier New"/>
          <w:sz w:val="13"/>
          <w:szCs w:val="13"/>
          <w:b w:val="1"/>
          <w:bCs w:val="1"/>
          <w:color w:val="auto"/>
        </w:rPr>
      </w:pPr>
      <w:r>
        <w:rPr>
          <w:rFonts w:ascii="Courier New" w:cs="Courier New" w:eastAsia="Courier New" w:hAnsi="Courier New"/>
          <w:sz w:val="13"/>
          <w:szCs w:val="13"/>
          <w:b w:val="1"/>
          <w:bCs w:val="1"/>
          <w:color w:val="auto"/>
        </w:rPr>
        <w:t>COMPANY CONFIDENTIAL INFORMATION</w:t>
      </w:r>
    </w:p>
    <w:p>
      <w:pPr>
        <w:spacing w:after="0" w:line="161" w:lineRule="exact"/>
        <w:rPr>
          <w:sz w:val="20"/>
          <w:szCs w:val="20"/>
          <w:color w:val="auto"/>
        </w:rPr>
      </w:pPr>
    </w:p>
    <w:p>
      <w:pPr>
        <w:ind w:left="800" w:right="3899"/>
        <w:spacing w:after="0" w:line="251" w:lineRule="auto"/>
        <w:rPr>
          <w:sz w:val="20"/>
          <w:szCs w:val="20"/>
          <w:color w:val="auto"/>
        </w:rPr>
      </w:pPr>
      <w:r>
        <w:rPr>
          <w:rFonts w:ascii="Courier New" w:cs="Courier New" w:eastAsia="Courier New" w:hAnsi="Courier New"/>
          <w:sz w:val="13"/>
          <w:szCs w:val="13"/>
          <w:b w:val="1"/>
          <w:bCs w:val="1"/>
          <w:color w:val="auto"/>
        </w:rPr>
        <w:t xml:space="preserve">17.1. </w:t>
      </w:r>
      <w:r>
        <w:rPr>
          <w:rFonts w:ascii="Courier New" w:cs="Courier New" w:eastAsia="Courier New" w:hAnsi="Courier New"/>
          <w:sz w:val="13"/>
          <w:szCs w:val="13"/>
          <w:color w:val="auto"/>
        </w:rPr>
        <w:t>During the term and pursuant to the provisions of the Contract,</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the Parties hereto may exchange information, data and other communications of whatsoever kind, which contain trade secrets of financial, commercial, scientific or technical information (hereinafter referred to as "Confidential Information") which each Party considers proprietary or confidential.</w:t>
      </w:r>
    </w:p>
    <w:p>
      <w:pPr>
        <w:sectPr>
          <w:pgSz w:w="11900" w:h="16838" w:orient="portrait"/>
          <w:cols w:equalWidth="0" w:num="1">
            <w:col w:w="10239"/>
          </w:cols>
          <w:pgMar w:left="220" w:top="141" w:right="1440" w:bottom="0" w:gutter="0" w:footer="0" w:header="0"/>
        </w:sectPr>
      </w:pPr>
    </w:p>
    <w:bookmarkStart w:id="51" w:name="page52"/>
    <w:bookmarkEnd w:id="51"/>
    <w:p>
      <w:pPr>
        <w:ind w:left="798" w:right="3979"/>
        <w:spacing w:after="0" w:line="253" w:lineRule="auto"/>
        <w:rPr>
          <w:sz w:val="20"/>
          <w:szCs w:val="20"/>
          <w:color w:val="auto"/>
        </w:rPr>
      </w:pPr>
      <w:r>
        <w:rPr>
          <w:rFonts w:ascii="Courier New" w:cs="Courier New" w:eastAsia="Courier New" w:hAnsi="Courier New"/>
          <w:sz w:val="13"/>
          <w:szCs w:val="13"/>
          <w:b w:val="1"/>
          <w:bCs w:val="1"/>
          <w:color w:val="auto"/>
        </w:rPr>
        <w:t xml:space="preserve">17.2. </w:t>
      </w:r>
      <w:r>
        <w:rPr>
          <w:rFonts w:ascii="Courier New" w:cs="Courier New" w:eastAsia="Courier New" w:hAnsi="Courier New"/>
          <w:sz w:val="13"/>
          <w:szCs w:val="13"/>
          <w:color w:val="auto"/>
        </w:rPr>
        <w:t>The receiving Party agrees that it will keep in confidence and</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not disclose to any third parties such Confidential Information, except for:</w:t>
      </w:r>
    </w:p>
    <w:p>
      <w:pPr>
        <w:spacing w:after="0" w:line="151" w:lineRule="exact"/>
        <w:rPr>
          <w:sz w:val="20"/>
          <w:szCs w:val="20"/>
          <w:color w:val="auto"/>
        </w:rPr>
      </w:pPr>
    </w:p>
    <w:p>
      <w:pPr>
        <w:ind w:left="1198" w:hanging="396"/>
        <w:spacing w:after="0"/>
        <w:tabs>
          <w:tab w:leader="none" w:pos="1198" w:val="left"/>
        </w:tabs>
        <w:numPr>
          <w:ilvl w:val="0"/>
          <w:numId w:val="62"/>
        </w:numPr>
        <w:rPr>
          <w:rFonts w:ascii="Courier New" w:cs="Courier New" w:eastAsia="Courier New" w:hAnsi="Courier New"/>
          <w:sz w:val="13"/>
          <w:szCs w:val="13"/>
          <w:color w:val="auto"/>
        </w:rPr>
      </w:pPr>
      <w:r>
        <w:rPr>
          <w:rFonts w:ascii="Courier New" w:cs="Courier New" w:eastAsia="Courier New" w:hAnsi="Courier New"/>
          <w:sz w:val="13"/>
          <w:szCs w:val="13"/>
          <w:color w:val="auto"/>
        </w:rPr>
        <w:t>its own employees;</w:t>
      </w:r>
    </w:p>
    <w:p>
      <w:pPr>
        <w:spacing w:after="0" w:line="161" w:lineRule="exact"/>
        <w:rPr>
          <w:rFonts w:ascii="Courier New" w:cs="Courier New" w:eastAsia="Courier New" w:hAnsi="Courier New"/>
          <w:sz w:val="13"/>
          <w:szCs w:val="13"/>
          <w:color w:val="auto"/>
        </w:rPr>
      </w:pPr>
    </w:p>
    <w:p>
      <w:pPr>
        <w:ind w:left="1198" w:right="4539" w:hanging="396"/>
        <w:spacing w:after="0" w:line="254" w:lineRule="auto"/>
        <w:tabs>
          <w:tab w:leader="none" w:pos="1198" w:val="left"/>
        </w:tabs>
        <w:numPr>
          <w:ilvl w:val="0"/>
          <w:numId w:val="62"/>
        </w:numPr>
        <w:rPr>
          <w:rFonts w:ascii="Courier New" w:cs="Courier New" w:eastAsia="Courier New" w:hAnsi="Courier New"/>
          <w:sz w:val="13"/>
          <w:szCs w:val="13"/>
          <w:color w:val="auto"/>
        </w:rPr>
      </w:pPr>
      <w:r>
        <w:rPr>
          <w:rFonts w:ascii="Courier New" w:cs="Courier New" w:eastAsia="Courier New" w:hAnsi="Courier New"/>
          <w:sz w:val="13"/>
          <w:szCs w:val="13"/>
          <w:color w:val="auto"/>
        </w:rPr>
        <w:t>employees of its Partner Companies, affiliate companies, subsidiaries and subcontractors-at-all-levels;</w:t>
      </w:r>
    </w:p>
    <w:p>
      <w:pPr>
        <w:spacing w:after="0" w:line="151" w:lineRule="exact"/>
        <w:rPr>
          <w:sz w:val="20"/>
          <w:szCs w:val="20"/>
          <w:color w:val="auto"/>
        </w:rPr>
      </w:pPr>
    </w:p>
    <w:p>
      <w:pPr>
        <w:ind w:left="798"/>
        <w:spacing w:after="0"/>
        <w:rPr>
          <w:sz w:val="20"/>
          <w:szCs w:val="20"/>
          <w:color w:val="auto"/>
        </w:rPr>
      </w:pPr>
      <w:r>
        <w:rPr>
          <w:rFonts w:ascii="Courier New" w:cs="Courier New" w:eastAsia="Courier New" w:hAnsi="Courier New"/>
          <w:sz w:val="13"/>
          <w:szCs w:val="13"/>
          <w:color w:val="auto"/>
        </w:rPr>
        <w:t>that are involved in the Contract on a "need-to-know basis".</w:t>
      </w:r>
    </w:p>
    <w:p>
      <w:pPr>
        <w:spacing w:after="0" w:line="161" w:lineRule="exact"/>
        <w:rPr>
          <w:sz w:val="20"/>
          <w:szCs w:val="20"/>
          <w:color w:val="auto"/>
        </w:rPr>
      </w:pPr>
    </w:p>
    <w:p>
      <w:pPr>
        <w:ind w:left="798" w:right="3979"/>
        <w:spacing w:after="0" w:line="252" w:lineRule="auto"/>
        <w:rPr>
          <w:sz w:val="20"/>
          <w:szCs w:val="20"/>
          <w:color w:val="auto"/>
        </w:rPr>
      </w:pPr>
      <w:r>
        <w:rPr>
          <w:rFonts w:ascii="Courier New" w:cs="Courier New" w:eastAsia="Courier New" w:hAnsi="Courier New"/>
          <w:sz w:val="13"/>
          <w:szCs w:val="13"/>
          <w:color w:val="auto"/>
        </w:rPr>
        <w:t>Furthermore the receiving Party shall at all times take all measures reasonably necessary for the protection of the Confidential Information and any part of it from espionage, sabotage, theft, appropriation or destruction.</w:t>
      </w:r>
    </w:p>
    <w:p>
      <w:pPr>
        <w:spacing w:after="0" w:line="153" w:lineRule="exact"/>
        <w:rPr>
          <w:sz w:val="20"/>
          <w:szCs w:val="20"/>
          <w:color w:val="auto"/>
        </w:rPr>
      </w:pPr>
    </w:p>
    <w:p>
      <w:pPr>
        <w:ind w:left="798" w:right="3899"/>
        <w:spacing w:after="0" w:line="251" w:lineRule="auto"/>
        <w:rPr>
          <w:sz w:val="20"/>
          <w:szCs w:val="20"/>
          <w:color w:val="auto"/>
        </w:rPr>
      </w:pPr>
      <w:r>
        <w:rPr>
          <w:rFonts w:ascii="Courier New" w:cs="Courier New" w:eastAsia="Courier New" w:hAnsi="Courier New"/>
          <w:sz w:val="13"/>
          <w:szCs w:val="13"/>
          <w:b w:val="1"/>
          <w:bCs w:val="1"/>
          <w:color w:val="auto"/>
        </w:rPr>
        <w:t xml:space="preserve">17.3. </w:t>
      </w:r>
      <w:r>
        <w:rPr>
          <w:rFonts w:ascii="Courier New" w:cs="Courier New" w:eastAsia="Courier New" w:hAnsi="Courier New"/>
          <w:sz w:val="13"/>
          <w:szCs w:val="13"/>
          <w:color w:val="auto"/>
        </w:rPr>
        <w:t>The obligation of the Parties under this Article, in respect</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of any Confidential Information, shall continue for a period of 10 (ten) years or for the period stated by the applicable laws, from the date of receipt of such Confidential Information by the receiving Party and shall not cease at the expiry or earlier termination of the Contract and/or Agreed Purchase Order.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798"/>
        <w:spacing w:after="0"/>
        <w:rPr>
          <w:sz w:val="20"/>
          <w:szCs w:val="20"/>
          <w:color w:val="auto"/>
        </w:rPr>
      </w:pPr>
      <w:r>
        <w:rPr>
          <w:rFonts w:ascii="Courier New" w:cs="Courier New" w:eastAsia="Courier New" w:hAnsi="Courier New"/>
          <w:sz w:val="13"/>
          <w:szCs w:val="13"/>
          <w:color w:val="auto"/>
        </w:rPr>
        <w:t>Pagina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75565</wp:posOffset>
            </wp:positionV>
            <wp:extent cx="730440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75" w:lineRule="exact"/>
        <w:rPr>
          <w:sz w:val="20"/>
          <w:szCs w:val="20"/>
          <w:color w:val="auto"/>
        </w:rPr>
      </w:pPr>
    </w:p>
    <w:p>
      <w:pPr>
        <w:ind w:left="4738"/>
        <w:spacing w:after="0"/>
        <w:rPr>
          <w:sz w:val="20"/>
          <w:szCs w:val="20"/>
          <w:color w:val="auto"/>
        </w:rPr>
      </w:pPr>
      <w:r>
        <w:rPr>
          <w:rFonts w:ascii="Courier New" w:cs="Courier New" w:eastAsia="Courier New" w:hAnsi="Courier New"/>
          <w:sz w:val="13"/>
          <w:szCs w:val="13"/>
          <w:color w:val="auto"/>
        </w:rPr>
        <w:t>Contract NN/02/RAW/ge</w:t>
      </w:r>
    </w:p>
    <w:p>
      <w:pPr>
        <w:spacing w:after="0" w:line="315" w:lineRule="exact"/>
        <w:rPr>
          <w:sz w:val="20"/>
          <w:szCs w:val="20"/>
          <w:color w:val="auto"/>
        </w:rPr>
      </w:pPr>
    </w:p>
    <w:p>
      <w:pPr>
        <w:ind w:left="798" w:right="4059"/>
        <w:spacing w:after="0" w:line="254" w:lineRule="auto"/>
        <w:rPr>
          <w:sz w:val="20"/>
          <w:szCs w:val="20"/>
          <w:color w:val="auto"/>
        </w:rPr>
      </w:pPr>
      <w:r>
        <w:rPr>
          <w:rFonts w:ascii="Courier New" w:cs="Courier New" w:eastAsia="Courier New" w:hAnsi="Courier New"/>
          <w:sz w:val="13"/>
          <w:szCs w:val="13"/>
          <w:b w:val="1"/>
          <w:bCs w:val="1"/>
          <w:color w:val="auto"/>
        </w:rPr>
        <w:t xml:space="preserve">17.4. </w:t>
      </w:r>
      <w:r>
        <w:rPr>
          <w:rFonts w:ascii="Courier New" w:cs="Courier New" w:eastAsia="Courier New" w:hAnsi="Courier New"/>
          <w:sz w:val="13"/>
          <w:szCs w:val="13"/>
          <w:color w:val="auto"/>
        </w:rPr>
        <w:t>The receiving Party shall not be liable for disclosure or use</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outside the Contract of the Confidential Information if the same:</w:t>
      </w:r>
    </w:p>
    <w:p>
      <w:pPr>
        <w:spacing w:after="0" w:line="151" w:lineRule="exact"/>
        <w:rPr>
          <w:sz w:val="20"/>
          <w:szCs w:val="20"/>
          <w:color w:val="auto"/>
        </w:rPr>
      </w:pPr>
    </w:p>
    <w:p>
      <w:pPr>
        <w:ind w:left="1198" w:right="3819" w:hanging="396"/>
        <w:spacing w:after="0" w:line="253" w:lineRule="auto"/>
        <w:tabs>
          <w:tab w:leader="none" w:pos="1198" w:val="left"/>
        </w:tabs>
        <w:numPr>
          <w:ilvl w:val="0"/>
          <w:numId w:val="63"/>
        </w:numPr>
        <w:rPr>
          <w:rFonts w:ascii="Courier New" w:cs="Courier New" w:eastAsia="Courier New" w:hAnsi="Courier New"/>
          <w:sz w:val="13"/>
          <w:szCs w:val="13"/>
          <w:color w:val="auto"/>
        </w:rPr>
      </w:pPr>
      <w:r>
        <w:rPr>
          <w:rFonts w:ascii="Courier New" w:cs="Courier New" w:eastAsia="Courier New" w:hAnsi="Courier New"/>
          <w:sz w:val="13"/>
          <w:szCs w:val="13"/>
          <w:color w:val="auto"/>
        </w:rPr>
        <w:t>was already in the possession of the receiving Party prior to the disclosure as evidenced by being recorded in its files or being in its use prior to its receipt; or</w:t>
      </w:r>
    </w:p>
    <w:p>
      <w:pPr>
        <w:spacing w:after="0" w:line="151" w:lineRule="exact"/>
        <w:rPr>
          <w:rFonts w:ascii="Courier New" w:cs="Courier New" w:eastAsia="Courier New" w:hAnsi="Courier New"/>
          <w:sz w:val="13"/>
          <w:szCs w:val="13"/>
          <w:color w:val="auto"/>
        </w:rPr>
      </w:pPr>
    </w:p>
    <w:p>
      <w:pPr>
        <w:ind w:left="1198" w:right="3979" w:hanging="396"/>
        <w:spacing w:after="0" w:line="253" w:lineRule="auto"/>
        <w:tabs>
          <w:tab w:leader="none" w:pos="1198" w:val="left"/>
        </w:tabs>
        <w:numPr>
          <w:ilvl w:val="0"/>
          <w:numId w:val="63"/>
        </w:numPr>
        <w:rPr>
          <w:rFonts w:ascii="Courier New" w:cs="Courier New" w:eastAsia="Courier New" w:hAnsi="Courier New"/>
          <w:sz w:val="13"/>
          <w:szCs w:val="13"/>
          <w:color w:val="auto"/>
        </w:rPr>
      </w:pPr>
      <w:r>
        <w:rPr>
          <w:rFonts w:ascii="Courier New" w:cs="Courier New" w:eastAsia="Courier New" w:hAnsi="Courier New"/>
          <w:sz w:val="13"/>
          <w:szCs w:val="13"/>
          <w:color w:val="auto"/>
        </w:rPr>
        <w:t>was in or subsequently passes into the public domain otherwise than as a result of breach of the provisions of this Article by the receiving Party; or</w:t>
      </w:r>
    </w:p>
    <w:p>
      <w:pPr>
        <w:spacing w:after="0" w:line="151" w:lineRule="exact"/>
        <w:rPr>
          <w:rFonts w:ascii="Courier New" w:cs="Courier New" w:eastAsia="Courier New" w:hAnsi="Courier New"/>
          <w:sz w:val="13"/>
          <w:szCs w:val="13"/>
          <w:color w:val="auto"/>
        </w:rPr>
      </w:pPr>
    </w:p>
    <w:p>
      <w:pPr>
        <w:ind w:left="1198" w:right="3819" w:hanging="396"/>
        <w:spacing w:after="0" w:line="253" w:lineRule="auto"/>
        <w:tabs>
          <w:tab w:leader="none" w:pos="1198" w:val="left"/>
        </w:tabs>
        <w:numPr>
          <w:ilvl w:val="0"/>
          <w:numId w:val="63"/>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comes into possession of the receiving Party after the signature of the Contract as a result of independent research or disclosure by a third party without breach of the Contract, or</w:t>
      </w:r>
    </w:p>
    <w:p>
      <w:pPr>
        <w:spacing w:after="0" w:line="151" w:lineRule="exact"/>
        <w:rPr>
          <w:rFonts w:ascii="Courier New" w:cs="Courier New" w:eastAsia="Courier New" w:hAnsi="Courier New"/>
          <w:sz w:val="13"/>
          <w:szCs w:val="13"/>
          <w:color w:val="auto"/>
        </w:rPr>
      </w:pPr>
    </w:p>
    <w:p>
      <w:pPr>
        <w:ind w:left="1198" w:right="3899" w:hanging="396"/>
        <w:spacing w:after="0" w:line="253" w:lineRule="auto"/>
        <w:tabs>
          <w:tab w:leader="none" w:pos="1198" w:val="left"/>
        </w:tabs>
        <w:numPr>
          <w:ilvl w:val="0"/>
          <w:numId w:val="63"/>
        </w:numPr>
        <w:rPr>
          <w:rFonts w:ascii="Courier New" w:cs="Courier New" w:eastAsia="Courier New" w:hAnsi="Courier New"/>
          <w:sz w:val="13"/>
          <w:szCs w:val="13"/>
          <w:color w:val="auto"/>
        </w:rPr>
      </w:pPr>
      <w:r>
        <w:rPr>
          <w:rFonts w:ascii="Courier New" w:cs="Courier New" w:eastAsia="Courier New" w:hAnsi="Courier New"/>
          <w:sz w:val="13"/>
          <w:szCs w:val="13"/>
          <w:color w:val="auto"/>
        </w:rPr>
        <w:t>is independently developed by an employee of the receiving party to whom no disclosure of the Confidential information has been made;</w:t>
      </w:r>
    </w:p>
    <w:p>
      <w:pPr>
        <w:spacing w:after="0" w:line="151" w:lineRule="exact"/>
        <w:rPr>
          <w:rFonts w:ascii="Courier New" w:cs="Courier New" w:eastAsia="Courier New" w:hAnsi="Courier New"/>
          <w:sz w:val="13"/>
          <w:szCs w:val="13"/>
          <w:color w:val="auto"/>
        </w:rPr>
      </w:pPr>
    </w:p>
    <w:p>
      <w:pPr>
        <w:ind w:left="1198" w:right="4059" w:hanging="396"/>
        <w:spacing w:after="0" w:line="254" w:lineRule="auto"/>
        <w:tabs>
          <w:tab w:leader="none" w:pos="1198" w:val="left"/>
        </w:tabs>
        <w:numPr>
          <w:ilvl w:val="0"/>
          <w:numId w:val="63"/>
        </w:numPr>
        <w:rPr>
          <w:rFonts w:ascii="Courier New" w:cs="Courier New" w:eastAsia="Courier New" w:hAnsi="Courier New"/>
          <w:sz w:val="13"/>
          <w:szCs w:val="13"/>
          <w:color w:val="auto"/>
        </w:rPr>
      </w:pPr>
      <w:r>
        <w:rPr>
          <w:rFonts w:ascii="Courier New" w:cs="Courier New" w:eastAsia="Courier New" w:hAnsi="Courier New"/>
          <w:sz w:val="13"/>
          <w:szCs w:val="13"/>
          <w:color w:val="auto"/>
        </w:rPr>
        <w:t>is disclosed with the prior written approval of the disclosing Party.</w:t>
      </w:r>
    </w:p>
    <w:p>
      <w:pPr>
        <w:spacing w:after="0" w:line="151" w:lineRule="exact"/>
        <w:rPr>
          <w:sz w:val="20"/>
          <w:szCs w:val="20"/>
          <w:color w:val="auto"/>
        </w:rPr>
      </w:pPr>
    </w:p>
    <w:p>
      <w:pPr>
        <w:ind w:left="798"/>
        <w:spacing w:after="0"/>
        <w:rPr>
          <w:sz w:val="20"/>
          <w:szCs w:val="20"/>
          <w:color w:val="auto"/>
        </w:rPr>
      </w:pPr>
      <w:r>
        <w:rPr>
          <w:rFonts w:ascii="Courier New" w:cs="Courier New" w:eastAsia="Courier New" w:hAnsi="Courier New"/>
          <w:sz w:val="13"/>
          <w:szCs w:val="13"/>
          <w:b w:val="1"/>
          <w:bCs w:val="1"/>
          <w:color w:val="auto"/>
        </w:rPr>
        <w:t xml:space="preserve">17.5. </w:t>
      </w:r>
      <w:r>
        <w:rPr>
          <w:rFonts w:ascii="Courier New" w:cs="Courier New" w:eastAsia="Courier New" w:hAnsi="Courier New"/>
          <w:sz w:val="13"/>
          <w:szCs w:val="13"/>
          <w:color w:val="auto"/>
        </w:rPr>
        <w:t>The provisions of this Article will be flown down to</w:t>
      </w:r>
    </w:p>
    <w:p>
      <w:pPr>
        <w:spacing w:after="0" w:line="7" w:lineRule="exact"/>
        <w:rPr>
          <w:sz w:val="20"/>
          <w:szCs w:val="20"/>
          <w:color w:val="auto"/>
        </w:rPr>
      </w:pPr>
    </w:p>
    <w:p>
      <w:pPr>
        <w:ind w:left="798"/>
        <w:spacing w:after="0"/>
        <w:rPr>
          <w:sz w:val="20"/>
          <w:szCs w:val="20"/>
          <w:color w:val="auto"/>
        </w:rPr>
      </w:pPr>
      <w:r>
        <w:rPr>
          <w:rFonts w:ascii="Courier New" w:cs="Courier New" w:eastAsia="Courier New" w:hAnsi="Courier New"/>
          <w:sz w:val="13"/>
          <w:szCs w:val="13"/>
          <w:color w:val="auto"/>
        </w:rPr>
        <w:t>subcontractors- at-all-levels.</w:t>
      </w:r>
    </w:p>
    <w:p>
      <w:pPr>
        <w:spacing w:after="0" w:line="161" w:lineRule="exact"/>
        <w:rPr>
          <w:sz w:val="20"/>
          <w:szCs w:val="20"/>
          <w:color w:val="auto"/>
        </w:rPr>
      </w:pPr>
    </w:p>
    <w:p>
      <w:pPr>
        <w:ind w:left="718" w:hanging="718"/>
        <w:spacing w:after="0"/>
        <w:tabs>
          <w:tab w:leader="none" w:pos="718" w:val="left"/>
        </w:tabs>
        <w:numPr>
          <w:ilvl w:val="0"/>
          <w:numId w:val="64"/>
        </w:numPr>
        <w:rPr>
          <w:rFonts w:ascii="Courier New" w:cs="Courier New" w:eastAsia="Courier New" w:hAnsi="Courier New"/>
          <w:sz w:val="13"/>
          <w:szCs w:val="13"/>
          <w:b w:val="1"/>
          <w:bCs w:val="1"/>
          <w:color w:val="auto"/>
        </w:rPr>
      </w:pPr>
      <w:r>
        <w:rPr>
          <w:rFonts w:ascii="Courier New" w:cs="Courier New" w:eastAsia="Courier New" w:hAnsi="Courier New"/>
          <w:sz w:val="13"/>
          <w:szCs w:val="13"/>
          <w:b w:val="1"/>
          <w:bCs w:val="1"/>
          <w:color w:val="auto"/>
        </w:rPr>
        <w:t>SUSPENSION OF THE WORK AND PRODUCTION FLEXIBILITY</w:t>
      </w:r>
    </w:p>
    <w:p>
      <w:pPr>
        <w:spacing w:after="0" w:line="161" w:lineRule="exact"/>
        <w:rPr>
          <w:sz w:val="20"/>
          <w:szCs w:val="20"/>
          <w:color w:val="auto"/>
        </w:rPr>
      </w:pPr>
    </w:p>
    <w:p>
      <w:pPr>
        <w:ind w:left="798" w:right="3979"/>
        <w:spacing w:after="0" w:line="252" w:lineRule="auto"/>
        <w:rPr>
          <w:sz w:val="20"/>
          <w:szCs w:val="20"/>
          <w:color w:val="auto"/>
        </w:rPr>
      </w:pPr>
      <w:r>
        <w:rPr>
          <w:rFonts w:ascii="Courier New" w:cs="Courier New" w:eastAsia="Courier New" w:hAnsi="Courier New"/>
          <w:sz w:val="13"/>
          <w:szCs w:val="13"/>
          <w:b w:val="1"/>
          <w:bCs w:val="1"/>
          <w:color w:val="auto"/>
        </w:rPr>
        <w:t xml:space="preserve">18.1. </w:t>
      </w:r>
      <w:r>
        <w:rPr>
          <w:rFonts w:ascii="Courier New" w:cs="Courier New" w:eastAsia="Courier New" w:hAnsi="Courier New"/>
          <w:sz w:val="13"/>
          <w:szCs w:val="13"/>
          <w:color w:val="auto"/>
        </w:rPr>
        <w:t>At any time and from time, the Buyer has the right to suspend</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for a max period of time of 4 weeks, all on any part of the Contract or specific order, providing the conditions set in article 4 (MARKET SHARE) are met.</w:t>
      </w:r>
    </w:p>
    <w:p>
      <w:pPr>
        <w:spacing w:after="0" w:line="153" w:lineRule="exact"/>
        <w:rPr>
          <w:sz w:val="20"/>
          <w:szCs w:val="20"/>
          <w:color w:val="auto"/>
        </w:rPr>
      </w:pPr>
    </w:p>
    <w:p>
      <w:pPr>
        <w:jc w:val="both"/>
        <w:ind w:left="798" w:right="3819"/>
        <w:spacing w:after="0" w:line="252" w:lineRule="auto"/>
        <w:rPr>
          <w:sz w:val="20"/>
          <w:szCs w:val="20"/>
          <w:color w:val="auto"/>
        </w:rPr>
      </w:pPr>
      <w:r>
        <w:rPr>
          <w:rFonts w:ascii="Courier New" w:cs="Courier New" w:eastAsia="Courier New" w:hAnsi="Courier New"/>
          <w:sz w:val="13"/>
          <w:szCs w:val="13"/>
          <w:color w:val="auto"/>
        </w:rPr>
        <w:t>In such case, the Buyer shall give a written 30 days advance notice to the supplier. The Buyer may subsequently either reinstate or terminate the Contract or order, the impact for which an appropriate adjustment will be made.</w:t>
      </w:r>
    </w:p>
    <w:p>
      <w:pPr>
        <w:spacing w:after="0" w:line="153" w:lineRule="exact"/>
        <w:rPr>
          <w:sz w:val="20"/>
          <w:szCs w:val="20"/>
          <w:color w:val="auto"/>
        </w:rPr>
      </w:pPr>
    </w:p>
    <w:p>
      <w:pPr>
        <w:ind w:left="798" w:right="4059"/>
        <w:spacing w:after="0" w:line="252" w:lineRule="auto"/>
        <w:rPr>
          <w:sz w:val="20"/>
          <w:szCs w:val="20"/>
          <w:color w:val="auto"/>
        </w:rPr>
      </w:pPr>
      <w:r>
        <w:rPr>
          <w:rFonts w:ascii="Courier New" w:cs="Courier New" w:eastAsia="Courier New" w:hAnsi="Courier New"/>
          <w:sz w:val="13"/>
          <w:szCs w:val="13"/>
          <w:b w:val="1"/>
          <w:bCs w:val="1"/>
          <w:color w:val="auto"/>
        </w:rPr>
        <w:t xml:space="preserve">18.2 </w:t>
      </w:r>
      <w:r>
        <w:rPr>
          <w:rFonts w:ascii="Courier New" w:cs="Courier New" w:eastAsia="Courier New" w:hAnsi="Courier New"/>
          <w:sz w:val="13"/>
          <w:szCs w:val="13"/>
          <w:color w:val="auto"/>
        </w:rPr>
        <w:t>The Buyer will remain obliged to pay the products actually</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shipped or ready for shipment and to reimburse the Supplier for its cost incurred for unfinished products if these cannot be used for other applications.</w:t>
      </w:r>
    </w:p>
    <w:p>
      <w:pPr>
        <w:spacing w:after="0" w:line="153" w:lineRule="exact"/>
        <w:rPr>
          <w:sz w:val="20"/>
          <w:szCs w:val="20"/>
          <w:color w:val="auto"/>
        </w:rPr>
      </w:pPr>
    </w:p>
    <w:p>
      <w:pPr>
        <w:ind w:left="798" w:right="3819"/>
        <w:spacing w:after="0" w:line="251" w:lineRule="auto"/>
        <w:rPr>
          <w:sz w:val="20"/>
          <w:szCs w:val="20"/>
          <w:color w:val="auto"/>
        </w:rPr>
      </w:pPr>
      <w:r>
        <w:rPr>
          <w:rFonts w:ascii="Courier New" w:cs="Courier New" w:eastAsia="Courier New" w:hAnsi="Courier New"/>
          <w:sz w:val="13"/>
          <w:szCs w:val="13"/>
          <w:b w:val="1"/>
          <w:bCs w:val="1"/>
          <w:color w:val="auto"/>
        </w:rPr>
        <w:t xml:space="preserve">18.3. </w:t>
      </w:r>
      <w:r>
        <w:rPr>
          <w:rFonts w:ascii="Courier New" w:cs="Courier New" w:eastAsia="Courier New" w:hAnsi="Courier New"/>
          <w:sz w:val="13"/>
          <w:szCs w:val="13"/>
          <w:color w:val="auto"/>
        </w:rPr>
        <w:t>In case a Force Majeure Event, occurred to the Buyer impacts the</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production program at any facility of the Buyer, the Buyer at its absolute discretion has the right to suspend the execution of the Contract or to terminate the order until the production restraints generated by the Force Majeure Event will cease.</w:t>
      </w:r>
    </w:p>
    <w:p>
      <w:pPr>
        <w:spacing w:after="0" w:line="1" w:lineRule="exact"/>
        <w:rPr>
          <w:sz w:val="20"/>
          <w:szCs w:val="20"/>
          <w:color w:val="auto"/>
        </w:rPr>
      </w:pPr>
    </w:p>
    <w:p>
      <w:pPr>
        <w:ind w:left="798"/>
        <w:spacing w:after="0"/>
        <w:rPr>
          <w:sz w:val="20"/>
          <w:szCs w:val="20"/>
          <w:color w:val="auto"/>
        </w:rPr>
      </w:pPr>
      <w:r>
        <w:rPr>
          <w:rFonts w:ascii="Courier New" w:cs="Courier New" w:eastAsia="Courier New" w:hAnsi="Courier New"/>
          <w:sz w:val="13"/>
          <w:szCs w:val="13"/>
          <w:color w:val="auto"/>
        </w:rPr>
        <w:t>In this case , the provisions of the Article 18.2 will apply</w:t>
      </w:r>
    </w:p>
    <w:p>
      <w:pPr>
        <w:spacing w:after="0" w:line="161" w:lineRule="exact"/>
        <w:rPr>
          <w:sz w:val="20"/>
          <w:szCs w:val="20"/>
          <w:color w:val="auto"/>
        </w:rPr>
      </w:pPr>
    </w:p>
    <w:p>
      <w:pPr>
        <w:ind w:left="798" w:right="4059"/>
        <w:spacing w:after="0" w:line="253" w:lineRule="auto"/>
        <w:rPr>
          <w:sz w:val="20"/>
          <w:szCs w:val="20"/>
          <w:color w:val="auto"/>
        </w:rPr>
      </w:pPr>
      <w:r>
        <w:rPr>
          <w:rFonts w:ascii="Courier New" w:cs="Courier New" w:eastAsia="Courier New" w:hAnsi="Courier New"/>
          <w:sz w:val="13"/>
          <w:szCs w:val="13"/>
          <w:b w:val="1"/>
          <w:bCs w:val="1"/>
          <w:color w:val="auto"/>
        </w:rPr>
        <w:t xml:space="preserve">18.4. </w:t>
      </w:r>
      <w:r>
        <w:rPr>
          <w:rFonts w:ascii="Courier New" w:cs="Courier New" w:eastAsia="Courier New" w:hAnsi="Courier New"/>
          <w:sz w:val="13"/>
          <w:szCs w:val="13"/>
          <w:color w:val="auto"/>
        </w:rPr>
        <w:t>At any time the Buyer has the right and the Supplier shall</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accept, to modify the contractual quantities to be delivered to the Buyer, in accordance with the new Buyer's</w:t>
      </w:r>
    </w:p>
    <w:p>
      <w:pPr>
        <w:spacing w:after="0" w:line="200" w:lineRule="exact"/>
        <w:rPr>
          <w:sz w:val="20"/>
          <w:szCs w:val="20"/>
          <w:color w:val="auto"/>
        </w:rPr>
      </w:pPr>
    </w:p>
    <w:p>
      <w:pPr>
        <w:spacing w:after="0" w:line="260" w:lineRule="exact"/>
        <w:rPr>
          <w:sz w:val="20"/>
          <w:szCs w:val="20"/>
          <w:color w:val="auto"/>
        </w:rPr>
      </w:pPr>
    </w:p>
    <w:p>
      <w:pPr>
        <w:ind w:left="2798"/>
        <w:spacing w:after="0"/>
        <w:rPr>
          <w:sz w:val="20"/>
          <w:szCs w:val="20"/>
          <w:color w:val="auto"/>
        </w:rPr>
      </w:pPr>
      <w:r>
        <w:rPr>
          <w:rFonts w:ascii="Courier New" w:cs="Courier New" w:eastAsia="Courier New" w:hAnsi="Courier New"/>
          <w:sz w:val="13"/>
          <w:szCs w:val="13"/>
          <w:color w:val="auto"/>
        </w:rPr>
        <w:t>Pagina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730440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4738"/>
        <w:spacing w:after="0"/>
        <w:rPr>
          <w:sz w:val="20"/>
          <w:szCs w:val="20"/>
          <w:color w:val="auto"/>
        </w:rPr>
      </w:pPr>
      <w:r>
        <w:rPr>
          <w:rFonts w:ascii="Courier New" w:cs="Courier New" w:eastAsia="Courier New" w:hAnsi="Courier New"/>
          <w:sz w:val="13"/>
          <w:szCs w:val="13"/>
          <w:color w:val="auto"/>
        </w:rPr>
        <w:t>Contract NN/02/RAW/ge</w:t>
      </w:r>
    </w:p>
    <w:p>
      <w:pPr>
        <w:spacing w:after="0" w:line="315" w:lineRule="exact"/>
        <w:rPr>
          <w:sz w:val="20"/>
          <w:szCs w:val="20"/>
          <w:color w:val="auto"/>
        </w:rPr>
      </w:pPr>
    </w:p>
    <w:p>
      <w:pPr>
        <w:ind w:left="798" w:right="4059"/>
        <w:spacing w:after="0" w:line="254" w:lineRule="auto"/>
        <w:rPr>
          <w:sz w:val="20"/>
          <w:szCs w:val="20"/>
          <w:color w:val="auto"/>
        </w:rPr>
      </w:pPr>
      <w:r>
        <w:rPr>
          <w:rFonts w:ascii="Courier New" w:cs="Courier New" w:eastAsia="Courier New" w:hAnsi="Courier New"/>
          <w:sz w:val="13"/>
          <w:szCs w:val="13"/>
          <w:color w:val="auto"/>
        </w:rPr>
        <w:t>production program provided that condition set in Article 4 (MARKET SHARE) and in article 5.2 (LEAD TIME) are met.</w:t>
      </w:r>
    </w:p>
    <w:p>
      <w:pPr>
        <w:spacing w:after="0" w:line="151" w:lineRule="exact"/>
        <w:rPr>
          <w:sz w:val="20"/>
          <w:szCs w:val="20"/>
          <w:color w:val="auto"/>
        </w:rPr>
      </w:pPr>
    </w:p>
    <w:p>
      <w:pPr>
        <w:ind w:left="798" w:right="3899"/>
        <w:spacing w:after="0" w:line="252" w:lineRule="auto"/>
        <w:rPr>
          <w:sz w:val="20"/>
          <w:szCs w:val="20"/>
          <w:color w:val="auto"/>
        </w:rPr>
      </w:pPr>
      <w:r>
        <w:rPr>
          <w:rFonts w:ascii="Courier New" w:cs="Courier New" w:eastAsia="Courier New" w:hAnsi="Courier New"/>
          <w:sz w:val="13"/>
          <w:szCs w:val="13"/>
          <w:b w:val="1"/>
          <w:bCs w:val="1"/>
          <w:color w:val="auto"/>
        </w:rPr>
        <w:t xml:space="preserve">18.5. </w:t>
      </w:r>
      <w:r>
        <w:rPr>
          <w:rFonts w:ascii="Courier New" w:cs="Courier New" w:eastAsia="Courier New" w:hAnsi="Courier New"/>
          <w:sz w:val="13"/>
          <w:szCs w:val="13"/>
          <w:color w:val="auto"/>
        </w:rPr>
        <w:t>In case of a product is not longer used by the Buyer, the Buyer</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will inform in writing the Supplier in order to agree the entire consumption of the product shipped and ready for the shipment or in work in progress</w:t>
      </w:r>
    </w:p>
    <w:p>
      <w:pPr>
        <w:spacing w:after="0" w:line="153" w:lineRule="exact"/>
        <w:rPr>
          <w:sz w:val="20"/>
          <w:szCs w:val="20"/>
          <w:color w:val="auto"/>
        </w:rPr>
      </w:pPr>
    </w:p>
    <w:p>
      <w:pPr>
        <w:ind w:left="718" w:hanging="718"/>
        <w:spacing w:after="0"/>
        <w:tabs>
          <w:tab w:leader="none" w:pos="718" w:val="left"/>
        </w:tabs>
        <w:numPr>
          <w:ilvl w:val="0"/>
          <w:numId w:val="65"/>
        </w:numPr>
        <w:rPr>
          <w:rFonts w:ascii="Courier New" w:cs="Courier New" w:eastAsia="Courier New" w:hAnsi="Courier New"/>
          <w:sz w:val="13"/>
          <w:szCs w:val="13"/>
          <w:b w:val="1"/>
          <w:bCs w:val="1"/>
          <w:color w:val="auto"/>
        </w:rPr>
      </w:pPr>
      <w:r>
        <w:rPr>
          <w:rFonts w:ascii="Courier New" w:cs="Courier New" w:eastAsia="Courier New" w:hAnsi="Courier New"/>
          <w:sz w:val="13"/>
          <w:szCs w:val="13"/>
          <w:b w:val="1"/>
          <w:bCs w:val="1"/>
          <w:color w:val="auto"/>
        </w:rPr>
        <w:t>CONTRACT AMENDMENTS</w:t>
      </w:r>
    </w:p>
    <w:p>
      <w:pPr>
        <w:spacing w:after="0" w:line="161" w:lineRule="exact"/>
        <w:rPr>
          <w:sz w:val="20"/>
          <w:szCs w:val="20"/>
          <w:color w:val="auto"/>
        </w:rPr>
      </w:pPr>
    </w:p>
    <w:p>
      <w:pPr>
        <w:ind w:left="798" w:right="3819"/>
        <w:spacing w:after="0" w:line="253" w:lineRule="auto"/>
        <w:rPr>
          <w:sz w:val="20"/>
          <w:szCs w:val="20"/>
          <w:color w:val="auto"/>
        </w:rPr>
      </w:pPr>
      <w:r>
        <w:rPr>
          <w:rFonts w:ascii="Courier New" w:cs="Courier New" w:eastAsia="Courier New" w:hAnsi="Courier New"/>
          <w:sz w:val="13"/>
          <w:szCs w:val="13"/>
          <w:color w:val="auto"/>
        </w:rPr>
        <w:t>Any Amendment to the Contract and/or Agreed Purchase Order shall be of no force or effect unless in writing and approved and signed by authorized representatives of the Parties.</w:t>
      </w:r>
    </w:p>
    <w:p>
      <w:pPr>
        <w:sectPr>
          <w:pgSz w:w="11900" w:h="16838" w:orient="portrait"/>
          <w:cols w:equalWidth="0" w:num="1">
            <w:col w:w="10237"/>
          </w:cols>
          <w:pgMar w:left="222" w:top="141" w:right="1440" w:bottom="0" w:gutter="0" w:footer="0" w:header="0"/>
        </w:sectPr>
      </w:pPr>
    </w:p>
    <w:bookmarkStart w:id="52" w:name="page53"/>
    <w:bookmarkEnd w:id="52"/>
    <w:p>
      <w:pPr>
        <w:ind w:left="800" w:hanging="798"/>
        <w:spacing w:after="0"/>
        <w:tabs>
          <w:tab w:leader="none" w:pos="800" w:val="left"/>
        </w:tabs>
        <w:numPr>
          <w:ilvl w:val="0"/>
          <w:numId w:val="66"/>
        </w:numPr>
        <w:rPr>
          <w:rFonts w:ascii="Courier New" w:cs="Courier New" w:eastAsia="Courier New" w:hAnsi="Courier New"/>
          <w:sz w:val="13"/>
          <w:szCs w:val="13"/>
          <w:b w:val="1"/>
          <w:bCs w:val="1"/>
          <w:color w:val="auto"/>
        </w:rPr>
      </w:pPr>
      <w:r>
        <w:rPr>
          <w:rFonts w:ascii="Courier New" w:cs="Courier New" w:eastAsia="Courier New" w:hAnsi="Courier New"/>
          <w:sz w:val="13"/>
          <w:szCs w:val="13"/>
          <w:b w:val="1"/>
          <w:bCs w:val="1"/>
          <w:color w:val="auto"/>
        </w:rPr>
        <w:t>ENTIRE AGREEMENT</w:t>
      </w:r>
    </w:p>
    <w:p>
      <w:pPr>
        <w:spacing w:after="0" w:line="161" w:lineRule="exact"/>
        <w:rPr>
          <w:rFonts w:ascii="Courier New" w:cs="Courier New" w:eastAsia="Courier New" w:hAnsi="Courier New"/>
          <w:sz w:val="13"/>
          <w:szCs w:val="13"/>
          <w:b w:val="1"/>
          <w:bCs w:val="1"/>
          <w:color w:val="auto"/>
        </w:rPr>
      </w:pPr>
    </w:p>
    <w:p>
      <w:pPr>
        <w:ind w:left="800"/>
        <w:spacing w:after="0"/>
        <w:rPr>
          <w:rFonts w:ascii="Courier New" w:cs="Courier New" w:eastAsia="Courier New" w:hAnsi="Courier New"/>
          <w:sz w:val="13"/>
          <w:szCs w:val="13"/>
          <w:b w:val="1"/>
          <w:bCs w:val="1"/>
          <w:color w:val="auto"/>
        </w:rPr>
      </w:pPr>
      <w:r>
        <w:rPr>
          <w:rFonts w:ascii="Courier New" w:cs="Courier New" w:eastAsia="Courier New" w:hAnsi="Courier New"/>
          <w:sz w:val="13"/>
          <w:szCs w:val="13"/>
          <w:b w:val="1"/>
          <w:bCs w:val="1"/>
          <w:color w:val="auto"/>
        </w:rPr>
        <w:t xml:space="preserve">20.1. </w:t>
      </w:r>
      <w:r>
        <w:rPr>
          <w:rFonts w:ascii="Courier New" w:cs="Courier New" w:eastAsia="Courier New" w:hAnsi="Courier New"/>
          <w:sz w:val="13"/>
          <w:szCs w:val="13"/>
          <w:color w:val="auto"/>
        </w:rPr>
        <w:t>The Parties have negotiated the Contract and shall enter</w:t>
      </w:r>
    </w:p>
    <w:p>
      <w:pPr>
        <w:spacing w:after="0" w:line="6" w:lineRule="exact"/>
        <w:rPr>
          <w:rFonts w:ascii="Courier New" w:cs="Courier New" w:eastAsia="Courier New" w:hAnsi="Courier New"/>
          <w:sz w:val="13"/>
          <w:szCs w:val="13"/>
          <w:b w:val="1"/>
          <w:bCs w:val="1"/>
          <w:color w:val="auto"/>
        </w:rPr>
      </w:pPr>
    </w:p>
    <w:p>
      <w:pPr>
        <w:ind w:left="800" w:right="5120"/>
        <w:spacing w:after="0" w:line="252" w:lineRule="auto"/>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into any Agreed Purchase Order made subject hereto on the basis that the provisions of the Contract and such Agreed Purchase Order represent their entire agreement relating to the matters contained in the Contract and such Agreed Purchase Order.</w:t>
      </w:r>
    </w:p>
    <w:p>
      <w:pPr>
        <w:spacing w:after="0" w:line="152" w:lineRule="exact"/>
        <w:rPr>
          <w:rFonts w:ascii="Courier New" w:cs="Courier New" w:eastAsia="Courier New" w:hAnsi="Courier New"/>
          <w:sz w:val="13"/>
          <w:szCs w:val="13"/>
          <w:b w:val="1"/>
          <w:bCs w:val="1"/>
          <w:color w:val="auto"/>
        </w:rPr>
      </w:pPr>
    </w:p>
    <w:p>
      <w:pPr>
        <w:ind w:left="800" w:right="5040"/>
        <w:spacing w:after="0" w:line="251" w:lineRule="auto"/>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The Contract and such Agreed Purchase Orders shall supersede all representations, agreements, communications, negotiations, letters and proposals exchanged between the Parties, statements and understandings ( other than the Contract ) made prior to the date of the Contract and the date of such Agreed Purchase Order respectively whether orally or in writing relating to the matters contained in the Contract or in such Agreed Purchase Order respectively.</w:t>
      </w:r>
    </w:p>
    <w:p>
      <w:pPr>
        <w:spacing w:after="0" w:line="155" w:lineRule="exact"/>
        <w:rPr>
          <w:rFonts w:ascii="Courier New" w:cs="Courier New" w:eastAsia="Courier New" w:hAnsi="Courier New"/>
          <w:sz w:val="13"/>
          <w:szCs w:val="13"/>
          <w:b w:val="1"/>
          <w:bCs w:val="1"/>
          <w:color w:val="auto"/>
        </w:rPr>
      </w:pPr>
    </w:p>
    <w:p>
      <w:pPr>
        <w:ind w:left="800" w:right="5200"/>
        <w:spacing w:after="0" w:line="253" w:lineRule="auto"/>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As far as necessary the Parties acknowledge and agree that the provisions of this Contract shall prevail on inconsistent provisions of agreements previously entered into among the Parties.</w:t>
      </w:r>
    </w:p>
    <w:p>
      <w:pPr>
        <w:spacing w:after="0" w:line="151" w:lineRule="exact"/>
        <w:rPr>
          <w:rFonts w:ascii="Courier New" w:cs="Courier New" w:eastAsia="Courier New" w:hAnsi="Courier New"/>
          <w:sz w:val="13"/>
          <w:szCs w:val="13"/>
          <w:b w:val="1"/>
          <w:bCs w:val="1"/>
          <w:color w:val="auto"/>
        </w:rPr>
      </w:pPr>
    </w:p>
    <w:p>
      <w:pPr>
        <w:ind w:left="800" w:right="5040"/>
        <w:spacing w:after="0" w:line="252" w:lineRule="auto"/>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The Parties further agree that neither of them has placed or shall place any reliance whatsoever on any such representations, agreements, letters and proposals, statements or understandings other than those expressly incorporated in the Contract or in such Agreed Purchase Order.</w:t>
      </w:r>
    </w:p>
    <w:p>
      <w:pPr>
        <w:spacing w:after="0" w:line="306" w:lineRule="exact"/>
        <w:rPr>
          <w:rFonts w:ascii="Courier New" w:cs="Courier New" w:eastAsia="Courier New" w:hAnsi="Courier New"/>
          <w:sz w:val="13"/>
          <w:szCs w:val="13"/>
          <w:b w:val="1"/>
          <w:bCs w:val="1"/>
          <w:color w:val="auto"/>
        </w:rPr>
      </w:pPr>
    </w:p>
    <w:p>
      <w:pPr>
        <w:ind w:left="800"/>
        <w:spacing w:after="0"/>
        <w:rPr>
          <w:rFonts w:ascii="Courier New" w:cs="Courier New" w:eastAsia="Courier New" w:hAnsi="Courier New"/>
          <w:sz w:val="13"/>
          <w:szCs w:val="13"/>
          <w:b w:val="1"/>
          <w:bCs w:val="1"/>
          <w:color w:val="auto"/>
        </w:rPr>
      </w:pPr>
      <w:r>
        <w:rPr>
          <w:rFonts w:ascii="Courier New" w:cs="Courier New" w:eastAsia="Courier New" w:hAnsi="Courier New"/>
          <w:sz w:val="13"/>
          <w:szCs w:val="13"/>
          <w:b w:val="1"/>
          <w:bCs w:val="1"/>
          <w:color w:val="auto"/>
        </w:rPr>
        <w:t xml:space="preserve">20.2. </w:t>
      </w:r>
      <w:r>
        <w:rPr>
          <w:rFonts w:ascii="Courier New" w:cs="Courier New" w:eastAsia="Courier New" w:hAnsi="Courier New"/>
          <w:sz w:val="13"/>
          <w:szCs w:val="13"/>
          <w:color w:val="auto"/>
        </w:rPr>
        <w:t>The Parties hereby agree that the provisions of Articles:</w:t>
      </w:r>
    </w:p>
    <w:p>
      <w:pPr>
        <w:spacing w:after="0" w:line="161" w:lineRule="exact"/>
        <w:rPr>
          <w:rFonts w:ascii="Courier New" w:cs="Courier New" w:eastAsia="Courier New" w:hAnsi="Courier New"/>
          <w:sz w:val="13"/>
          <w:szCs w:val="13"/>
          <w:b w:val="1"/>
          <w:bCs w:val="1"/>
          <w:color w:val="auto"/>
        </w:rPr>
      </w:pPr>
    </w:p>
    <w:p>
      <w:pPr>
        <w:ind w:left="800"/>
        <w:spacing w:after="0"/>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o9. "Product Liability Responsibility";</w:t>
      </w:r>
    </w:p>
    <w:p>
      <w:pPr>
        <w:spacing w:after="0" w:line="161" w:lineRule="exact"/>
        <w:rPr>
          <w:rFonts w:ascii="Courier New" w:cs="Courier New" w:eastAsia="Courier New" w:hAnsi="Courier New"/>
          <w:sz w:val="13"/>
          <w:szCs w:val="13"/>
          <w:b w:val="1"/>
          <w:bCs w:val="1"/>
          <w:color w:val="auto"/>
        </w:rPr>
      </w:pPr>
    </w:p>
    <w:p>
      <w:pPr>
        <w:ind w:left="800"/>
        <w:spacing w:after="0"/>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o10. "Material and Workmanship Warranty";</w:t>
      </w:r>
    </w:p>
    <w:p>
      <w:pPr>
        <w:spacing w:after="0" w:line="161" w:lineRule="exact"/>
        <w:rPr>
          <w:rFonts w:ascii="Courier New" w:cs="Courier New" w:eastAsia="Courier New" w:hAnsi="Courier New"/>
          <w:sz w:val="13"/>
          <w:szCs w:val="13"/>
          <w:b w:val="1"/>
          <w:bCs w:val="1"/>
          <w:color w:val="auto"/>
        </w:rPr>
      </w:pPr>
    </w:p>
    <w:p>
      <w:pPr>
        <w:ind w:left="800"/>
        <w:spacing w:after="0"/>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o16. "Applicable Law and Arbitration";</w:t>
      </w:r>
    </w:p>
    <w:p>
      <w:pPr>
        <w:spacing w:after="0" w:line="161" w:lineRule="exact"/>
        <w:rPr>
          <w:rFonts w:ascii="Courier New" w:cs="Courier New" w:eastAsia="Courier New" w:hAnsi="Courier New"/>
          <w:sz w:val="13"/>
          <w:szCs w:val="13"/>
          <w:b w:val="1"/>
          <w:bCs w:val="1"/>
          <w:color w:val="auto"/>
        </w:rPr>
      </w:pPr>
    </w:p>
    <w:p>
      <w:pPr>
        <w:ind w:left="800"/>
        <w:spacing w:after="0"/>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o17. "Company Confidential Information";</w:t>
      </w:r>
    </w:p>
    <w:p>
      <w:pPr>
        <w:spacing w:after="0" w:line="315" w:lineRule="exact"/>
        <w:rPr>
          <w:sz w:val="20"/>
          <w:szCs w:val="20"/>
          <w:color w:val="auto"/>
        </w:rPr>
      </w:pPr>
    </w:p>
    <w:p>
      <w:pPr>
        <w:ind w:left="2800"/>
        <w:spacing w:after="0"/>
        <w:rPr>
          <w:sz w:val="20"/>
          <w:szCs w:val="20"/>
          <w:color w:val="auto"/>
        </w:rPr>
      </w:pPr>
      <w:r>
        <w:rPr>
          <w:rFonts w:ascii="Courier New" w:cs="Courier New" w:eastAsia="Courier New" w:hAnsi="Courier New"/>
          <w:sz w:val="13"/>
          <w:szCs w:val="13"/>
          <w:color w:val="auto"/>
        </w:rPr>
        <w:t>Pagina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3"/>
          <w:szCs w:val="13"/>
          <w:color w:val="auto"/>
        </w:rPr>
        <w:t>Contract NN/02/RAW/ge</w:t>
      </w:r>
    </w:p>
    <w:p>
      <w:pPr>
        <w:spacing w:after="0" w:line="315" w:lineRule="exact"/>
        <w:rPr>
          <w:sz w:val="20"/>
          <w:szCs w:val="20"/>
          <w:color w:val="auto"/>
        </w:rPr>
      </w:pPr>
    </w:p>
    <w:p>
      <w:pPr>
        <w:ind w:left="800"/>
        <w:spacing w:after="0"/>
        <w:rPr>
          <w:sz w:val="20"/>
          <w:szCs w:val="20"/>
          <w:color w:val="auto"/>
        </w:rPr>
      </w:pPr>
      <w:r>
        <w:rPr>
          <w:rFonts w:ascii="Courier New" w:cs="Courier New" w:eastAsia="Courier New" w:hAnsi="Courier New"/>
          <w:sz w:val="13"/>
          <w:szCs w:val="13"/>
          <w:color w:val="auto"/>
        </w:rPr>
        <w:t>shall survive the expiry date and/or any termination of the Contract</w:t>
      </w:r>
    </w:p>
    <w:p>
      <w:pPr>
        <w:spacing w:after="0" w:line="7" w:lineRule="exact"/>
        <w:rPr>
          <w:sz w:val="20"/>
          <w:szCs w:val="20"/>
          <w:color w:val="auto"/>
        </w:rPr>
      </w:pPr>
    </w:p>
    <w:p>
      <w:pPr>
        <w:ind w:left="800"/>
        <w:spacing w:after="0"/>
        <w:rPr>
          <w:sz w:val="20"/>
          <w:szCs w:val="20"/>
          <w:color w:val="auto"/>
        </w:rPr>
      </w:pPr>
      <w:r>
        <w:rPr>
          <w:rFonts w:ascii="Courier New" w:cs="Courier New" w:eastAsia="Courier New" w:hAnsi="Courier New"/>
          <w:sz w:val="13"/>
          <w:szCs w:val="13"/>
          <w:color w:val="auto"/>
        </w:rPr>
        <w:t>and/or Agreed Purchase Order and shall remain full enforceable</w:t>
      </w:r>
    </w:p>
    <w:p>
      <w:pPr>
        <w:spacing w:after="0" w:line="7" w:lineRule="exact"/>
        <w:rPr>
          <w:sz w:val="20"/>
          <w:szCs w:val="20"/>
          <w:color w:val="auto"/>
        </w:rPr>
      </w:pPr>
    </w:p>
    <w:p>
      <w:pPr>
        <w:ind w:left="800"/>
        <w:spacing w:after="0"/>
        <w:rPr>
          <w:sz w:val="20"/>
          <w:szCs w:val="20"/>
          <w:color w:val="auto"/>
        </w:rPr>
      </w:pPr>
      <w:r>
        <w:rPr>
          <w:rFonts w:ascii="Courier New" w:cs="Courier New" w:eastAsia="Courier New" w:hAnsi="Courier New"/>
          <w:sz w:val="13"/>
          <w:szCs w:val="13"/>
          <w:color w:val="auto"/>
        </w:rPr>
        <w:t>notwithstanding such expiry and/or termination.</w:t>
      </w:r>
    </w:p>
    <w:p>
      <w:pPr>
        <w:spacing w:after="0" w:line="161" w:lineRule="exact"/>
        <w:rPr>
          <w:sz w:val="20"/>
          <w:szCs w:val="20"/>
          <w:color w:val="auto"/>
        </w:rPr>
      </w:pPr>
    </w:p>
    <w:p>
      <w:pPr>
        <w:ind w:left="800" w:hanging="798"/>
        <w:spacing w:after="0"/>
        <w:tabs>
          <w:tab w:leader="none" w:pos="800" w:val="left"/>
        </w:tabs>
        <w:numPr>
          <w:ilvl w:val="0"/>
          <w:numId w:val="67"/>
        </w:numPr>
        <w:rPr>
          <w:rFonts w:ascii="Courier New" w:cs="Courier New" w:eastAsia="Courier New" w:hAnsi="Courier New"/>
          <w:sz w:val="13"/>
          <w:szCs w:val="13"/>
          <w:b w:val="1"/>
          <w:bCs w:val="1"/>
          <w:color w:val="auto"/>
        </w:rPr>
      </w:pPr>
      <w:r>
        <w:rPr>
          <w:rFonts w:ascii="Courier New" w:cs="Courier New" w:eastAsia="Courier New" w:hAnsi="Courier New"/>
          <w:sz w:val="13"/>
          <w:szCs w:val="13"/>
          <w:b w:val="1"/>
          <w:bCs w:val="1"/>
          <w:color w:val="auto"/>
        </w:rPr>
        <w:t>SIGNATURE</w:t>
      </w:r>
    </w:p>
    <w:p>
      <w:pPr>
        <w:spacing w:after="0" w:line="161" w:lineRule="exact"/>
        <w:rPr>
          <w:rFonts w:ascii="Courier New" w:cs="Courier New" w:eastAsia="Courier New" w:hAnsi="Courier New"/>
          <w:sz w:val="13"/>
          <w:szCs w:val="13"/>
          <w:b w:val="1"/>
          <w:bCs w:val="1"/>
          <w:color w:val="auto"/>
        </w:rPr>
      </w:pPr>
    </w:p>
    <w:p>
      <w:pPr>
        <w:ind w:left="800" w:right="5200"/>
        <w:spacing w:after="0" w:line="254" w:lineRule="auto"/>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IN WITNESS WHEREOF this Contract has been duly executed on behalf of the Parties hereto by their duly authorised representatives.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80" w:type="dxa"/>
            <w:vAlign w:val="bottom"/>
          </w:tcPr>
          <w:p>
            <w:pPr>
              <w:ind w:left="800"/>
              <w:spacing w:after="0"/>
              <w:rPr>
                <w:sz w:val="20"/>
                <w:szCs w:val="20"/>
                <w:color w:val="auto"/>
              </w:rPr>
            </w:pPr>
            <w:r>
              <w:rPr>
                <w:rFonts w:ascii="Courier New" w:cs="Courier New" w:eastAsia="Courier New" w:hAnsi="Courier New"/>
                <w:sz w:val="13"/>
                <w:szCs w:val="13"/>
                <w:color w:val="auto"/>
              </w:rPr>
              <w:t>Buyer</w:t>
            </w:r>
          </w:p>
        </w:tc>
        <w:tc>
          <w:tcPr>
            <w:tcW w:w="7480" w:type="dxa"/>
            <w:vAlign w:val="bottom"/>
          </w:tcPr>
          <w:p>
            <w:pPr>
              <w:ind w:left="280"/>
              <w:spacing w:after="0"/>
              <w:rPr>
                <w:sz w:val="20"/>
                <w:szCs w:val="20"/>
                <w:color w:val="auto"/>
              </w:rPr>
            </w:pPr>
            <w:r>
              <w:rPr>
                <w:rFonts w:ascii="Courier New" w:cs="Courier New" w:eastAsia="Courier New" w:hAnsi="Courier New"/>
                <w:sz w:val="13"/>
                <w:szCs w:val="13"/>
                <w:color w:val="auto"/>
              </w:rPr>
              <w:t>Supplier</w:t>
            </w:r>
          </w:p>
        </w:tc>
      </w:tr>
      <w:tr>
        <w:trPr>
          <w:trHeight w:val="154"/>
        </w:trPr>
        <w:tc>
          <w:tcPr>
            <w:tcW w:w="3980" w:type="dxa"/>
            <w:vAlign w:val="bottom"/>
          </w:tcPr>
          <w:p>
            <w:pPr>
              <w:ind w:left="800"/>
              <w:spacing w:after="0"/>
              <w:rPr>
                <w:sz w:val="20"/>
                <w:szCs w:val="20"/>
                <w:color w:val="auto"/>
              </w:rPr>
            </w:pPr>
            <w:r>
              <w:rPr>
                <w:rFonts w:ascii="Courier New" w:cs="Courier New" w:eastAsia="Courier New" w:hAnsi="Courier New"/>
                <w:sz w:val="13"/>
                <w:szCs w:val="13"/>
                <w:color w:val="auto"/>
              </w:rPr>
              <w:t>Signature : /s/ Dario Galetti</w:t>
            </w:r>
          </w:p>
        </w:tc>
        <w:tc>
          <w:tcPr>
            <w:tcW w:w="7480" w:type="dxa"/>
            <w:vAlign w:val="bottom"/>
          </w:tcPr>
          <w:p>
            <w:pPr>
              <w:ind w:left="280"/>
              <w:spacing w:after="0"/>
              <w:rPr>
                <w:sz w:val="20"/>
                <w:szCs w:val="20"/>
                <w:color w:val="auto"/>
              </w:rPr>
            </w:pPr>
            <w:r>
              <w:rPr>
                <w:rFonts w:ascii="Courier New" w:cs="Courier New" w:eastAsia="Courier New" w:hAnsi="Courier New"/>
                <w:sz w:val="13"/>
                <w:szCs w:val="13"/>
                <w:color w:val="auto"/>
              </w:rPr>
              <w:t>Signature : /s/ Pascal Nerbonne</w:t>
            </w:r>
          </w:p>
        </w:tc>
      </w:tr>
      <w:tr>
        <w:trPr>
          <w:trHeight w:val="154"/>
        </w:trPr>
        <w:tc>
          <w:tcPr>
            <w:tcW w:w="3980" w:type="dxa"/>
            <w:vAlign w:val="bottom"/>
          </w:tcPr>
          <w:p>
            <w:pPr>
              <w:ind w:left="800"/>
              <w:spacing w:after="0"/>
              <w:rPr>
                <w:sz w:val="20"/>
                <w:szCs w:val="20"/>
                <w:color w:val="auto"/>
              </w:rPr>
            </w:pPr>
            <w:r>
              <w:rPr>
                <w:rFonts w:ascii="Courier New" w:cs="Courier New" w:eastAsia="Courier New" w:hAnsi="Courier New"/>
                <w:sz w:val="13"/>
                <w:szCs w:val="13"/>
                <w:color w:val="auto"/>
              </w:rPr>
              <w:t>Name : Dario Galetti</w:t>
            </w:r>
          </w:p>
        </w:tc>
        <w:tc>
          <w:tcPr>
            <w:tcW w:w="7480" w:type="dxa"/>
            <w:vAlign w:val="bottom"/>
          </w:tcPr>
          <w:p>
            <w:pPr>
              <w:ind w:left="280"/>
              <w:spacing w:after="0"/>
              <w:rPr>
                <w:sz w:val="20"/>
                <w:szCs w:val="20"/>
                <w:color w:val="auto"/>
              </w:rPr>
            </w:pPr>
            <w:r>
              <w:rPr>
                <w:rFonts w:ascii="Courier New" w:cs="Courier New" w:eastAsia="Courier New" w:hAnsi="Courier New"/>
                <w:sz w:val="13"/>
                <w:szCs w:val="13"/>
                <w:color w:val="auto"/>
              </w:rPr>
              <w:t>Name : Pascal Nerbonne</w:t>
            </w:r>
          </w:p>
        </w:tc>
      </w:tr>
      <w:tr>
        <w:trPr>
          <w:trHeight w:val="154"/>
        </w:trPr>
        <w:tc>
          <w:tcPr>
            <w:tcW w:w="3980" w:type="dxa"/>
            <w:vAlign w:val="bottom"/>
          </w:tcPr>
          <w:p>
            <w:pPr>
              <w:ind w:left="800"/>
              <w:spacing w:after="0"/>
              <w:rPr>
                <w:sz w:val="20"/>
                <w:szCs w:val="20"/>
                <w:color w:val="auto"/>
              </w:rPr>
            </w:pPr>
            <w:r>
              <w:rPr>
                <w:rFonts w:ascii="Courier New" w:cs="Courier New" w:eastAsia="Courier New" w:hAnsi="Courier New"/>
                <w:sz w:val="13"/>
                <w:szCs w:val="13"/>
                <w:color w:val="auto"/>
              </w:rPr>
              <w:t>Title: NN Euroball Managing Director</w:t>
            </w:r>
          </w:p>
        </w:tc>
        <w:tc>
          <w:tcPr>
            <w:tcW w:w="7480" w:type="dxa"/>
            <w:vAlign w:val="bottom"/>
          </w:tcPr>
          <w:p>
            <w:pPr>
              <w:ind w:left="280"/>
              <w:spacing w:after="0"/>
              <w:rPr>
                <w:sz w:val="20"/>
                <w:szCs w:val="20"/>
                <w:color w:val="auto"/>
              </w:rPr>
            </w:pPr>
            <w:r>
              <w:rPr>
                <w:rFonts w:ascii="Courier New" w:cs="Courier New" w:eastAsia="Courier New" w:hAnsi="Courier New"/>
                <w:sz w:val="13"/>
                <w:szCs w:val="13"/>
                <w:color w:val="auto"/>
              </w:rPr>
              <w:t>Title: Marketing &amp; Sales Director</w:t>
            </w:r>
          </w:p>
        </w:tc>
      </w:tr>
      <w:tr>
        <w:trPr>
          <w:trHeight w:val="308"/>
        </w:trPr>
        <w:tc>
          <w:tcPr>
            <w:tcW w:w="3980" w:type="dxa"/>
            <w:vAlign w:val="bottom"/>
          </w:tcPr>
          <w:p>
            <w:pPr>
              <w:spacing w:after="0"/>
              <w:rPr>
                <w:sz w:val="24"/>
                <w:szCs w:val="24"/>
                <w:color w:val="auto"/>
              </w:rPr>
            </w:pPr>
          </w:p>
        </w:tc>
        <w:tc>
          <w:tcPr>
            <w:tcW w:w="7480" w:type="dxa"/>
            <w:vAlign w:val="bottom"/>
          </w:tcPr>
          <w:p>
            <w:pPr>
              <w:ind w:left="360"/>
              <w:spacing w:after="0"/>
              <w:rPr>
                <w:sz w:val="20"/>
                <w:szCs w:val="20"/>
                <w:color w:val="auto"/>
              </w:rPr>
            </w:pPr>
            <w:r>
              <w:rPr>
                <w:rFonts w:ascii="Courier New" w:cs="Courier New" w:eastAsia="Courier New" w:hAnsi="Courier New"/>
                <w:sz w:val="13"/>
                <w:szCs w:val="13"/>
                <w:color w:val="auto"/>
              </w:rPr>
              <w:t>09/09/02</w:t>
            </w:r>
          </w:p>
        </w:tc>
      </w:tr>
      <w:tr>
        <w:trPr>
          <w:trHeight w:val="308"/>
        </w:trPr>
        <w:tc>
          <w:tcPr>
            <w:tcW w:w="3980" w:type="dxa"/>
            <w:vAlign w:val="bottom"/>
          </w:tcPr>
          <w:p>
            <w:pPr>
              <w:ind w:left="2800"/>
              <w:spacing w:after="0"/>
              <w:rPr>
                <w:sz w:val="20"/>
                <w:szCs w:val="20"/>
                <w:color w:val="auto"/>
              </w:rPr>
            </w:pPr>
            <w:r>
              <w:rPr>
                <w:rFonts w:ascii="Courier New" w:cs="Courier New" w:eastAsia="Courier New" w:hAnsi="Courier New"/>
                <w:sz w:val="13"/>
                <w:szCs w:val="13"/>
                <w:color w:val="auto"/>
              </w:rPr>
              <w:t>Pagina 19</w:t>
            </w:r>
          </w:p>
        </w:tc>
        <w:tc>
          <w:tcPr>
            <w:tcW w:w="7480" w:type="dxa"/>
            <w:vAlign w:val="bottom"/>
          </w:tcPr>
          <w:p>
            <w:pPr>
              <w:spacing w:after="0"/>
              <w:rPr>
                <w:sz w:val="24"/>
                <w:szCs w:val="24"/>
                <w:color w:val="auto"/>
              </w:rPr>
            </w:pPr>
          </w:p>
        </w:tc>
      </w:tr>
      <w:tr>
        <w:trPr>
          <w:trHeight w:val="292"/>
        </w:trPr>
        <w:tc>
          <w:tcPr>
            <w:tcW w:w="3980" w:type="dxa"/>
            <w:vAlign w:val="bottom"/>
            <w:tcBorders>
              <w:bottom w:val="single" w:sz="8" w:color="9A9A9A"/>
            </w:tcBorders>
          </w:tcPr>
          <w:p>
            <w:pPr>
              <w:spacing w:after="0"/>
              <w:rPr>
                <w:sz w:val="24"/>
                <w:szCs w:val="24"/>
                <w:color w:val="auto"/>
              </w:rPr>
            </w:pPr>
          </w:p>
        </w:tc>
        <w:tc>
          <w:tcPr>
            <w:tcW w:w="7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-25400</wp:posOffset>
            </wp:positionV>
            <wp:extent cx="3175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-25400</wp:posOffset>
            </wp:positionV>
            <wp:extent cx="3175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640"/>
        <w:spacing w:after="0"/>
        <w:rPr>
          <w:sz w:val="20"/>
          <w:szCs w:val="20"/>
          <w:color w:val="auto"/>
        </w:rPr>
      </w:pPr>
      <w:r>
        <w:rPr>
          <w:rFonts w:ascii="Courier New" w:cs="Courier New" w:eastAsia="Courier New" w:hAnsi="Courier New"/>
          <w:sz w:val="13"/>
          <w:szCs w:val="13"/>
          <w:b w:val="1"/>
          <w:bCs w:val="1"/>
          <w:color w:val="auto"/>
        </w:rPr>
        <w:t>Appendix A - Raw Material Cost- Ascometal - Euroball</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1054735</wp:posOffset>
            </wp:positionV>
            <wp:extent cx="730440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40" w:type="dxa"/>
            <w:vAlign w:val="bottom"/>
            <w:gridSpan w:val="3"/>
          </w:tcPr>
          <w:p>
            <w:pPr>
              <w:spacing w:after="0"/>
              <w:rPr>
                <w:sz w:val="20"/>
                <w:szCs w:val="20"/>
                <w:color w:val="auto"/>
              </w:rPr>
            </w:pPr>
            <w:r>
              <w:rPr>
                <w:rFonts w:ascii="Courier New" w:cs="Courier New" w:eastAsia="Courier New" w:hAnsi="Courier New"/>
                <w:sz w:val="13"/>
                <w:szCs w:val="13"/>
                <w:b w:val="1"/>
                <w:bCs w:val="1"/>
                <w:color w:val="auto"/>
              </w:rPr>
              <w:t>Appendix B</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20"/>
        </w:trPr>
        <w:tc>
          <w:tcPr>
            <w:tcW w:w="1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70"/>
        </w:trPr>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Courier New" w:cs="Courier New" w:eastAsia="Courier New" w:hAnsi="Courier New"/>
                <w:sz w:val="13"/>
                <w:szCs w:val="13"/>
                <w:color w:val="auto"/>
              </w:rPr>
              <w:t>INDEX DESCRIPTION</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63"/>
        </w:trPr>
        <w:tc>
          <w:tcPr>
            <w:tcW w:w="1240" w:type="dxa"/>
            <w:vAlign w:val="bottom"/>
          </w:tcPr>
          <w:p>
            <w:pPr>
              <w:spacing w:after="0"/>
              <w:rPr>
                <w:sz w:val="20"/>
                <w:szCs w:val="20"/>
                <w:color w:val="auto"/>
              </w:rPr>
            </w:pPr>
            <w:r>
              <w:rPr>
                <w:rFonts w:ascii="Courier New" w:cs="Courier New" w:eastAsia="Courier New" w:hAnsi="Courier New"/>
                <w:sz w:val="13"/>
                <w:szCs w:val="13"/>
                <w:color w:val="auto"/>
              </w:rPr>
              <w:t>Chromium:</w:t>
            </w:r>
          </w:p>
        </w:tc>
        <w:tc>
          <w:tcPr>
            <w:tcW w:w="2740" w:type="dxa"/>
            <w:vAlign w:val="bottom"/>
            <w:gridSpan w:val="4"/>
          </w:tcPr>
          <w:p>
            <w:pPr>
              <w:ind w:left="280"/>
              <w:spacing w:after="0"/>
              <w:rPr>
                <w:sz w:val="20"/>
                <w:szCs w:val="20"/>
                <w:color w:val="auto"/>
              </w:rPr>
            </w:pPr>
            <w:r>
              <w:rPr>
                <w:rFonts w:ascii="Courier New" w:cs="Courier New" w:eastAsia="Courier New" w:hAnsi="Courier New"/>
                <w:sz w:val="13"/>
                <w:szCs w:val="13"/>
                <w:color w:val="auto"/>
              </w:rPr>
              <w:t>Ferro chromium carbured 6-8 65</w:t>
            </w:r>
          </w:p>
        </w:tc>
        <w:tc>
          <w:tcPr>
            <w:tcW w:w="88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 Cr, Si ‹</w:t>
            </w:r>
          </w:p>
        </w:tc>
        <w:tc>
          <w:tcPr>
            <w:tcW w:w="560" w:type="dxa"/>
            <w:vAlign w:val="bottom"/>
          </w:tcPr>
          <w:p>
            <w:pPr>
              <w:ind w:left="40"/>
              <w:spacing w:after="0"/>
              <w:rPr>
                <w:sz w:val="20"/>
                <w:szCs w:val="20"/>
                <w:color w:val="auto"/>
              </w:rPr>
            </w:pPr>
            <w:r>
              <w:rPr>
                <w:rFonts w:ascii="Courier New" w:cs="Courier New" w:eastAsia="Courier New" w:hAnsi="Courier New"/>
                <w:sz w:val="13"/>
                <w:szCs w:val="13"/>
                <w:color w:val="auto"/>
              </w:rPr>
              <w:t>2 %</w:t>
            </w:r>
          </w:p>
        </w:tc>
        <w:tc>
          <w:tcPr>
            <w:tcW w:w="1560" w:type="dxa"/>
            <w:vAlign w:val="bottom"/>
          </w:tcPr>
          <w:p>
            <w:pPr>
              <w:spacing w:after="0"/>
              <w:rPr>
                <w:sz w:val="24"/>
                <w:szCs w:val="24"/>
                <w:color w:val="auto"/>
              </w:rPr>
            </w:pPr>
          </w:p>
        </w:tc>
      </w:tr>
      <w:tr>
        <w:trPr>
          <w:trHeight w:val="308"/>
        </w:trPr>
        <w:tc>
          <w:tcPr>
            <w:tcW w:w="1240" w:type="dxa"/>
            <w:vAlign w:val="bottom"/>
          </w:tcPr>
          <w:p>
            <w:pPr>
              <w:spacing w:after="0"/>
              <w:rPr>
                <w:sz w:val="24"/>
                <w:szCs w:val="24"/>
                <w:color w:val="auto"/>
              </w:rPr>
            </w:pPr>
          </w:p>
        </w:tc>
        <w:tc>
          <w:tcPr>
            <w:tcW w:w="3020" w:type="dxa"/>
            <w:vAlign w:val="bottom"/>
            <w:gridSpan w:val="5"/>
          </w:tcPr>
          <w:p>
            <w:pPr>
              <w:ind w:left="280"/>
              <w:spacing w:after="0"/>
              <w:rPr>
                <w:sz w:val="20"/>
                <w:szCs w:val="20"/>
                <w:color w:val="auto"/>
              </w:rPr>
            </w:pPr>
            <w:r>
              <w:rPr>
                <w:rFonts w:ascii="Courier New" w:cs="Courier New" w:eastAsia="Courier New" w:hAnsi="Courier New"/>
                <w:sz w:val="13"/>
                <w:szCs w:val="13"/>
                <w:color w:val="auto"/>
              </w:rPr>
              <w:t>-Average monthly price in USD/LBS</w:t>
            </w:r>
          </w:p>
        </w:tc>
        <w:tc>
          <w:tcPr>
            <w:tcW w:w="2720" w:type="dxa"/>
            <w:vAlign w:val="bottom"/>
            <w:gridSpan w:val="3"/>
          </w:tcPr>
          <w:p>
            <w:pPr>
              <w:jc w:val="right"/>
              <w:ind w:right="413"/>
              <w:spacing w:after="0"/>
              <w:rPr>
                <w:sz w:val="20"/>
                <w:szCs w:val="20"/>
                <w:color w:val="auto"/>
              </w:rPr>
            </w:pPr>
            <w:r>
              <w:rPr>
                <w:rFonts w:ascii="Courier New" w:cs="Courier New" w:eastAsia="Courier New" w:hAnsi="Courier New"/>
                <w:sz w:val="13"/>
                <w:szCs w:val="13"/>
                <w:color w:val="auto"/>
              </w:rPr>
              <w:t>(published in USINE NOUVELLE</w:t>
            </w:r>
          </w:p>
        </w:tc>
      </w:tr>
      <w:tr>
        <w:trPr>
          <w:trHeight w:val="154"/>
        </w:trPr>
        <w:tc>
          <w:tcPr>
            <w:tcW w:w="1240" w:type="dxa"/>
            <w:vAlign w:val="bottom"/>
          </w:tcPr>
          <w:p>
            <w:pPr>
              <w:spacing w:after="0"/>
              <w:rPr>
                <w:sz w:val="13"/>
                <w:szCs w:val="13"/>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3"/>
                <w:szCs w:val="13"/>
                <w:color w:val="auto"/>
                <w:w w:val="99"/>
              </w:rPr>
              <w:t>- Monthly</w:t>
            </w:r>
          </w:p>
        </w:tc>
        <w:tc>
          <w:tcPr>
            <w:tcW w:w="1740" w:type="dxa"/>
            <w:vAlign w:val="bottom"/>
            <w:gridSpan w:val="3"/>
          </w:tcPr>
          <w:p>
            <w:pPr>
              <w:ind w:left="80"/>
              <w:spacing w:after="0"/>
              <w:rPr>
                <w:sz w:val="20"/>
                <w:szCs w:val="20"/>
                <w:color w:val="auto"/>
              </w:rPr>
            </w:pPr>
            <w:r>
              <w:rPr>
                <w:rFonts w:ascii="Courier New" w:cs="Courier New" w:eastAsia="Courier New" w:hAnsi="Courier New"/>
                <w:sz w:val="13"/>
                <w:szCs w:val="13"/>
                <w:color w:val="auto"/>
              </w:rPr>
              <w:t>rate of exchange USD</w:t>
            </w:r>
          </w:p>
        </w:tc>
        <w:tc>
          <w:tcPr>
            <w:tcW w:w="280" w:type="dxa"/>
            <w:vAlign w:val="bottom"/>
          </w:tcPr>
          <w:p>
            <w:pPr>
              <w:ind w:left="40"/>
              <w:spacing w:after="0"/>
              <w:rPr>
                <w:sz w:val="20"/>
                <w:szCs w:val="20"/>
                <w:color w:val="auto"/>
              </w:rPr>
            </w:pPr>
            <w:r>
              <w:rPr>
                <w:rFonts w:ascii="Courier New" w:cs="Courier New" w:eastAsia="Courier New" w:hAnsi="Courier New"/>
                <w:sz w:val="13"/>
                <w:szCs w:val="13"/>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3"/>
                <w:szCs w:val="13"/>
                <w:color w:val="auto"/>
                <w:w w:val="98"/>
              </w:rPr>
              <w:t>EURO ("</w:t>
            </w: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560" w:type="dxa"/>
            <w:vAlign w:val="bottom"/>
          </w:tcPr>
          <w:p>
            <w:pPr>
              <w:jc w:val="right"/>
              <w:ind w:right="493"/>
              <w:spacing w:after="0"/>
              <w:rPr>
                <w:sz w:val="20"/>
                <w:szCs w:val="20"/>
                <w:color w:val="auto"/>
              </w:rPr>
            </w:pPr>
            <w:r>
              <w:rPr>
                <w:rFonts w:ascii="Courier New" w:cs="Courier New" w:eastAsia="Courier New" w:hAnsi="Courier New"/>
                <w:sz w:val="13"/>
                <w:szCs w:val="13"/>
                <w:color w:val="auto"/>
              </w:rPr>
              <w:t>"   )</w:t>
            </w:r>
          </w:p>
        </w:tc>
      </w:tr>
      <w:tr>
        <w:trPr>
          <w:trHeight w:val="308"/>
        </w:trPr>
        <w:tc>
          <w:tcPr>
            <w:tcW w:w="1240" w:type="dxa"/>
            <w:vAlign w:val="bottom"/>
          </w:tcPr>
          <w:p>
            <w:pPr>
              <w:spacing w:after="0"/>
              <w:rPr>
                <w:sz w:val="20"/>
                <w:szCs w:val="20"/>
                <w:color w:val="auto"/>
              </w:rPr>
            </w:pPr>
            <w:r>
              <w:rPr>
                <w:rFonts w:ascii="Courier New" w:cs="Courier New" w:eastAsia="Courier New" w:hAnsi="Courier New"/>
                <w:sz w:val="13"/>
                <w:szCs w:val="13"/>
                <w:color w:val="auto"/>
              </w:rPr>
              <w:t>Gas:</w:t>
            </w:r>
          </w:p>
        </w:tc>
        <w:tc>
          <w:tcPr>
            <w:tcW w:w="3620" w:type="dxa"/>
            <w:vAlign w:val="bottom"/>
            <w:gridSpan w:val="6"/>
          </w:tcPr>
          <w:p>
            <w:pPr>
              <w:jc w:val="right"/>
              <w:spacing w:after="0"/>
              <w:rPr>
                <w:sz w:val="20"/>
                <w:szCs w:val="20"/>
                <w:color w:val="auto"/>
              </w:rPr>
            </w:pPr>
            <w:r>
              <w:rPr>
                <w:rFonts w:ascii="Courier New" w:cs="Courier New" w:eastAsia="Courier New" w:hAnsi="Courier New"/>
                <w:sz w:val="13"/>
                <w:szCs w:val="13"/>
                <w:color w:val="auto"/>
              </w:rPr>
              <w:t>"gas distribué (hors vente aux ménages)"</w:t>
            </w:r>
          </w:p>
        </w:tc>
        <w:tc>
          <w:tcPr>
            <w:tcW w:w="5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54"/>
        </w:trPr>
        <w:tc>
          <w:tcPr>
            <w:tcW w:w="1240" w:type="dxa"/>
            <w:vAlign w:val="bottom"/>
          </w:tcPr>
          <w:p>
            <w:pPr>
              <w:spacing w:after="0"/>
              <w:rPr>
                <w:sz w:val="13"/>
                <w:szCs w:val="13"/>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3"/>
                <w:szCs w:val="13"/>
                <w:color w:val="auto"/>
                <w:w w:val="99"/>
              </w:rPr>
              <w:t>published</w:t>
            </w:r>
          </w:p>
        </w:tc>
        <w:tc>
          <w:tcPr>
            <w:tcW w:w="320" w:type="dxa"/>
            <w:vAlign w:val="bottom"/>
          </w:tcPr>
          <w:p>
            <w:pPr>
              <w:ind w:left="80"/>
              <w:spacing w:after="0"/>
              <w:rPr>
                <w:sz w:val="20"/>
                <w:szCs w:val="20"/>
                <w:color w:val="auto"/>
              </w:rPr>
            </w:pPr>
            <w:r>
              <w:rPr>
                <w:rFonts w:ascii="Courier New" w:cs="Courier New" w:eastAsia="Courier New" w:hAnsi="Courier New"/>
                <w:sz w:val="13"/>
                <w:szCs w:val="13"/>
                <w:color w:val="auto"/>
              </w:rPr>
              <w:t>in</w:t>
            </w:r>
          </w:p>
        </w:tc>
        <w:tc>
          <w:tcPr>
            <w:tcW w:w="2300" w:type="dxa"/>
            <w:vAlign w:val="bottom"/>
            <w:gridSpan w:val="4"/>
          </w:tcPr>
          <w:p>
            <w:pPr>
              <w:spacing w:after="0"/>
              <w:rPr>
                <w:sz w:val="20"/>
                <w:szCs w:val="20"/>
                <w:color w:val="auto"/>
              </w:rPr>
            </w:pPr>
            <w:r>
              <w:rPr>
                <w:rFonts w:ascii="Courier New" w:cs="Courier New" w:eastAsia="Courier New" w:hAnsi="Courier New"/>
                <w:sz w:val="13"/>
                <w:szCs w:val="13"/>
                <w:color w:val="auto"/>
              </w:rPr>
              <w:t>Bulletin Mensuel Statistique</w:t>
            </w:r>
          </w:p>
        </w:tc>
        <w:tc>
          <w:tcPr>
            <w:tcW w:w="212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(INSEE) - Base 100 in 1995</w:t>
            </w:r>
          </w:p>
        </w:tc>
      </w:tr>
      <w:tr>
        <w:trPr>
          <w:trHeight w:val="308"/>
        </w:trPr>
        <w:tc>
          <w:tcPr>
            <w:tcW w:w="1240" w:type="dxa"/>
            <w:vAlign w:val="bottom"/>
          </w:tcPr>
          <w:p>
            <w:pPr>
              <w:spacing w:after="0"/>
              <w:rPr>
                <w:sz w:val="20"/>
                <w:szCs w:val="20"/>
                <w:color w:val="auto"/>
              </w:rPr>
            </w:pPr>
            <w:r>
              <w:rPr>
                <w:rFonts w:ascii="Courier New" w:cs="Courier New" w:eastAsia="Courier New" w:hAnsi="Courier New"/>
                <w:sz w:val="13"/>
                <w:szCs w:val="13"/>
                <w:color w:val="auto"/>
              </w:rPr>
              <w:t>Electricity:</w:t>
            </w:r>
          </w:p>
        </w:tc>
        <w:tc>
          <w:tcPr>
            <w:tcW w:w="1320" w:type="dxa"/>
            <w:vAlign w:val="bottom"/>
            <w:gridSpan w:val="2"/>
          </w:tcPr>
          <w:p>
            <w:pPr>
              <w:ind w:left="280"/>
              <w:spacing w:after="0"/>
              <w:rPr>
                <w:sz w:val="20"/>
                <w:szCs w:val="20"/>
                <w:color w:val="auto"/>
              </w:rPr>
            </w:pPr>
            <w:r>
              <w:rPr>
                <w:rFonts w:ascii="Courier New" w:cs="Courier New" w:eastAsia="Courier New" w:hAnsi="Courier New"/>
                <w:sz w:val="13"/>
                <w:szCs w:val="13"/>
                <w:color w:val="auto"/>
              </w:rPr>
              <w:t>"Electricité</w:t>
            </w:r>
          </w:p>
        </w:tc>
        <w:tc>
          <w:tcPr>
            <w:tcW w:w="1420" w:type="dxa"/>
            <w:vAlign w:val="bottom"/>
            <w:gridSpan w:val="2"/>
          </w:tcPr>
          <w:p>
            <w:pPr>
              <w:spacing w:after="0"/>
              <w:rPr>
                <w:sz w:val="20"/>
                <w:szCs w:val="20"/>
                <w:color w:val="auto"/>
              </w:rPr>
            </w:pPr>
            <w:r>
              <w:rPr>
                <w:rFonts w:ascii="Courier New" w:cs="Courier New" w:eastAsia="Courier New" w:hAnsi="Courier New"/>
                <w:sz w:val="13"/>
                <w:szCs w:val="13"/>
                <w:color w:val="auto"/>
              </w:rPr>
              <w:t>base tension"</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54"/>
        </w:trPr>
        <w:tc>
          <w:tcPr>
            <w:tcW w:w="1240" w:type="dxa"/>
            <w:vAlign w:val="bottom"/>
          </w:tcPr>
          <w:p>
            <w:pPr>
              <w:spacing w:after="0"/>
              <w:rPr>
                <w:sz w:val="13"/>
                <w:szCs w:val="13"/>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3"/>
                <w:szCs w:val="13"/>
                <w:color w:val="auto"/>
                <w:w w:val="99"/>
              </w:rPr>
              <w:t>published</w:t>
            </w:r>
          </w:p>
        </w:tc>
        <w:tc>
          <w:tcPr>
            <w:tcW w:w="320" w:type="dxa"/>
            <w:vAlign w:val="bottom"/>
          </w:tcPr>
          <w:p>
            <w:pPr>
              <w:ind w:left="80"/>
              <w:spacing w:after="0"/>
              <w:rPr>
                <w:sz w:val="20"/>
                <w:szCs w:val="20"/>
                <w:color w:val="auto"/>
              </w:rPr>
            </w:pPr>
            <w:r>
              <w:rPr>
                <w:rFonts w:ascii="Courier New" w:cs="Courier New" w:eastAsia="Courier New" w:hAnsi="Courier New"/>
                <w:sz w:val="13"/>
                <w:szCs w:val="13"/>
                <w:color w:val="auto"/>
              </w:rPr>
              <w:t>in</w:t>
            </w:r>
          </w:p>
        </w:tc>
        <w:tc>
          <w:tcPr>
            <w:tcW w:w="1420" w:type="dxa"/>
            <w:vAlign w:val="bottom"/>
            <w:gridSpan w:val="2"/>
          </w:tcPr>
          <w:p>
            <w:pPr>
              <w:spacing w:after="0"/>
              <w:rPr>
                <w:sz w:val="20"/>
                <w:szCs w:val="20"/>
                <w:color w:val="auto"/>
              </w:rPr>
            </w:pPr>
            <w:r>
              <w:rPr>
                <w:rFonts w:ascii="Courier New" w:cs="Courier New" w:eastAsia="Courier New" w:hAnsi="Courier New"/>
                <w:sz w:val="13"/>
                <w:szCs w:val="13"/>
                <w:color w:val="auto"/>
              </w:rPr>
              <w:t>"Bulletin Mensuel</w:t>
            </w:r>
          </w:p>
        </w:tc>
        <w:tc>
          <w:tcPr>
            <w:tcW w:w="3000" w:type="dxa"/>
            <w:vAlign w:val="bottom"/>
            <w:gridSpan w:val="4"/>
          </w:tcPr>
          <w:p>
            <w:pPr>
              <w:ind w:left="40"/>
              <w:spacing w:after="0"/>
              <w:rPr>
                <w:sz w:val="20"/>
                <w:szCs w:val="20"/>
                <w:color w:val="auto"/>
              </w:rPr>
            </w:pPr>
            <w:r>
              <w:rPr>
                <w:rFonts w:ascii="Courier New" w:cs="Courier New" w:eastAsia="Courier New" w:hAnsi="Courier New"/>
                <w:sz w:val="13"/>
                <w:szCs w:val="13"/>
                <w:color w:val="auto"/>
              </w:rPr>
              <w:t>Statistique"  - Base 100 in 1995</w:t>
            </w:r>
          </w:p>
        </w:tc>
      </w:tr>
      <w:tr>
        <w:trPr>
          <w:trHeight w:val="308"/>
        </w:trPr>
        <w:tc>
          <w:tcPr>
            <w:tcW w:w="1240" w:type="dxa"/>
            <w:vAlign w:val="bottom"/>
          </w:tcPr>
          <w:p>
            <w:pPr>
              <w:spacing w:after="0"/>
              <w:rPr>
                <w:sz w:val="20"/>
                <w:szCs w:val="20"/>
                <w:color w:val="auto"/>
              </w:rPr>
            </w:pPr>
            <w:r>
              <w:rPr>
                <w:rFonts w:ascii="Courier New" w:cs="Courier New" w:eastAsia="Courier New" w:hAnsi="Courier New"/>
                <w:sz w:val="13"/>
                <w:szCs w:val="13"/>
                <w:color w:val="auto"/>
              </w:rPr>
              <w:t>Man power:</w:t>
            </w:r>
          </w:p>
        </w:tc>
        <w:tc>
          <w:tcPr>
            <w:tcW w:w="1000" w:type="dxa"/>
            <w:vAlign w:val="bottom"/>
          </w:tcPr>
          <w:p>
            <w:pPr>
              <w:ind w:left="280"/>
              <w:spacing w:after="0"/>
              <w:rPr>
                <w:sz w:val="20"/>
                <w:szCs w:val="20"/>
                <w:color w:val="auto"/>
              </w:rPr>
            </w:pPr>
            <w:r>
              <w:rPr>
                <w:rFonts w:ascii="Courier New" w:cs="Courier New" w:eastAsia="Courier New" w:hAnsi="Courier New"/>
                <w:sz w:val="13"/>
                <w:szCs w:val="13"/>
                <w:color w:val="auto"/>
                <w:w w:val="99"/>
              </w:rPr>
              <w:t>"cout  de</w:t>
            </w:r>
          </w:p>
        </w:tc>
        <w:tc>
          <w:tcPr>
            <w:tcW w:w="320" w:type="dxa"/>
            <w:vAlign w:val="bottom"/>
          </w:tcPr>
          <w:p>
            <w:pPr>
              <w:ind w:left="160"/>
              <w:spacing w:after="0"/>
              <w:rPr>
                <w:sz w:val="20"/>
                <w:szCs w:val="20"/>
                <w:color w:val="auto"/>
              </w:rPr>
            </w:pPr>
            <w:r>
              <w:rPr>
                <w:rFonts w:ascii="Courier New" w:cs="Courier New" w:eastAsia="Courier New" w:hAnsi="Courier New"/>
                <w:sz w:val="13"/>
                <w:szCs w:val="13"/>
                <w:color w:val="auto"/>
                <w:w w:val="89"/>
              </w:rPr>
              <w:t>la</w:t>
            </w:r>
          </w:p>
        </w:tc>
        <w:tc>
          <w:tcPr>
            <w:tcW w:w="1420" w:type="dxa"/>
            <w:vAlign w:val="bottom"/>
            <w:gridSpan w:val="2"/>
          </w:tcPr>
          <w:p>
            <w:pPr>
              <w:ind w:left="160"/>
              <w:spacing w:after="0"/>
              <w:rPr>
                <w:sz w:val="20"/>
                <w:szCs w:val="20"/>
                <w:color w:val="auto"/>
              </w:rPr>
            </w:pPr>
            <w:r>
              <w:rPr>
                <w:rFonts w:ascii="Courier New" w:cs="Courier New" w:eastAsia="Courier New" w:hAnsi="Courier New"/>
                <w:sz w:val="13"/>
                <w:szCs w:val="13"/>
                <w:color w:val="auto"/>
              </w:rPr>
              <w:t>main  d'oeuvre</w:t>
            </w:r>
          </w:p>
        </w:tc>
        <w:tc>
          <w:tcPr>
            <w:tcW w:w="280" w:type="dxa"/>
            <w:vAlign w:val="bottom"/>
          </w:tcPr>
          <w:p>
            <w:pPr>
              <w:ind w:left="40"/>
              <w:spacing w:after="0"/>
              <w:rPr>
                <w:sz w:val="20"/>
                <w:szCs w:val="20"/>
                <w:color w:val="auto"/>
              </w:rPr>
            </w:pPr>
            <w:r>
              <w:rPr>
                <w:rFonts w:ascii="Courier New" w:cs="Courier New" w:eastAsia="Courier New" w:hAnsi="Courier New"/>
                <w:sz w:val="13"/>
                <w:szCs w:val="13"/>
                <w:color w:val="auto"/>
                <w:w w:val="93"/>
              </w:rPr>
              <w:t>des</w:t>
            </w:r>
          </w:p>
        </w:tc>
        <w:tc>
          <w:tcPr>
            <w:tcW w:w="1160" w:type="dxa"/>
            <w:vAlign w:val="bottom"/>
            <w:gridSpan w:val="2"/>
          </w:tcPr>
          <w:p>
            <w:pPr>
              <w:jc w:val="right"/>
              <w:ind w:right="133"/>
              <w:spacing w:after="0"/>
              <w:rPr>
                <w:sz w:val="20"/>
                <w:szCs w:val="20"/>
                <w:color w:val="auto"/>
              </w:rPr>
            </w:pPr>
            <w:r>
              <w:rPr>
                <w:rFonts w:ascii="Courier New" w:cs="Courier New" w:eastAsia="Courier New" w:hAnsi="Courier New"/>
                <w:sz w:val="13"/>
                <w:szCs w:val="13"/>
                <w:color w:val="auto"/>
              </w:rPr>
              <w:t>industries</w:t>
            </w:r>
          </w:p>
        </w:tc>
        <w:tc>
          <w:tcPr>
            <w:tcW w:w="1560" w:type="dxa"/>
            <w:vAlign w:val="bottom"/>
          </w:tcPr>
          <w:p>
            <w:pPr>
              <w:jc w:val="right"/>
              <w:ind w:right="653"/>
              <w:spacing w:after="0"/>
              <w:rPr>
                <w:sz w:val="20"/>
                <w:szCs w:val="20"/>
                <w:color w:val="auto"/>
              </w:rPr>
            </w:pPr>
            <w:r>
              <w:rPr>
                <w:rFonts w:ascii="Courier New" w:cs="Courier New" w:eastAsia="Courier New" w:hAnsi="Courier New"/>
                <w:sz w:val="13"/>
                <w:szCs w:val="13"/>
                <w:color w:val="auto"/>
              </w:rPr>
              <w:t>mécaniques</w:t>
            </w:r>
          </w:p>
        </w:tc>
      </w:tr>
      <w:tr>
        <w:trPr>
          <w:trHeight w:val="154"/>
        </w:trPr>
        <w:tc>
          <w:tcPr>
            <w:tcW w:w="1240" w:type="dxa"/>
            <w:vAlign w:val="bottom"/>
          </w:tcPr>
          <w:p>
            <w:pPr>
              <w:spacing w:after="0"/>
              <w:rPr>
                <w:sz w:val="13"/>
                <w:szCs w:val="13"/>
                <w:color w:val="auto"/>
              </w:rPr>
            </w:pPr>
          </w:p>
        </w:tc>
        <w:tc>
          <w:tcPr>
            <w:tcW w:w="2740" w:type="dxa"/>
            <w:vAlign w:val="bottom"/>
            <w:gridSpan w:val="4"/>
          </w:tcPr>
          <w:p>
            <w:pPr>
              <w:ind w:left="280"/>
              <w:spacing w:after="0"/>
              <w:rPr>
                <w:sz w:val="20"/>
                <w:szCs w:val="20"/>
                <w:color w:val="auto"/>
              </w:rPr>
            </w:pPr>
            <w:r>
              <w:rPr>
                <w:rFonts w:ascii="Courier New" w:cs="Courier New" w:eastAsia="Courier New" w:hAnsi="Courier New"/>
                <w:sz w:val="13"/>
                <w:szCs w:val="13"/>
                <w:color w:val="auto"/>
              </w:rPr>
              <w:t>et  electriques  published  in</w:t>
            </w:r>
          </w:p>
        </w:tc>
        <w:tc>
          <w:tcPr>
            <w:tcW w:w="3000" w:type="dxa"/>
            <w:vAlign w:val="bottom"/>
            <w:gridSpan w:val="4"/>
          </w:tcPr>
          <w:p>
            <w:pPr>
              <w:ind w:left="40"/>
              <w:spacing w:after="0"/>
              <w:rPr>
                <w:sz w:val="20"/>
                <w:szCs w:val="20"/>
                <w:color w:val="auto"/>
              </w:rPr>
            </w:pPr>
            <w:r>
              <w:rPr>
                <w:rFonts w:ascii="Courier New" w:cs="Courier New" w:eastAsia="Courier New" w:hAnsi="Courier New"/>
                <w:sz w:val="13"/>
                <w:szCs w:val="13"/>
                <w:color w:val="auto"/>
              </w:rPr>
              <w:t>"Bulletin Mensuel Statistique" -</w:t>
            </w:r>
          </w:p>
        </w:tc>
      </w:tr>
    </w:tbl>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3"/>
          <w:szCs w:val="13"/>
          <w:color w:val="auto"/>
        </w:rPr>
        <w:t>Base 100 in October 1997</w:t>
      </w:r>
    </w:p>
    <w:p>
      <w:pPr>
        <w:sectPr>
          <w:pgSz w:w="11900" w:h="16838" w:orient="portrait"/>
          <w:cols w:equalWidth="0" w:num="1">
            <w:col w:w="11460"/>
          </w:cols>
          <w:pgMar w:left="220" w:top="450" w:right="219" w:bottom="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49"/>
        </w:trPr>
        <w:tc>
          <w:tcPr>
            <w:tcW w:w="1760" w:type="dxa"/>
            <w:vAlign w:val="bottom"/>
          </w:tcPr>
          <w:p>
            <w:pPr>
              <w:spacing w:after="0"/>
              <w:rPr>
                <w:sz w:val="20"/>
                <w:szCs w:val="20"/>
                <w:color w:val="auto"/>
              </w:rPr>
            </w:pPr>
            <w:r>
              <w:rPr>
                <w:rFonts w:ascii="Courier New" w:cs="Courier New" w:eastAsia="Courier New" w:hAnsi="Courier New"/>
                <w:sz w:val="13"/>
                <w:szCs w:val="13"/>
                <w:color w:val="auto"/>
              </w:rPr>
              <w:t>Other cost:</w:t>
            </w:r>
          </w:p>
        </w:tc>
        <w:tc>
          <w:tcPr>
            <w:tcW w:w="1080" w:type="dxa"/>
            <w:vAlign w:val="bottom"/>
          </w:tcPr>
          <w:p>
            <w:pPr>
              <w:ind w:left="160"/>
              <w:spacing w:after="0"/>
              <w:rPr>
                <w:sz w:val="20"/>
                <w:szCs w:val="20"/>
                <w:color w:val="auto"/>
              </w:rPr>
            </w:pPr>
            <w:r>
              <w:rPr>
                <w:rFonts w:ascii="Courier New" w:cs="Courier New" w:eastAsia="Courier New" w:hAnsi="Courier New"/>
                <w:sz w:val="13"/>
                <w:szCs w:val="13"/>
                <w:color w:val="auto"/>
              </w:rPr>
              <w:t>Produits et</w:t>
            </w:r>
          </w:p>
        </w:tc>
        <w:tc>
          <w:tcPr>
            <w:tcW w:w="740" w:type="dxa"/>
            <w:vAlign w:val="bottom"/>
          </w:tcPr>
          <w:p>
            <w:pPr>
              <w:ind w:left="40"/>
              <w:spacing w:after="0"/>
              <w:rPr>
                <w:sz w:val="20"/>
                <w:szCs w:val="20"/>
                <w:color w:val="auto"/>
              </w:rPr>
            </w:pPr>
            <w:r>
              <w:rPr>
                <w:rFonts w:ascii="Courier New" w:cs="Courier New" w:eastAsia="Courier New" w:hAnsi="Courier New"/>
                <w:sz w:val="13"/>
                <w:szCs w:val="13"/>
                <w:color w:val="auto"/>
              </w:rPr>
              <w:t>Services</w:t>
            </w:r>
          </w:p>
        </w:tc>
        <w:tc>
          <w:tcPr>
            <w:tcW w:w="920" w:type="dxa"/>
            <w:vAlign w:val="bottom"/>
          </w:tcPr>
          <w:p>
            <w:pPr>
              <w:ind w:left="40"/>
              <w:spacing w:after="0"/>
              <w:rPr>
                <w:sz w:val="20"/>
                <w:szCs w:val="20"/>
                <w:color w:val="auto"/>
              </w:rPr>
            </w:pPr>
            <w:r>
              <w:rPr>
                <w:rFonts w:ascii="Courier New" w:cs="Courier New" w:eastAsia="Courier New" w:hAnsi="Courier New"/>
                <w:sz w:val="13"/>
                <w:szCs w:val="13"/>
                <w:color w:val="auto"/>
              </w:rPr>
              <w:t>Divers  "B"</w:t>
            </w:r>
          </w:p>
        </w:tc>
        <w:tc>
          <w:tcPr>
            <w:tcW w:w="2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880" w:type="dxa"/>
            <w:vAlign w:val="bottom"/>
          </w:tcPr>
          <w:p>
            <w:pPr>
              <w:ind w:left="40"/>
              <w:spacing w:after="0"/>
              <w:rPr>
                <w:sz w:val="20"/>
                <w:szCs w:val="20"/>
                <w:color w:val="auto"/>
              </w:rPr>
            </w:pPr>
            <w:r>
              <w:rPr>
                <w:rFonts w:ascii="Courier New" w:cs="Courier New" w:eastAsia="Courier New" w:hAnsi="Courier New"/>
                <w:sz w:val="13"/>
                <w:szCs w:val="13"/>
                <w:color w:val="auto"/>
              </w:rPr>
              <w:t>PsdB</w:t>
            </w:r>
          </w:p>
        </w:tc>
      </w:tr>
      <w:tr>
        <w:trPr>
          <w:trHeight w:val="154"/>
        </w:trPr>
        <w:tc>
          <w:tcPr>
            <w:tcW w:w="1760" w:type="dxa"/>
            <w:vAlign w:val="bottom"/>
          </w:tcPr>
          <w:p>
            <w:pPr>
              <w:spacing w:after="0"/>
              <w:rPr>
                <w:sz w:val="20"/>
                <w:szCs w:val="20"/>
                <w:color w:val="auto"/>
              </w:rPr>
            </w:pPr>
            <w:r>
              <w:rPr>
                <w:rFonts w:ascii="Courier New" w:cs="Courier New" w:eastAsia="Courier New" w:hAnsi="Courier New"/>
                <w:sz w:val="13"/>
                <w:szCs w:val="13"/>
                <w:color w:val="auto"/>
              </w:rPr>
              <w:t>(including addition)</w:t>
            </w:r>
          </w:p>
        </w:tc>
        <w:tc>
          <w:tcPr>
            <w:tcW w:w="2740" w:type="dxa"/>
            <w:vAlign w:val="bottom"/>
            <w:gridSpan w:val="3"/>
          </w:tcPr>
          <w:p>
            <w:pPr>
              <w:ind w:left="160"/>
              <w:spacing w:after="0"/>
              <w:rPr>
                <w:sz w:val="20"/>
                <w:szCs w:val="20"/>
                <w:color w:val="auto"/>
              </w:rPr>
            </w:pPr>
            <w:r>
              <w:rPr>
                <w:rFonts w:ascii="Courier New" w:cs="Courier New" w:eastAsia="Courier New" w:hAnsi="Courier New"/>
                <w:sz w:val="13"/>
                <w:szCs w:val="13"/>
                <w:color w:val="auto"/>
              </w:rPr>
              <w:t>published in "Bulletin Officiel</w:t>
            </w:r>
          </w:p>
        </w:tc>
        <w:tc>
          <w:tcPr>
            <w:tcW w:w="2160" w:type="dxa"/>
            <w:vAlign w:val="bottom"/>
            <w:gridSpan w:val="2"/>
          </w:tcPr>
          <w:p>
            <w:pPr>
              <w:spacing w:after="0"/>
              <w:rPr>
                <w:sz w:val="20"/>
                <w:szCs w:val="20"/>
                <w:color w:val="auto"/>
              </w:rPr>
            </w:pPr>
            <w:r>
              <w:rPr>
                <w:rFonts w:ascii="Courier New" w:cs="Courier New" w:eastAsia="Courier New" w:hAnsi="Courier New"/>
                <w:sz w:val="13"/>
                <w:szCs w:val="13"/>
                <w:color w:val="auto"/>
              </w:rPr>
              <w:t>de la Consommation et de la</w:t>
            </w:r>
          </w:p>
        </w:tc>
      </w:tr>
      <w:tr>
        <w:trPr>
          <w:trHeight w:val="154"/>
        </w:trPr>
        <w:tc>
          <w:tcPr>
            <w:tcW w:w="1760" w:type="dxa"/>
            <w:vAlign w:val="bottom"/>
          </w:tcPr>
          <w:p>
            <w:pPr>
              <w:spacing w:after="0"/>
              <w:rPr>
                <w:sz w:val="13"/>
                <w:szCs w:val="13"/>
                <w:color w:val="auto"/>
              </w:rPr>
            </w:pPr>
          </w:p>
        </w:tc>
        <w:tc>
          <w:tcPr>
            <w:tcW w:w="1080" w:type="dxa"/>
            <w:vAlign w:val="bottom"/>
          </w:tcPr>
          <w:p>
            <w:pPr>
              <w:ind w:left="160"/>
              <w:spacing w:after="0"/>
              <w:rPr>
                <w:sz w:val="20"/>
                <w:szCs w:val="20"/>
                <w:color w:val="auto"/>
              </w:rPr>
            </w:pPr>
            <w:r>
              <w:rPr>
                <w:rFonts w:ascii="Courier New" w:cs="Courier New" w:eastAsia="Courier New" w:hAnsi="Courier New"/>
                <w:sz w:val="13"/>
                <w:szCs w:val="13"/>
                <w:color w:val="auto"/>
              </w:rPr>
              <w:t>Concurrence</w:t>
            </w:r>
          </w:p>
        </w:tc>
        <w:tc>
          <w:tcPr>
            <w:tcW w:w="740" w:type="dxa"/>
            <w:vAlign w:val="bottom"/>
          </w:tcPr>
          <w:p>
            <w:pPr>
              <w:ind w:left="40"/>
              <w:spacing w:after="0"/>
              <w:rPr>
                <w:sz w:val="20"/>
                <w:szCs w:val="20"/>
                <w:color w:val="auto"/>
              </w:rPr>
            </w:pPr>
            <w:r>
              <w:rPr>
                <w:rFonts w:ascii="Courier New" w:cs="Courier New" w:eastAsia="Courier New" w:hAnsi="Courier New"/>
                <w:sz w:val="13"/>
                <w:szCs w:val="13"/>
                <w:color w:val="auto"/>
              </w:rPr>
              <w:t>et de la</w:t>
            </w:r>
          </w:p>
        </w:tc>
        <w:tc>
          <w:tcPr>
            <w:tcW w:w="920" w:type="dxa"/>
            <w:vAlign w:val="bottom"/>
          </w:tcPr>
          <w:p>
            <w:pPr>
              <w:ind w:left="40"/>
              <w:spacing w:after="0"/>
              <w:rPr>
                <w:sz w:val="20"/>
                <w:szCs w:val="20"/>
                <w:color w:val="auto"/>
              </w:rPr>
            </w:pPr>
            <w:r>
              <w:rPr>
                <w:rFonts w:ascii="Courier New" w:cs="Courier New" w:eastAsia="Courier New" w:hAnsi="Courier New"/>
                <w:sz w:val="13"/>
                <w:szCs w:val="13"/>
                <w:color w:val="auto"/>
              </w:rPr>
              <w:t>Repression</w:t>
            </w:r>
          </w:p>
        </w:tc>
        <w:tc>
          <w:tcPr>
            <w:tcW w:w="280" w:type="dxa"/>
            <w:vAlign w:val="bottom"/>
          </w:tcPr>
          <w:p>
            <w:pPr>
              <w:jc w:val="right"/>
              <w:spacing w:after="0"/>
              <w:rPr>
                <w:sz w:val="20"/>
                <w:szCs w:val="20"/>
                <w:color w:val="auto"/>
              </w:rPr>
            </w:pPr>
            <w:r>
              <w:rPr>
                <w:rFonts w:ascii="Courier New" w:cs="Courier New" w:eastAsia="Courier New" w:hAnsi="Courier New"/>
                <w:sz w:val="13"/>
                <w:szCs w:val="13"/>
                <w:color w:val="auto"/>
                <w:w w:val="93"/>
              </w:rPr>
              <w:t>des</w:t>
            </w:r>
          </w:p>
        </w:tc>
        <w:tc>
          <w:tcPr>
            <w:tcW w:w="1880" w:type="dxa"/>
            <w:vAlign w:val="bottom"/>
          </w:tcPr>
          <w:p>
            <w:pPr>
              <w:ind w:left="40"/>
              <w:spacing w:after="0"/>
              <w:rPr>
                <w:sz w:val="20"/>
                <w:szCs w:val="20"/>
                <w:color w:val="auto"/>
              </w:rPr>
            </w:pPr>
            <w:r>
              <w:rPr>
                <w:rFonts w:ascii="Courier New" w:cs="Courier New" w:eastAsia="Courier New" w:hAnsi="Courier New"/>
                <w:sz w:val="13"/>
                <w:szCs w:val="13"/>
                <w:color w:val="auto"/>
              </w:rPr>
              <w:t>Fraudes"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367665</wp:posOffset>
            </wp:positionV>
            <wp:extent cx="730440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9060"/>
        <w:spacing w:after="0"/>
        <w:rPr>
          <w:sz w:val="20"/>
          <w:szCs w:val="20"/>
          <w:color w:val="auto"/>
        </w:rPr>
      </w:pPr>
      <w:r>
        <w:rPr>
          <w:rFonts w:ascii="Courier New" w:cs="Courier New" w:eastAsia="Courier New" w:hAnsi="Courier New"/>
          <w:sz w:val="13"/>
          <w:szCs w:val="13"/>
          <w:color w:val="auto"/>
        </w:rPr>
        <w:t>6.6.2002</w:t>
      </w:r>
    </w:p>
    <w:p>
      <w:pPr>
        <w:spacing w:after="0" w:line="161"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b w:val="1"/>
          <w:bCs w:val="1"/>
          <w:color w:val="auto"/>
        </w:rPr>
        <w:t>Appendix C</w:t>
      </w:r>
    </w:p>
    <w:p>
      <w:pPr>
        <w:spacing w:after="0" w:line="161" w:lineRule="exact"/>
        <w:rPr>
          <w:sz w:val="20"/>
          <w:szCs w:val="20"/>
          <w:color w:val="auto"/>
        </w:rPr>
      </w:pPr>
    </w:p>
    <w:p>
      <w:pPr>
        <w:ind w:left="1360"/>
        <w:spacing w:after="0"/>
        <w:rPr>
          <w:sz w:val="20"/>
          <w:szCs w:val="20"/>
          <w:color w:val="auto"/>
        </w:rPr>
      </w:pPr>
      <w:r>
        <w:rPr>
          <w:rFonts w:ascii="Courier New" w:cs="Courier New" w:eastAsia="Courier New" w:hAnsi="Courier New"/>
          <w:sz w:val="13"/>
          <w:szCs w:val="13"/>
          <w:b w:val="1"/>
          <w:bCs w:val="1"/>
          <w:color w:val="auto"/>
        </w:rPr>
        <w:t>EUROBALL - ASCOMETAL - PRICE ESCALATION FORMULA</w:t>
      </w:r>
    </w:p>
    <w:p>
      <w:pPr>
        <w:spacing w:after="0" w:line="315" w:lineRule="exact"/>
        <w:rPr>
          <w:sz w:val="20"/>
          <w:szCs w:val="20"/>
          <w:color w:val="auto"/>
        </w:rPr>
      </w:pPr>
    </w:p>
    <w:p>
      <w:pPr>
        <w:ind w:left="72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271145</wp:posOffset>
            </wp:positionV>
            <wp:extent cx="730440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3"/>
          <w:szCs w:val="13"/>
          <w:color w:val="auto"/>
        </w:rPr>
        <w:t>6.6.2002</w:t>
      </w:r>
    </w:p>
    <w:p>
      <w:pPr>
        <w:spacing w:after="0" w:line="161" w:lineRule="exact"/>
        <w:rPr>
          <w:sz w:val="20"/>
          <w:szCs w:val="20"/>
          <w:color w:val="auto"/>
        </w:rPr>
      </w:pPr>
    </w:p>
    <w:p>
      <w:pPr>
        <w:ind w:left="1920"/>
        <w:spacing w:after="0"/>
        <w:rPr>
          <w:sz w:val="20"/>
          <w:szCs w:val="20"/>
          <w:color w:val="auto"/>
        </w:rPr>
      </w:pPr>
      <w:r>
        <w:rPr>
          <w:rFonts w:ascii="Courier New" w:cs="Courier New" w:eastAsia="Courier New" w:hAnsi="Courier New"/>
          <w:sz w:val="13"/>
          <w:szCs w:val="13"/>
          <w:color w:val="auto"/>
        </w:rPr>
        <w:t>Supply agreement</w:t>
      </w:r>
    </w:p>
    <w:p>
      <w:pPr>
        <w:spacing w:after="0" w:line="7" w:lineRule="exact"/>
        <w:rPr>
          <w:sz w:val="20"/>
          <w:szCs w:val="20"/>
          <w:color w:val="auto"/>
        </w:rPr>
      </w:pPr>
    </w:p>
    <w:p>
      <w:pPr>
        <w:ind w:left="1920"/>
        <w:spacing w:after="0"/>
        <w:rPr>
          <w:sz w:val="20"/>
          <w:szCs w:val="20"/>
          <w:color w:val="auto"/>
        </w:rPr>
      </w:pPr>
      <w:r>
        <w:rPr>
          <w:rFonts w:ascii="Courier New" w:cs="Courier New" w:eastAsia="Courier New" w:hAnsi="Courier New"/>
          <w:sz w:val="13"/>
          <w:szCs w:val="13"/>
          <w:color w:val="auto"/>
        </w:rPr>
        <w:t>EUROBALL/ASCOMETAL</w:t>
      </w:r>
    </w:p>
    <w:p>
      <w:pPr>
        <w:spacing w:after="0" w:line="7" w:lineRule="exact"/>
        <w:rPr>
          <w:sz w:val="20"/>
          <w:szCs w:val="20"/>
          <w:color w:val="auto"/>
        </w:rPr>
      </w:pPr>
    </w:p>
    <w:p>
      <w:pPr>
        <w:ind w:left="2080" w:hanging="153"/>
        <w:spacing w:after="0"/>
        <w:tabs>
          <w:tab w:leader="none" w:pos="2080" w:val="left"/>
        </w:tabs>
        <w:numPr>
          <w:ilvl w:val="0"/>
          <w:numId w:val="68"/>
        </w:numPr>
        <w:rPr>
          <w:rFonts w:ascii="Courier New" w:cs="Courier New" w:eastAsia="Courier New" w:hAnsi="Courier New"/>
          <w:sz w:val="13"/>
          <w:szCs w:val="13"/>
          <w:color w:val="auto"/>
        </w:rPr>
      </w:pPr>
      <w:r>
        <w:rPr>
          <w:rFonts w:ascii="Courier New" w:cs="Courier New" w:eastAsia="Courier New" w:hAnsi="Courier New"/>
          <w:sz w:val="13"/>
          <w:szCs w:val="13"/>
          <w:color w:val="auto"/>
        </w:rPr>
        <w:t>Appendix C - page 1</w:t>
      </w:r>
    </w:p>
    <w:p>
      <w:pPr>
        <w:spacing w:after="0" w:line="6" w:lineRule="exact"/>
        <w:rPr>
          <w:rFonts w:ascii="Courier New" w:cs="Courier New" w:eastAsia="Courier New" w:hAnsi="Courier New"/>
          <w:sz w:val="13"/>
          <w:szCs w:val="13"/>
          <w:color w:val="auto"/>
        </w:rPr>
      </w:pPr>
    </w:p>
    <w:p>
      <w:pPr>
        <w:ind w:left="1920"/>
        <w:spacing w:after="0"/>
        <w:rPr>
          <w:rFonts w:ascii="Courier New" w:cs="Courier New" w:eastAsia="Courier New" w:hAnsi="Courier New"/>
          <w:sz w:val="13"/>
          <w:szCs w:val="13"/>
          <w:color w:val="auto"/>
        </w:rPr>
      </w:pPr>
      <w:r>
        <w:rPr>
          <w:rFonts w:ascii="Courier New" w:cs="Courier New" w:eastAsia="Courier New" w:hAnsi="Courier New"/>
          <w:sz w:val="13"/>
          <w:szCs w:val="13"/>
          <w:u w:val="single" w:color="auto"/>
          <w:color w:val="auto"/>
        </w:rPr>
        <w:t>INDEX DEVELOPMENT</w:t>
      </w:r>
    </w:p>
    <w:p>
      <w:pPr>
        <w:spacing w:after="0" w:line="161" w:lineRule="exact"/>
        <w:rPr>
          <w:sz w:val="20"/>
          <w:szCs w:val="20"/>
          <w:color w:val="auto"/>
        </w:rPr>
      </w:pPr>
    </w:p>
    <w:p>
      <w:pPr>
        <w:ind w:left="72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left="580"/>
        <w:spacing w:after="0"/>
        <w:rPr>
          <w:sz w:val="20"/>
          <w:szCs w:val="20"/>
          <w:color w:val="auto"/>
        </w:rPr>
      </w:pPr>
      <w:r>
        <w:rPr>
          <w:rFonts w:ascii="Courier New" w:cs="Courier New" w:eastAsia="Courier New" w:hAnsi="Courier New"/>
          <w:sz w:val="13"/>
          <w:szCs w:val="13"/>
          <w:color w:val="auto"/>
        </w:rPr>
        <w:t>6.6.2002</w:t>
      </w:r>
    </w:p>
    <w:p>
      <w:pPr>
        <w:spacing w:after="0" w:line="161" w:lineRule="exact"/>
        <w:rPr>
          <w:sz w:val="20"/>
          <w:szCs w:val="20"/>
          <w:color w:val="auto"/>
        </w:rPr>
      </w:pPr>
    </w:p>
    <w:p>
      <w:pPr>
        <w:ind w:left="1920"/>
        <w:spacing w:after="0"/>
        <w:rPr>
          <w:sz w:val="20"/>
          <w:szCs w:val="20"/>
          <w:color w:val="auto"/>
        </w:rPr>
      </w:pPr>
      <w:r>
        <w:rPr>
          <w:rFonts w:ascii="Courier New" w:cs="Courier New" w:eastAsia="Courier New" w:hAnsi="Courier New"/>
          <w:sz w:val="13"/>
          <w:szCs w:val="13"/>
          <w:color w:val="auto"/>
        </w:rPr>
        <w:t>Supply agreement</w:t>
      </w:r>
    </w:p>
    <w:p>
      <w:pPr>
        <w:spacing w:after="0" w:line="7" w:lineRule="exact"/>
        <w:rPr>
          <w:sz w:val="20"/>
          <w:szCs w:val="20"/>
          <w:color w:val="auto"/>
        </w:rPr>
      </w:pPr>
    </w:p>
    <w:p>
      <w:pPr>
        <w:ind w:left="1920"/>
        <w:spacing w:after="0"/>
        <w:rPr>
          <w:sz w:val="20"/>
          <w:szCs w:val="20"/>
          <w:color w:val="auto"/>
        </w:rPr>
      </w:pPr>
      <w:r>
        <w:rPr>
          <w:rFonts w:ascii="Courier New" w:cs="Courier New" w:eastAsia="Courier New" w:hAnsi="Courier New"/>
          <w:sz w:val="13"/>
          <w:szCs w:val="13"/>
          <w:color w:val="auto"/>
        </w:rPr>
        <w:t>EUROBALL/ASCOMETAL -</w:t>
      </w:r>
    </w:p>
    <w:p>
      <w:pPr>
        <w:spacing w:after="0" w:line="7" w:lineRule="exact"/>
        <w:rPr>
          <w:sz w:val="20"/>
          <w:szCs w:val="20"/>
          <w:color w:val="auto"/>
        </w:rPr>
      </w:pPr>
    </w:p>
    <w:p>
      <w:pPr>
        <w:ind w:left="1920"/>
        <w:spacing w:after="0"/>
        <w:rPr>
          <w:sz w:val="20"/>
          <w:szCs w:val="20"/>
          <w:color w:val="auto"/>
        </w:rPr>
      </w:pPr>
      <w:r>
        <w:rPr>
          <w:rFonts w:ascii="Courier New" w:cs="Courier New" w:eastAsia="Courier New" w:hAnsi="Courier New"/>
          <w:sz w:val="13"/>
          <w:szCs w:val="13"/>
          <w:color w:val="auto"/>
        </w:rPr>
        <w:t>Appendix C - page 2</w:t>
      </w:r>
    </w:p>
    <w:p>
      <w:pPr>
        <w:spacing w:after="0" w:line="7" w:lineRule="exact"/>
        <w:rPr>
          <w:sz w:val="20"/>
          <w:szCs w:val="20"/>
          <w:color w:val="auto"/>
        </w:rPr>
      </w:pPr>
    </w:p>
    <w:p>
      <w:pPr>
        <w:ind w:left="1920"/>
        <w:spacing w:after="0"/>
        <w:rPr>
          <w:sz w:val="20"/>
          <w:szCs w:val="20"/>
          <w:color w:val="auto"/>
        </w:rPr>
      </w:pPr>
      <w:r>
        <w:rPr>
          <w:rFonts w:ascii="Courier New" w:cs="Courier New" w:eastAsia="Courier New" w:hAnsi="Courier New"/>
          <w:sz w:val="13"/>
          <w:szCs w:val="13"/>
          <w:u w:val="single" w:color="auto"/>
          <w:color w:val="auto"/>
        </w:rPr>
        <w:t>INDEX DEVELOPMENT</w:t>
      </w:r>
    </w:p>
    <w:p>
      <w:pPr>
        <w:spacing w:after="0" w:line="315" w:lineRule="exact"/>
        <w:rPr>
          <w:sz w:val="20"/>
          <w:szCs w:val="20"/>
          <w:color w:val="auto"/>
        </w:rPr>
      </w:pPr>
    </w:p>
    <w:p>
      <w:pPr>
        <w:ind w:left="72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0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NNEuroball -</w:t>
            </w:r>
          </w:p>
        </w:tc>
        <w:tc>
          <w:tcPr>
            <w:tcW w:w="3620" w:type="dxa"/>
            <w:vAlign w:val="bottom"/>
          </w:tcPr>
          <w:p>
            <w:pPr>
              <w:ind w:left="40"/>
              <w:spacing w:after="0"/>
              <w:rPr>
                <w:sz w:val="20"/>
                <w:szCs w:val="20"/>
                <w:color w:val="auto"/>
              </w:rPr>
            </w:pPr>
            <w:r>
              <w:rPr>
                <w:rFonts w:ascii="Courier New" w:cs="Courier New" w:eastAsia="Courier New" w:hAnsi="Courier New"/>
                <w:sz w:val="13"/>
                <w:szCs w:val="13"/>
                <w:b w:val="1"/>
                <w:bCs w:val="1"/>
                <w:color w:val="auto"/>
              </w:rPr>
              <w:t>Eltmann</w:t>
            </w:r>
          </w:p>
        </w:tc>
        <w:tc>
          <w:tcPr>
            <w:tcW w:w="6840" w:type="dxa"/>
            <w:vAlign w:val="bottom"/>
          </w:tcPr>
          <w:p>
            <w:pPr>
              <w:spacing w:after="0"/>
              <w:rPr>
                <w:sz w:val="12"/>
                <w:szCs w:val="12"/>
                <w:color w:val="auto"/>
              </w:rPr>
            </w:pPr>
          </w:p>
        </w:tc>
      </w:tr>
      <w:tr>
        <w:trPr>
          <w:trHeight w:val="154"/>
        </w:trPr>
        <w:tc>
          <w:tcPr>
            <w:tcW w:w="100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Raw material</w:t>
            </w:r>
          </w:p>
        </w:tc>
        <w:tc>
          <w:tcPr>
            <w:tcW w:w="3620" w:type="dxa"/>
            <w:vAlign w:val="bottom"/>
          </w:tcPr>
          <w:p>
            <w:pPr>
              <w:ind w:left="40"/>
              <w:spacing w:after="0"/>
              <w:rPr>
                <w:sz w:val="20"/>
                <w:szCs w:val="20"/>
                <w:color w:val="auto"/>
              </w:rPr>
            </w:pPr>
            <w:r>
              <w:rPr>
                <w:rFonts w:ascii="Courier New" w:cs="Courier New" w:eastAsia="Courier New" w:hAnsi="Courier New"/>
                <w:sz w:val="13"/>
                <w:szCs w:val="13"/>
                <w:b w:val="1"/>
                <w:bCs w:val="1"/>
                <w:color w:val="auto"/>
              </w:rPr>
              <w:t>buffer set-up</w:t>
            </w:r>
          </w:p>
        </w:tc>
        <w:tc>
          <w:tcPr>
            <w:tcW w:w="6840" w:type="dxa"/>
            <w:vAlign w:val="bottom"/>
          </w:tcPr>
          <w:p>
            <w:pPr>
              <w:spacing w:after="0"/>
              <w:rPr>
                <w:sz w:val="13"/>
                <w:szCs w:val="13"/>
                <w:color w:val="auto"/>
              </w:rPr>
            </w:pPr>
          </w:p>
        </w:tc>
      </w:tr>
      <w:tr>
        <w:trPr>
          <w:trHeight w:val="154"/>
        </w:trPr>
        <w:tc>
          <w:tcPr>
            <w:tcW w:w="1000" w:type="dxa"/>
            <w:vAlign w:val="bottom"/>
          </w:tcPr>
          <w:p>
            <w:pPr>
              <w:spacing w:after="0"/>
              <w:rPr>
                <w:sz w:val="13"/>
                <w:szCs w:val="13"/>
                <w:color w:val="auto"/>
              </w:rPr>
            </w:pPr>
          </w:p>
        </w:tc>
        <w:tc>
          <w:tcPr>
            <w:tcW w:w="3620" w:type="dxa"/>
            <w:vAlign w:val="bottom"/>
          </w:tcPr>
          <w:p>
            <w:pPr>
              <w:ind w:left="1640"/>
              <w:spacing w:after="0"/>
              <w:rPr>
                <w:sz w:val="20"/>
                <w:szCs w:val="20"/>
                <w:color w:val="auto"/>
              </w:rPr>
            </w:pPr>
            <w:r>
              <w:rPr>
                <w:rFonts w:ascii="Courier New" w:cs="Courier New" w:eastAsia="Courier New" w:hAnsi="Courier New"/>
                <w:sz w:val="13"/>
                <w:szCs w:val="13"/>
                <w:b w:val="1"/>
                <w:bCs w:val="1"/>
                <w:color w:val="auto"/>
              </w:rPr>
              <w:t>Appendix D</w:t>
            </w:r>
          </w:p>
        </w:tc>
        <w:tc>
          <w:tcPr>
            <w:tcW w:w="6840" w:type="dxa"/>
            <w:vAlign w:val="bottom"/>
          </w:tcPr>
          <w:p>
            <w:pPr>
              <w:ind w:left="1240"/>
              <w:spacing w:after="0"/>
              <w:rPr>
                <w:sz w:val="20"/>
                <w:szCs w:val="20"/>
                <w:color w:val="auto"/>
              </w:rPr>
            </w:pPr>
            <w:r>
              <w:rPr>
                <w:rFonts w:ascii="Courier New" w:cs="Courier New" w:eastAsia="Courier New" w:hAnsi="Courier New"/>
                <w:sz w:val="13"/>
                <w:szCs w:val="13"/>
                <w:b w:val="1"/>
                <w:bCs w:val="1"/>
                <w:color w:val="auto"/>
              </w:rPr>
              <w:t>Ton</w:t>
            </w:r>
          </w:p>
        </w:tc>
      </w:tr>
      <w:tr>
        <w:trPr>
          <w:trHeight w:val="308"/>
        </w:trPr>
        <w:tc>
          <w:tcPr>
            <w:tcW w:w="10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3620" w:type="dxa"/>
            <w:vAlign w:val="bottom"/>
          </w:tcPr>
          <w:p>
            <w:pPr>
              <w:spacing w:after="0"/>
              <w:rPr>
                <w:sz w:val="24"/>
                <w:szCs w:val="24"/>
                <w:color w:val="auto"/>
              </w:rPr>
            </w:pPr>
          </w:p>
        </w:tc>
        <w:tc>
          <w:tcPr>
            <w:tcW w:w="6840" w:type="dxa"/>
            <w:vAlign w:val="bottom"/>
          </w:tcPr>
          <w:p>
            <w:pPr>
              <w:spacing w:after="0"/>
              <w:rPr>
                <w:sz w:val="24"/>
                <w:szCs w:val="24"/>
                <w:color w:val="auto"/>
              </w:rPr>
            </w:pPr>
          </w:p>
        </w:tc>
      </w:tr>
      <w:tr>
        <w:trPr>
          <w:trHeight w:val="292"/>
        </w:trPr>
        <w:tc>
          <w:tcPr>
            <w:tcW w:w="100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6840" w:type="dxa"/>
            <w:vAlign w:val="bottom"/>
            <w:tcBorders>
              <w:bottom w:val="single" w:sz="8" w:color="9A9A9A"/>
            </w:tcBorders>
          </w:tcPr>
          <w:p>
            <w:pPr>
              <w:spacing w:after="0"/>
              <w:rPr>
                <w:sz w:val="24"/>
                <w:szCs w:val="24"/>
                <w:color w:val="auto"/>
              </w:rPr>
            </w:pPr>
          </w:p>
        </w:tc>
      </w:tr>
      <w:tr>
        <w:trPr>
          <w:trHeight w:val="439"/>
        </w:trPr>
        <w:tc>
          <w:tcPr>
            <w:tcW w:w="100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NNEuroball -</w:t>
            </w:r>
          </w:p>
        </w:tc>
        <w:tc>
          <w:tcPr>
            <w:tcW w:w="3620" w:type="dxa"/>
            <w:vAlign w:val="bottom"/>
          </w:tcPr>
          <w:p>
            <w:pPr>
              <w:ind w:left="40"/>
              <w:spacing w:after="0"/>
              <w:rPr>
                <w:sz w:val="20"/>
                <w:szCs w:val="20"/>
                <w:color w:val="auto"/>
              </w:rPr>
            </w:pPr>
            <w:r>
              <w:rPr>
                <w:rFonts w:ascii="Courier New" w:cs="Courier New" w:eastAsia="Courier New" w:hAnsi="Courier New"/>
                <w:sz w:val="13"/>
                <w:szCs w:val="13"/>
                <w:b w:val="1"/>
                <w:bCs w:val="1"/>
                <w:color w:val="auto"/>
              </w:rPr>
              <w:t>Kilkenny</w:t>
            </w:r>
          </w:p>
        </w:tc>
        <w:tc>
          <w:tcPr>
            <w:tcW w:w="6840" w:type="dxa"/>
            <w:vAlign w:val="bottom"/>
          </w:tcPr>
          <w:p>
            <w:pPr>
              <w:spacing w:after="0"/>
              <w:rPr>
                <w:sz w:val="24"/>
                <w:szCs w:val="24"/>
                <w:color w:val="auto"/>
              </w:rPr>
            </w:pPr>
          </w:p>
        </w:tc>
      </w:tr>
      <w:tr>
        <w:trPr>
          <w:trHeight w:val="308"/>
        </w:trPr>
        <w:tc>
          <w:tcPr>
            <w:tcW w:w="100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Raw material</w:t>
            </w:r>
          </w:p>
        </w:tc>
        <w:tc>
          <w:tcPr>
            <w:tcW w:w="3620" w:type="dxa"/>
            <w:vAlign w:val="bottom"/>
          </w:tcPr>
          <w:p>
            <w:pPr>
              <w:ind w:left="40"/>
              <w:spacing w:after="0"/>
              <w:rPr>
                <w:sz w:val="20"/>
                <w:szCs w:val="20"/>
                <w:color w:val="auto"/>
              </w:rPr>
            </w:pPr>
            <w:r>
              <w:rPr>
                <w:rFonts w:ascii="Courier New" w:cs="Courier New" w:eastAsia="Courier New" w:hAnsi="Courier New"/>
                <w:sz w:val="13"/>
                <w:szCs w:val="13"/>
                <w:b w:val="1"/>
                <w:bCs w:val="1"/>
                <w:color w:val="auto"/>
              </w:rPr>
              <w:t>buffer set-up</w:t>
            </w:r>
          </w:p>
        </w:tc>
        <w:tc>
          <w:tcPr>
            <w:tcW w:w="6840" w:type="dxa"/>
            <w:vAlign w:val="bottom"/>
          </w:tcPr>
          <w:p>
            <w:pPr>
              <w:spacing w:after="0"/>
              <w:rPr>
                <w:sz w:val="24"/>
                <w:szCs w:val="24"/>
                <w:color w:val="auto"/>
              </w:rPr>
            </w:pPr>
          </w:p>
        </w:tc>
      </w:tr>
      <w:tr>
        <w:trPr>
          <w:trHeight w:val="154"/>
        </w:trPr>
        <w:tc>
          <w:tcPr>
            <w:tcW w:w="1000" w:type="dxa"/>
            <w:vAlign w:val="bottom"/>
          </w:tcPr>
          <w:p>
            <w:pPr>
              <w:spacing w:after="0"/>
              <w:rPr>
                <w:sz w:val="13"/>
                <w:szCs w:val="13"/>
                <w:color w:val="auto"/>
              </w:rPr>
            </w:pPr>
          </w:p>
        </w:tc>
        <w:tc>
          <w:tcPr>
            <w:tcW w:w="3620" w:type="dxa"/>
            <w:vAlign w:val="bottom"/>
          </w:tcPr>
          <w:p>
            <w:pPr>
              <w:ind w:left="1640"/>
              <w:spacing w:after="0"/>
              <w:rPr>
                <w:sz w:val="20"/>
                <w:szCs w:val="20"/>
                <w:color w:val="auto"/>
              </w:rPr>
            </w:pPr>
            <w:r>
              <w:rPr>
                <w:rFonts w:ascii="Courier New" w:cs="Courier New" w:eastAsia="Courier New" w:hAnsi="Courier New"/>
                <w:sz w:val="13"/>
                <w:szCs w:val="13"/>
                <w:b w:val="1"/>
                <w:bCs w:val="1"/>
                <w:color w:val="auto"/>
              </w:rPr>
              <w:t>Appendix D</w:t>
            </w:r>
          </w:p>
        </w:tc>
        <w:tc>
          <w:tcPr>
            <w:tcW w:w="6840" w:type="dxa"/>
            <w:vAlign w:val="bottom"/>
          </w:tcPr>
          <w:p>
            <w:pPr>
              <w:ind w:left="1160"/>
              <w:spacing w:after="0"/>
              <w:rPr>
                <w:sz w:val="20"/>
                <w:szCs w:val="20"/>
                <w:color w:val="auto"/>
              </w:rPr>
            </w:pPr>
            <w:r>
              <w:rPr>
                <w:rFonts w:ascii="Courier New" w:cs="Courier New" w:eastAsia="Courier New" w:hAnsi="Courier New"/>
                <w:sz w:val="13"/>
                <w:szCs w:val="13"/>
                <w:b w:val="1"/>
                <w:bCs w:val="1"/>
                <w:color w:val="auto"/>
              </w:rPr>
              <w:t>Ton</w:t>
            </w:r>
          </w:p>
        </w:tc>
      </w:tr>
      <w:tr>
        <w:trPr>
          <w:trHeight w:val="308"/>
        </w:trPr>
        <w:tc>
          <w:tcPr>
            <w:tcW w:w="10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3620" w:type="dxa"/>
            <w:vAlign w:val="bottom"/>
          </w:tcPr>
          <w:p>
            <w:pPr>
              <w:spacing w:after="0"/>
              <w:rPr>
                <w:sz w:val="24"/>
                <w:szCs w:val="24"/>
                <w:color w:val="auto"/>
              </w:rPr>
            </w:pPr>
          </w:p>
        </w:tc>
        <w:tc>
          <w:tcPr>
            <w:tcW w:w="6840" w:type="dxa"/>
            <w:vAlign w:val="bottom"/>
          </w:tcPr>
          <w:p>
            <w:pPr>
              <w:spacing w:after="0"/>
              <w:rPr>
                <w:sz w:val="24"/>
                <w:szCs w:val="24"/>
                <w:color w:val="auto"/>
              </w:rPr>
            </w:pPr>
          </w:p>
        </w:tc>
      </w:tr>
      <w:tr>
        <w:trPr>
          <w:trHeight w:val="292"/>
        </w:trPr>
        <w:tc>
          <w:tcPr>
            <w:tcW w:w="100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6840" w:type="dxa"/>
            <w:vAlign w:val="bottom"/>
            <w:tcBorders>
              <w:bottom w:val="single" w:sz="8" w:color="9A9A9A"/>
            </w:tcBorders>
          </w:tcPr>
          <w:p>
            <w:pPr>
              <w:spacing w:after="0"/>
              <w:rPr>
                <w:sz w:val="24"/>
                <w:szCs w:val="24"/>
                <w:color w:val="auto"/>
              </w:rPr>
            </w:pPr>
          </w:p>
        </w:tc>
      </w:tr>
      <w:tr>
        <w:trPr>
          <w:trHeight w:val="439"/>
        </w:trPr>
        <w:tc>
          <w:tcPr>
            <w:tcW w:w="100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NNEuroball -</w:t>
            </w:r>
          </w:p>
        </w:tc>
        <w:tc>
          <w:tcPr>
            <w:tcW w:w="3620" w:type="dxa"/>
            <w:vAlign w:val="bottom"/>
          </w:tcPr>
          <w:p>
            <w:pPr>
              <w:ind w:left="40"/>
              <w:spacing w:after="0"/>
              <w:rPr>
                <w:sz w:val="20"/>
                <w:szCs w:val="20"/>
                <w:color w:val="auto"/>
              </w:rPr>
            </w:pPr>
            <w:r>
              <w:rPr>
                <w:rFonts w:ascii="Courier New" w:cs="Courier New" w:eastAsia="Courier New" w:hAnsi="Courier New"/>
                <w:sz w:val="13"/>
                <w:szCs w:val="13"/>
                <w:b w:val="1"/>
                <w:bCs w:val="1"/>
                <w:color w:val="auto"/>
              </w:rPr>
              <w:t>Pinerolo</w:t>
            </w:r>
          </w:p>
        </w:tc>
        <w:tc>
          <w:tcPr>
            <w:tcW w:w="6840" w:type="dxa"/>
            <w:vAlign w:val="bottom"/>
          </w:tcPr>
          <w:p>
            <w:pPr>
              <w:spacing w:after="0"/>
              <w:rPr>
                <w:sz w:val="24"/>
                <w:szCs w:val="24"/>
                <w:color w:val="auto"/>
              </w:rPr>
            </w:pPr>
          </w:p>
        </w:tc>
      </w:tr>
      <w:tr>
        <w:trPr>
          <w:trHeight w:val="154"/>
        </w:trPr>
        <w:tc>
          <w:tcPr>
            <w:tcW w:w="100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Raw material</w:t>
            </w:r>
          </w:p>
        </w:tc>
        <w:tc>
          <w:tcPr>
            <w:tcW w:w="3620" w:type="dxa"/>
            <w:vAlign w:val="bottom"/>
          </w:tcPr>
          <w:p>
            <w:pPr>
              <w:ind w:left="40"/>
              <w:spacing w:after="0"/>
              <w:rPr>
                <w:sz w:val="20"/>
                <w:szCs w:val="20"/>
                <w:color w:val="auto"/>
              </w:rPr>
            </w:pPr>
            <w:r>
              <w:rPr>
                <w:rFonts w:ascii="Courier New" w:cs="Courier New" w:eastAsia="Courier New" w:hAnsi="Courier New"/>
                <w:sz w:val="13"/>
                <w:szCs w:val="13"/>
                <w:b w:val="1"/>
                <w:bCs w:val="1"/>
                <w:color w:val="auto"/>
              </w:rPr>
              <w:t>buffer set-up</w:t>
            </w:r>
          </w:p>
        </w:tc>
        <w:tc>
          <w:tcPr>
            <w:tcW w:w="6840" w:type="dxa"/>
            <w:vAlign w:val="bottom"/>
          </w:tcPr>
          <w:p>
            <w:pPr>
              <w:spacing w:after="0"/>
              <w:rPr>
                <w:sz w:val="13"/>
                <w:szCs w:val="13"/>
                <w:color w:val="auto"/>
              </w:rPr>
            </w:pPr>
          </w:p>
        </w:tc>
      </w:tr>
      <w:tr>
        <w:trPr>
          <w:trHeight w:val="308"/>
        </w:trPr>
        <w:tc>
          <w:tcPr>
            <w:tcW w:w="1000" w:type="dxa"/>
            <w:vAlign w:val="bottom"/>
          </w:tcPr>
          <w:p>
            <w:pPr>
              <w:spacing w:after="0"/>
              <w:rPr>
                <w:sz w:val="24"/>
                <w:szCs w:val="24"/>
                <w:color w:val="auto"/>
              </w:rPr>
            </w:pPr>
          </w:p>
        </w:tc>
        <w:tc>
          <w:tcPr>
            <w:tcW w:w="3620" w:type="dxa"/>
            <w:vAlign w:val="bottom"/>
          </w:tcPr>
          <w:p>
            <w:pPr>
              <w:ind w:left="1640"/>
              <w:spacing w:after="0"/>
              <w:rPr>
                <w:sz w:val="20"/>
                <w:szCs w:val="20"/>
                <w:color w:val="auto"/>
              </w:rPr>
            </w:pPr>
            <w:r>
              <w:rPr>
                <w:rFonts w:ascii="Courier New" w:cs="Courier New" w:eastAsia="Courier New" w:hAnsi="Courier New"/>
                <w:sz w:val="13"/>
                <w:szCs w:val="13"/>
                <w:b w:val="1"/>
                <w:bCs w:val="1"/>
                <w:color w:val="auto"/>
              </w:rPr>
              <w:t>Appendix D</w:t>
            </w:r>
          </w:p>
        </w:tc>
        <w:tc>
          <w:tcPr>
            <w:tcW w:w="6840" w:type="dxa"/>
            <w:vAlign w:val="bottom"/>
          </w:tcPr>
          <w:p>
            <w:pPr>
              <w:ind w:left="1160"/>
              <w:spacing w:after="0"/>
              <w:rPr>
                <w:sz w:val="20"/>
                <w:szCs w:val="20"/>
                <w:color w:val="auto"/>
              </w:rPr>
            </w:pPr>
            <w:r>
              <w:rPr>
                <w:rFonts w:ascii="Courier New" w:cs="Courier New" w:eastAsia="Courier New" w:hAnsi="Courier New"/>
                <w:sz w:val="13"/>
                <w:szCs w:val="13"/>
                <w:b w:val="1"/>
                <w:bCs w:val="1"/>
                <w:color w:val="auto"/>
              </w:rPr>
              <w:t>Ton</w:t>
            </w:r>
          </w:p>
        </w:tc>
      </w:tr>
      <w:tr>
        <w:trPr>
          <w:trHeight w:val="308"/>
        </w:trPr>
        <w:tc>
          <w:tcPr>
            <w:tcW w:w="10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3620" w:type="dxa"/>
            <w:vAlign w:val="bottom"/>
          </w:tcPr>
          <w:p>
            <w:pPr>
              <w:spacing w:after="0"/>
              <w:rPr>
                <w:sz w:val="24"/>
                <w:szCs w:val="24"/>
                <w:color w:val="auto"/>
              </w:rPr>
            </w:pPr>
          </w:p>
        </w:tc>
        <w:tc>
          <w:tcPr>
            <w:tcW w:w="6840" w:type="dxa"/>
            <w:vAlign w:val="bottom"/>
          </w:tcPr>
          <w:p>
            <w:pPr>
              <w:spacing w:after="0"/>
              <w:rPr>
                <w:sz w:val="24"/>
                <w:szCs w:val="24"/>
                <w:color w:val="auto"/>
              </w:rPr>
            </w:pPr>
          </w:p>
        </w:tc>
      </w:tr>
      <w:tr>
        <w:trPr>
          <w:trHeight w:val="137"/>
        </w:trPr>
        <w:tc>
          <w:tcPr>
            <w:tcW w:w="1000" w:type="dxa"/>
            <w:vAlign w:val="bottom"/>
            <w:tcBorders>
              <w:bottom w:val="single" w:sz="8" w:color="9A9A9A"/>
            </w:tcBorders>
          </w:tcPr>
          <w:p>
            <w:pPr>
              <w:spacing w:after="0"/>
              <w:rPr>
                <w:sz w:val="11"/>
                <w:szCs w:val="11"/>
                <w:color w:val="auto"/>
              </w:rPr>
            </w:pPr>
          </w:p>
        </w:tc>
        <w:tc>
          <w:tcPr>
            <w:tcW w:w="3620" w:type="dxa"/>
            <w:vAlign w:val="bottom"/>
            <w:tcBorders>
              <w:bottom w:val="single" w:sz="8" w:color="9A9A9A"/>
            </w:tcBorders>
          </w:tcPr>
          <w:p>
            <w:pPr>
              <w:spacing w:after="0"/>
              <w:rPr>
                <w:sz w:val="11"/>
                <w:szCs w:val="11"/>
                <w:color w:val="auto"/>
              </w:rPr>
            </w:pPr>
          </w:p>
        </w:tc>
        <w:tc>
          <w:tcPr>
            <w:tcW w:w="68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-1859915</wp:posOffset>
            </wp:positionV>
            <wp:extent cx="3175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-1859915</wp:posOffset>
            </wp:positionV>
            <wp:extent cx="3175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7261225</wp:posOffset>
            </wp:positionH>
            <wp:positionV relativeFrom="paragraph">
              <wp:posOffset>-893445</wp:posOffset>
            </wp:positionV>
            <wp:extent cx="3175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-893445</wp:posOffset>
            </wp:positionV>
            <wp:extent cx="3175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7261225</wp:posOffset>
            </wp:positionH>
            <wp:positionV relativeFrom="paragraph">
              <wp:posOffset>-25400</wp:posOffset>
            </wp:positionV>
            <wp:extent cx="3175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-25400</wp:posOffset>
            </wp:positionV>
            <wp:extent cx="3175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2800"/>
        <w:spacing w:after="0"/>
        <w:rPr>
          <w:sz w:val="20"/>
          <w:szCs w:val="20"/>
          <w:color w:val="auto"/>
        </w:rPr>
      </w:pPr>
      <w:r>
        <w:rPr>
          <w:rFonts w:ascii="Courier New" w:cs="Courier New" w:eastAsia="Courier New" w:hAnsi="Courier New"/>
          <w:sz w:val="13"/>
          <w:szCs w:val="13"/>
          <w:b w:val="1"/>
          <w:bCs w:val="1"/>
          <w:u w:val="single" w:color="auto"/>
          <w:color w:val="auto"/>
        </w:rPr>
        <w:t>Appendix 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NUMBER OF CLAIMS - OBJECTIVE</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60" w:type="dxa"/>
            <w:vAlign w:val="bottom"/>
          </w:tcPr>
          <w:p>
            <w:pPr>
              <w:spacing w:after="0"/>
              <w:rPr>
                <w:sz w:val="20"/>
                <w:szCs w:val="20"/>
                <w:color w:val="auto"/>
              </w:rPr>
            </w:pPr>
            <w:r>
              <w:rPr>
                <w:rFonts w:ascii="Courier New" w:cs="Courier New" w:eastAsia="Courier New" w:hAnsi="Courier New"/>
                <w:sz w:val="13"/>
                <w:szCs w:val="13"/>
                <w:b w:val="1"/>
                <w:bCs w:val="1"/>
                <w:color w:val="auto"/>
              </w:rPr>
              <w:t>PLANT</w:t>
            </w:r>
          </w:p>
        </w:tc>
        <w:tc>
          <w:tcPr>
            <w:tcW w:w="1600" w:type="dxa"/>
            <w:vAlign w:val="bottom"/>
          </w:tcPr>
          <w:p>
            <w:pPr>
              <w:jc w:val="right"/>
              <w:ind w:right="253"/>
              <w:spacing w:after="0"/>
              <w:rPr>
                <w:sz w:val="20"/>
                <w:szCs w:val="20"/>
                <w:color w:val="auto"/>
              </w:rPr>
            </w:pPr>
            <w:r>
              <w:rPr>
                <w:rFonts w:ascii="Courier New" w:cs="Courier New" w:eastAsia="Courier New" w:hAnsi="Courier New"/>
                <w:sz w:val="13"/>
                <w:szCs w:val="13"/>
                <w:b w:val="1"/>
                <w:bCs w:val="1"/>
                <w:color w:val="auto"/>
              </w:rPr>
              <w:t>2002</w:t>
            </w:r>
          </w:p>
        </w:tc>
        <w:tc>
          <w:tcPr>
            <w:tcW w:w="980" w:type="dxa"/>
            <w:vAlign w:val="bottom"/>
          </w:tcPr>
          <w:p>
            <w:pPr>
              <w:jc w:val="right"/>
              <w:ind w:right="253"/>
              <w:spacing w:after="0"/>
              <w:rPr>
                <w:sz w:val="20"/>
                <w:szCs w:val="20"/>
                <w:color w:val="auto"/>
              </w:rPr>
            </w:pPr>
            <w:r>
              <w:rPr>
                <w:rFonts w:ascii="Courier New" w:cs="Courier New" w:eastAsia="Courier New" w:hAnsi="Courier New"/>
                <w:sz w:val="13"/>
                <w:szCs w:val="13"/>
                <w:b w:val="1"/>
                <w:bCs w:val="1"/>
                <w:color w:val="auto"/>
              </w:rPr>
              <w:t>2003</w:t>
            </w:r>
          </w:p>
        </w:tc>
        <w:tc>
          <w:tcPr>
            <w:tcW w:w="920" w:type="dxa"/>
            <w:vAlign w:val="bottom"/>
          </w:tcPr>
          <w:p>
            <w:pPr>
              <w:jc w:val="right"/>
              <w:ind w:right="213"/>
              <w:spacing w:after="0"/>
              <w:rPr>
                <w:sz w:val="20"/>
                <w:szCs w:val="20"/>
                <w:color w:val="auto"/>
              </w:rPr>
            </w:pPr>
            <w:r>
              <w:rPr>
                <w:rFonts w:ascii="Courier New" w:cs="Courier New" w:eastAsia="Courier New" w:hAnsi="Courier New"/>
                <w:sz w:val="13"/>
                <w:szCs w:val="13"/>
                <w:b w:val="1"/>
                <w:bCs w:val="1"/>
                <w:color w:val="auto"/>
              </w:rPr>
              <w:t>2004</w:t>
            </w:r>
          </w:p>
        </w:tc>
        <w:tc>
          <w:tcPr>
            <w:tcW w:w="60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2005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60" w:type="dxa"/>
            <w:vAlign w:val="bottom"/>
          </w:tcPr>
          <w:p>
            <w:pPr>
              <w:spacing w:after="0"/>
              <w:rPr>
                <w:sz w:val="20"/>
                <w:szCs w:val="20"/>
                <w:color w:val="auto"/>
              </w:rPr>
            </w:pPr>
            <w:r>
              <w:rPr>
                <w:rFonts w:ascii="Courier New" w:cs="Courier New" w:eastAsia="Courier New" w:hAnsi="Courier New"/>
                <w:sz w:val="13"/>
                <w:szCs w:val="13"/>
                <w:b w:val="1"/>
                <w:bCs w:val="1"/>
                <w:color w:val="auto"/>
              </w:rPr>
              <w:t>PINEROLO</w:t>
            </w:r>
          </w:p>
        </w:tc>
        <w:tc>
          <w:tcPr>
            <w:tcW w:w="1520" w:type="dxa"/>
            <w:vAlign w:val="bottom"/>
          </w:tcPr>
          <w:p>
            <w:pPr>
              <w:jc w:val="right"/>
              <w:ind w:right="373"/>
              <w:spacing w:after="0"/>
              <w:rPr>
                <w:sz w:val="20"/>
                <w:szCs w:val="20"/>
                <w:color w:val="auto"/>
              </w:rPr>
            </w:pPr>
            <w:r>
              <w:rPr>
                <w:rFonts w:ascii="Courier New" w:cs="Courier New" w:eastAsia="Courier New" w:hAnsi="Courier New"/>
                <w:sz w:val="13"/>
                <w:szCs w:val="13"/>
                <w:b w:val="1"/>
                <w:bCs w:val="1"/>
                <w:color w:val="auto"/>
              </w:rPr>
              <w:t>13</w:t>
            </w:r>
          </w:p>
        </w:tc>
        <w:tc>
          <w:tcPr>
            <w:tcW w:w="980" w:type="dxa"/>
            <w:vAlign w:val="bottom"/>
          </w:tcPr>
          <w:p>
            <w:pPr>
              <w:jc w:val="right"/>
              <w:ind w:right="373"/>
              <w:spacing w:after="0"/>
              <w:rPr>
                <w:sz w:val="20"/>
                <w:szCs w:val="20"/>
                <w:color w:val="auto"/>
              </w:rPr>
            </w:pPr>
            <w:r>
              <w:rPr>
                <w:rFonts w:ascii="Courier New" w:cs="Courier New" w:eastAsia="Courier New" w:hAnsi="Courier New"/>
                <w:sz w:val="13"/>
                <w:szCs w:val="13"/>
                <w:b w:val="1"/>
                <w:bCs w:val="1"/>
                <w:color w:val="auto"/>
              </w:rPr>
              <w:t>9</w:t>
            </w:r>
          </w:p>
        </w:tc>
        <w:tc>
          <w:tcPr>
            <w:tcW w:w="920" w:type="dxa"/>
            <w:vAlign w:val="bottom"/>
          </w:tcPr>
          <w:p>
            <w:pPr>
              <w:jc w:val="right"/>
              <w:ind w:right="333"/>
              <w:spacing w:after="0"/>
              <w:rPr>
                <w:sz w:val="20"/>
                <w:szCs w:val="20"/>
                <w:color w:val="auto"/>
              </w:rPr>
            </w:pPr>
            <w:r>
              <w:rPr>
                <w:rFonts w:ascii="Courier New" w:cs="Courier New" w:eastAsia="Courier New" w:hAnsi="Courier New"/>
                <w:sz w:val="13"/>
                <w:szCs w:val="13"/>
                <w:b w:val="1"/>
                <w:bCs w:val="1"/>
                <w:color w:val="auto"/>
              </w:rPr>
              <w:t>6</w:t>
            </w:r>
          </w:p>
        </w:tc>
        <w:tc>
          <w:tcPr>
            <w:tcW w:w="48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60" w:type="dxa"/>
            <w:vAlign w:val="bottom"/>
          </w:tcPr>
          <w:p>
            <w:pPr>
              <w:spacing w:after="0"/>
              <w:rPr>
                <w:sz w:val="20"/>
                <w:szCs w:val="20"/>
                <w:color w:val="auto"/>
              </w:rPr>
            </w:pPr>
            <w:r>
              <w:rPr>
                <w:rFonts w:ascii="Courier New" w:cs="Courier New" w:eastAsia="Courier New" w:hAnsi="Courier New"/>
                <w:sz w:val="13"/>
                <w:szCs w:val="13"/>
                <w:b w:val="1"/>
                <w:bCs w:val="1"/>
                <w:color w:val="auto"/>
              </w:rPr>
              <w:t>ELTMANN</w:t>
            </w:r>
          </w:p>
        </w:tc>
        <w:tc>
          <w:tcPr>
            <w:tcW w:w="1520" w:type="dxa"/>
            <w:vAlign w:val="bottom"/>
          </w:tcPr>
          <w:p>
            <w:pPr>
              <w:jc w:val="right"/>
              <w:ind w:right="373"/>
              <w:spacing w:after="0"/>
              <w:rPr>
                <w:sz w:val="20"/>
                <w:szCs w:val="20"/>
                <w:color w:val="auto"/>
              </w:rPr>
            </w:pPr>
            <w:r>
              <w:rPr>
                <w:rFonts w:ascii="Courier New" w:cs="Courier New" w:eastAsia="Courier New" w:hAnsi="Courier New"/>
                <w:sz w:val="13"/>
                <w:szCs w:val="13"/>
                <w:b w:val="1"/>
                <w:bCs w:val="1"/>
                <w:color w:val="auto"/>
              </w:rPr>
              <w:t>8</w:t>
            </w:r>
          </w:p>
        </w:tc>
        <w:tc>
          <w:tcPr>
            <w:tcW w:w="980" w:type="dxa"/>
            <w:vAlign w:val="bottom"/>
          </w:tcPr>
          <w:p>
            <w:pPr>
              <w:jc w:val="right"/>
              <w:ind w:right="373"/>
              <w:spacing w:after="0"/>
              <w:rPr>
                <w:sz w:val="20"/>
                <w:szCs w:val="20"/>
                <w:color w:val="auto"/>
              </w:rPr>
            </w:pPr>
            <w:r>
              <w:rPr>
                <w:rFonts w:ascii="Courier New" w:cs="Courier New" w:eastAsia="Courier New" w:hAnsi="Courier New"/>
                <w:sz w:val="13"/>
                <w:szCs w:val="13"/>
                <w:b w:val="1"/>
                <w:bCs w:val="1"/>
                <w:color w:val="auto"/>
              </w:rPr>
              <w:t>5</w:t>
            </w:r>
          </w:p>
        </w:tc>
        <w:tc>
          <w:tcPr>
            <w:tcW w:w="920" w:type="dxa"/>
            <w:vAlign w:val="bottom"/>
          </w:tcPr>
          <w:p>
            <w:pPr>
              <w:jc w:val="right"/>
              <w:ind w:right="333"/>
              <w:spacing w:after="0"/>
              <w:rPr>
                <w:sz w:val="20"/>
                <w:szCs w:val="20"/>
                <w:color w:val="auto"/>
              </w:rPr>
            </w:pPr>
            <w:r>
              <w:rPr>
                <w:rFonts w:ascii="Courier New" w:cs="Courier New" w:eastAsia="Courier New" w:hAnsi="Courier New"/>
                <w:sz w:val="13"/>
                <w:szCs w:val="13"/>
                <w:b w:val="1"/>
                <w:bCs w:val="1"/>
                <w:color w:val="auto"/>
              </w:rPr>
              <w:t>4</w:t>
            </w:r>
          </w:p>
        </w:tc>
        <w:tc>
          <w:tcPr>
            <w:tcW w:w="48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 ---------------------------------------------------------------------</w:t>
      </w:r>
    </w:p>
    <w:p>
      <w:pPr>
        <w:spacing w:after="0" w:line="7" w:lineRule="exact"/>
        <w:rPr>
          <w:sz w:val="20"/>
          <w:szCs w:val="20"/>
          <w:color w:val="auto"/>
        </w:rPr>
      </w:pPr>
    </w:p>
    <w:p>
      <w:pPr>
        <w:spacing w:after="0"/>
        <w:tabs>
          <w:tab w:leader="none" w:pos="2540" w:val="left"/>
          <w:tab w:leader="none" w:pos="3520" w:val="left"/>
          <w:tab w:leader="none" w:pos="4480" w:val="left"/>
          <w:tab w:leader="none" w:pos="5360" w:val="left"/>
        </w:tabs>
        <w:rPr>
          <w:sz w:val="20"/>
          <w:szCs w:val="20"/>
          <w:color w:val="auto"/>
        </w:rPr>
      </w:pPr>
      <w:r>
        <w:rPr>
          <w:rFonts w:ascii="Courier New" w:cs="Courier New" w:eastAsia="Courier New" w:hAnsi="Courier New"/>
          <w:sz w:val="13"/>
          <w:szCs w:val="13"/>
          <w:b w:val="1"/>
          <w:bCs w:val="1"/>
          <w:color w:val="auto"/>
        </w:rPr>
        <w:t>KILKENNY</w:t>
      </w:r>
      <w:r>
        <w:rPr>
          <w:sz w:val="20"/>
          <w:szCs w:val="20"/>
          <w:color w:val="auto"/>
        </w:rPr>
        <w:tab/>
      </w:r>
      <w:r>
        <w:rPr>
          <w:rFonts w:ascii="Courier New" w:cs="Courier New" w:eastAsia="Courier New" w:hAnsi="Courier New"/>
          <w:sz w:val="13"/>
          <w:szCs w:val="13"/>
          <w:b w:val="1"/>
          <w:bCs w:val="1"/>
          <w:color w:val="auto"/>
        </w:rPr>
        <w:t>4</w:t>
      </w:r>
      <w:r>
        <w:rPr>
          <w:sz w:val="20"/>
          <w:szCs w:val="20"/>
          <w:color w:val="auto"/>
        </w:rPr>
        <w:tab/>
      </w:r>
      <w:r>
        <w:rPr>
          <w:rFonts w:ascii="Courier New" w:cs="Courier New" w:eastAsia="Courier New" w:hAnsi="Courier New"/>
          <w:sz w:val="13"/>
          <w:szCs w:val="13"/>
          <w:b w:val="1"/>
          <w:bCs w:val="1"/>
          <w:color w:val="auto"/>
        </w:rPr>
        <w:t>3</w:t>
      </w:r>
      <w:r>
        <w:rPr>
          <w:sz w:val="20"/>
          <w:szCs w:val="20"/>
          <w:color w:val="auto"/>
        </w:rPr>
        <w:tab/>
      </w:r>
      <w:r>
        <w:rPr>
          <w:rFonts w:ascii="Courier New" w:cs="Courier New" w:eastAsia="Courier New" w:hAnsi="Courier New"/>
          <w:sz w:val="13"/>
          <w:szCs w:val="13"/>
          <w:b w:val="1"/>
          <w:bCs w:val="1"/>
          <w:color w:val="auto"/>
        </w:rPr>
        <w:t>2</w:t>
      </w:r>
      <w:r>
        <w:rPr>
          <w:sz w:val="20"/>
          <w:szCs w:val="20"/>
          <w:color w:val="auto"/>
        </w:rPr>
        <w:tab/>
      </w:r>
      <w:r>
        <w:rPr>
          <w:rFonts w:ascii="Courier New" w:cs="Courier New" w:eastAsia="Courier New" w:hAnsi="Courier New"/>
          <w:sz w:val="13"/>
          <w:szCs w:val="13"/>
          <w:b w:val="1"/>
          <w:bCs w:val="1"/>
          <w:color w:val="auto"/>
        </w:rPr>
        <w:t>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 ---------------------------------------------------------------------</w:t>
      </w:r>
    </w:p>
    <w:p>
      <w:pPr>
        <w:spacing w:after="0" w:line="7" w:lineRule="exact"/>
        <w:rPr>
          <w:sz w:val="20"/>
          <w:szCs w:val="20"/>
          <w:color w:val="auto"/>
        </w:rPr>
      </w:pPr>
    </w:p>
    <w:p>
      <w:pPr>
        <w:spacing w:after="0"/>
        <w:tabs>
          <w:tab w:leader="none" w:pos="2460" w:val="left"/>
          <w:tab w:leader="none" w:pos="3440" w:val="left"/>
          <w:tab w:leader="none" w:pos="4400" w:val="left"/>
          <w:tab w:leader="none" w:pos="5360" w:val="left"/>
        </w:tabs>
        <w:rPr>
          <w:sz w:val="20"/>
          <w:szCs w:val="20"/>
          <w:color w:val="auto"/>
        </w:rPr>
      </w:pPr>
      <w:r>
        <w:rPr>
          <w:rFonts w:ascii="Courier New" w:cs="Courier New" w:eastAsia="Courier New" w:hAnsi="Courier New"/>
          <w:sz w:val="13"/>
          <w:szCs w:val="13"/>
          <w:b w:val="1"/>
          <w:bCs w:val="1"/>
          <w:color w:val="auto"/>
        </w:rPr>
        <w:t>TOTAL</w:t>
      </w:r>
      <w:r>
        <w:rPr>
          <w:sz w:val="20"/>
          <w:szCs w:val="20"/>
          <w:color w:val="auto"/>
        </w:rPr>
        <w:tab/>
      </w:r>
      <w:r>
        <w:rPr>
          <w:rFonts w:ascii="Courier New" w:cs="Courier New" w:eastAsia="Courier New" w:hAnsi="Courier New"/>
          <w:sz w:val="13"/>
          <w:szCs w:val="13"/>
          <w:b w:val="1"/>
          <w:bCs w:val="1"/>
          <w:color w:val="auto"/>
        </w:rPr>
        <w:t>25</w:t>
      </w:r>
      <w:r>
        <w:rPr>
          <w:sz w:val="20"/>
          <w:szCs w:val="20"/>
          <w:color w:val="auto"/>
        </w:rPr>
        <w:tab/>
      </w:r>
      <w:r>
        <w:rPr>
          <w:rFonts w:ascii="Courier New" w:cs="Courier New" w:eastAsia="Courier New" w:hAnsi="Courier New"/>
          <w:sz w:val="13"/>
          <w:szCs w:val="13"/>
          <w:b w:val="1"/>
          <w:bCs w:val="1"/>
          <w:color w:val="auto"/>
        </w:rPr>
        <w:t>17</w:t>
      </w:r>
      <w:r>
        <w:rPr>
          <w:sz w:val="20"/>
          <w:szCs w:val="20"/>
          <w:color w:val="auto"/>
        </w:rPr>
        <w:tab/>
      </w:r>
      <w:r>
        <w:rPr>
          <w:rFonts w:ascii="Courier New" w:cs="Courier New" w:eastAsia="Courier New" w:hAnsi="Courier New"/>
          <w:sz w:val="13"/>
          <w:szCs w:val="13"/>
          <w:b w:val="1"/>
          <w:bCs w:val="1"/>
          <w:color w:val="auto"/>
        </w:rPr>
        <w:t>12</w:t>
      </w:r>
      <w:r>
        <w:rPr>
          <w:sz w:val="20"/>
          <w:szCs w:val="20"/>
          <w:color w:val="auto"/>
        </w:rPr>
        <w:tab/>
      </w:r>
      <w:r>
        <w:rPr>
          <w:rFonts w:ascii="Courier New" w:cs="Courier New" w:eastAsia="Courier New" w:hAnsi="Courier New"/>
          <w:sz w:val="13"/>
          <w:szCs w:val="13"/>
          <w:b w:val="1"/>
          <w:bCs w:val="1"/>
          <w:color w:val="auto"/>
        </w:rPr>
        <w:t>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 ---------------------------------------------------------------------</w:t>
      </w:r>
    </w:p>
    <w:p>
      <w:pPr>
        <w:spacing w:after="0" w:line="315" w:lineRule="exact"/>
        <w:rPr>
          <w:sz w:val="20"/>
          <w:szCs w:val="20"/>
          <w:color w:val="auto"/>
        </w:rPr>
      </w:pPr>
    </w:p>
    <w:p>
      <w:pPr>
        <w:ind w:right="5280"/>
        <w:spacing w:after="0" w:line="253" w:lineRule="auto"/>
        <w:rPr>
          <w:sz w:val="20"/>
          <w:szCs w:val="20"/>
          <w:color w:val="auto"/>
        </w:rPr>
      </w:pPr>
      <w:r>
        <w:rPr>
          <w:rFonts w:ascii="Courier New" w:cs="Courier New" w:eastAsia="Courier New" w:hAnsi="Courier New"/>
          <w:sz w:val="13"/>
          <w:szCs w:val="13"/>
          <w:b w:val="1"/>
          <w:bCs w:val="1"/>
          <w:color w:val="auto"/>
        </w:rPr>
        <w:t>These NCC to be taken into consideration are Non Conformity Claim accepted by the Supplier and detected during the process of the Buyer (excluding NCC notified on material being in Consignment Stock).</w:t>
      </w:r>
    </w:p>
    <w:p>
      <w:pPr>
        <w:sectPr>
          <w:pgSz w:w="11900" w:h="16838" w:orient="portrait"/>
          <w:cols w:equalWidth="0" w:num="1">
            <w:col w:w="11460"/>
          </w:cols>
          <w:pgMar w:left="220" w:top="141" w:right="219" w:bottom="116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49"/>
        </w:trPr>
        <w:tc>
          <w:tcPr>
            <w:tcW w:w="3160" w:type="dxa"/>
            <w:vAlign w:val="bottom"/>
          </w:tcPr>
          <w:p>
            <w:pPr>
              <w:spacing w:after="0"/>
              <w:rPr>
                <w:sz w:val="12"/>
                <w:szCs w:val="12"/>
                <w:color w:val="auto"/>
              </w:rPr>
            </w:pPr>
          </w:p>
        </w:tc>
        <w:tc>
          <w:tcPr>
            <w:tcW w:w="3580" w:type="dxa"/>
            <w:vAlign w:val="bottom"/>
          </w:tcPr>
          <w:p>
            <w:pPr>
              <w:jc w:val="right"/>
              <w:ind w:right="253"/>
              <w:spacing w:after="0"/>
              <w:rPr>
                <w:sz w:val="20"/>
                <w:szCs w:val="20"/>
                <w:color w:val="auto"/>
              </w:rPr>
            </w:pPr>
            <w:r>
              <w:rPr>
                <w:rFonts w:ascii="Courier New" w:cs="Courier New" w:eastAsia="Courier New" w:hAnsi="Courier New"/>
                <w:sz w:val="13"/>
                <w:szCs w:val="13"/>
                <w:b w:val="1"/>
                <w:bCs w:val="1"/>
                <w:color w:val="auto"/>
              </w:rPr>
              <w:t>Exhibit 21.1</w:t>
            </w:r>
          </w:p>
        </w:tc>
      </w:tr>
      <w:tr>
        <w:trPr>
          <w:trHeight w:val="308"/>
        </w:trPr>
        <w:tc>
          <w:tcPr>
            <w:tcW w:w="6740" w:type="dxa"/>
            <w:vAlign w:val="bottom"/>
            <w:gridSpan w:val="2"/>
          </w:tcPr>
          <w:p>
            <w:pPr>
              <w:ind w:left="2000"/>
              <w:spacing w:after="0"/>
              <w:rPr>
                <w:sz w:val="20"/>
                <w:szCs w:val="20"/>
                <w:color w:val="auto"/>
              </w:rPr>
            </w:pPr>
            <w:r>
              <w:rPr>
                <w:rFonts w:ascii="Courier New" w:cs="Courier New" w:eastAsia="Courier New" w:hAnsi="Courier New"/>
                <w:sz w:val="13"/>
                <w:szCs w:val="13"/>
                <w:b w:val="1"/>
                <w:bCs w:val="1"/>
                <w:color w:val="auto"/>
              </w:rPr>
              <w:t>Subsidiaries of the Registrant</w:t>
            </w:r>
          </w:p>
        </w:tc>
      </w:tr>
      <w:tr>
        <w:trPr>
          <w:trHeight w:val="463"/>
        </w:trPr>
        <w:tc>
          <w:tcPr>
            <w:tcW w:w="3160" w:type="dxa"/>
            <w:vAlign w:val="bottom"/>
          </w:tcPr>
          <w:p>
            <w:pPr>
              <w:spacing w:after="0"/>
              <w:rPr>
                <w:sz w:val="24"/>
                <w:szCs w:val="24"/>
                <w:color w:val="auto"/>
              </w:rPr>
            </w:pPr>
          </w:p>
        </w:tc>
        <w:tc>
          <w:tcPr>
            <w:tcW w:w="3580" w:type="dxa"/>
            <w:vAlign w:val="bottom"/>
          </w:tcPr>
          <w:p>
            <w:pPr>
              <w:jc w:val="center"/>
              <w:ind w:left="473"/>
              <w:spacing w:after="0"/>
              <w:rPr>
                <w:sz w:val="20"/>
                <w:szCs w:val="20"/>
                <w:color w:val="auto"/>
              </w:rPr>
            </w:pPr>
            <w:r>
              <w:rPr>
                <w:rFonts w:ascii="Courier New" w:cs="Courier New" w:eastAsia="Courier New" w:hAnsi="Courier New"/>
                <w:sz w:val="13"/>
                <w:szCs w:val="13"/>
                <w:b w:val="1"/>
                <w:bCs w:val="1"/>
                <w:color w:val="auto"/>
              </w:rPr>
              <w:t>Jurisdiction of Incorporation or</w:t>
            </w:r>
          </w:p>
        </w:tc>
      </w:tr>
      <w:tr>
        <w:trPr>
          <w:trHeight w:val="154"/>
        </w:trPr>
        <w:tc>
          <w:tcPr>
            <w:tcW w:w="3160" w:type="dxa"/>
            <w:vAlign w:val="bottom"/>
          </w:tcPr>
          <w:p>
            <w:pPr>
              <w:spacing w:after="0"/>
              <w:rPr>
                <w:sz w:val="20"/>
                <w:szCs w:val="20"/>
                <w:color w:val="auto"/>
              </w:rPr>
            </w:pPr>
            <w:r>
              <w:rPr>
                <w:rFonts w:ascii="Courier New" w:cs="Courier New" w:eastAsia="Courier New" w:hAnsi="Courier New"/>
                <w:sz w:val="13"/>
                <w:szCs w:val="13"/>
                <w:b w:val="1"/>
                <w:bCs w:val="1"/>
                <w:color w:val="auto"/>
              </w:rPr>
              <w:t>Subsidiaries of NN, Inc.</w:t>
            </w:r>
          </w:p>
        </w:tc>
        <w:tc>
          <w:tcPr>
            <w:tcW w:w="3580" w:type="dxa"/>
            <w:vAlign w:val="bottom"/>
          </w:tcPr>
          <w:p>
            <w:pPr>
              <w:jc w:val="center"/>
              <w:ind w:left="473"/>
              <w:spacing w:after="0"/>
              <w:rPr>
                <w:sz w:val="20"/>
                <w:szCs w:val="20"/>
                <w:color w:val="auto"/>
              </w:rPr>
            </w:pPr>
            <w:r>
              <w:rPr>
                <w:rFonts w:ascii="Courier New" w:cs="Courier New" w:eastAsia="Courier New" w:hAnsi="Courier New"/>
                <w:sz w:val="13"/>
                <w:szCs w:val="13"/>
                <w:b w:val="1"/>
                <w:bCs w:val="1"/>
                <w:color w:val="auto"/>
              </w:rPr>
              <w:t>Organization</w:t>
            </w:r>
          </w:p>
        </w:tc>
      </w:tr>
      <w:tr>
        <w:trPr>
          <w:trHeight w:val="154"/>
        </w:trPr>
        <w:tc>
          <w:tcPr>
            <w:tcW w:w="3160" w:type="dxa"/>
            <w:vAlign w:val="bottom"/>
          </w:tcPr>
          <w:p>
            <w:pPr>
              <w:spacing w:after="0"/>
              <w:rPr>
                <w:sz w:val="20"/>
                <w:szCs w:val="20"/>
                <w:color w:val="auto"/>
              </w:rPr>
            </w:pPr>
            <w:r>
              <w:rPr>
                <w:rFonts w:ascii="Courier New" w:cs="Courier New" w:eastAsia="Courier New" w:hAnsi="Courier New"/>
                <w:sz w:val="13"/>
                <w:szCs w:val="13"/>
                <w:b w:val="1"/>
                <w:bCs w:val="1"/>
                <w:color w:val="auto"/>
              </w:rPr>
              <w:t>- ------------------------</w:t>
            </w:r>
          </w:p>
        </w:tc>
        <w:tc>
          <w:tcPr>
            <w:tcW w:w="358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w:t>
            </w:r>
          </w:p>
        </w:tc>
      </w:tr>
      <w:tr>
        <w:trPr>
          <w:trHeight w:val="308"/>
        </w:trPr>
        <w:tc>
          <w:tcPr>
            <w:tcW w:w="3160" w:type="dxa"/>
            <w:vAlign w:val="bottom"/>
          </w:tcPr>
          <w:p>
            <w:pPr>
              <w:spacing w:after="0"/>
              <w:rPr>
                <w:sz w:val="20"/>
                <w:szCs w:val="20"/>
                <w:color w:val="auto"/>
              </w:rPr>
            </w:pPr>
            <w:r>
              <w:rPr>
                <w:rFonts w:ascii="Courier New" w:cs="Courier New" w:eastAsia="Courier New" w:hAnsi="Courier New"/>
                <w:sz w:val="13"/>
                <w:szCs w:val="13"/>
                <w:color w:val="auto"/>
              </w:rPr>
              <w:t>The Delta Rubber Company</w:t>
            </w:r>
          </w:p>
        </w:tc>
        <w:tc>
          <w:tcPr>
            <w:tcW w:w="3580" w:type="dxa"/>
            <w:vAlign w:val="bottom"/>
          </w:tcPr>
          <w:p>
            <w:pPr>
              <w:jc w:val="center"/>
              <w:ind w:left="553"/>
              <w:spacing w:after="0"/>
              <w:rPr>
                <w:sz w:val="20"/>
                <w:szCs w:val="20"/>
                <w:color w:val="auto"/>
              </w:rPr>
            </w:pPr>
            <w:r>
              <w:rPr>
                <w:rFonts w:ascii="Courier New" w:cs="Courier New" w:eastAsia="Courier New" w:hAnsi="Courier New"/>
                <w:sz w:val="13"/>
                <w:szCs w:val="13"/>
                <w:color w:val="auto"/>
              </w:rPr>
              <w:t>Connecticut</w:t>
            </w:r>
          </w:p>
        </w:tc>
      </w:tr>
      <w:tr>
        <w:trPr>
          <w:trHeight w:val="308"/>
        </w:trPr>
        <w:tc>
          <w:tcPr>
            <w:tcW w:w="3160" w:type="dxa"/>
            <w:vAlign w:val="bottom"/>
          </w:tcPr>
          <w:p>
            <w:pPr>
              <w:spacing w:after="0"/>
              <w:rPr>
                <w:sz w:val="20"/>
                <w:szCs w:val="20"/>
                <w:color w:val="auto"/>
              </w:rPr>
            </w:pPr>
            <w:r>
              <w:rPr>
                <w:rFonts w:ascii="Courier New" w:cs="Courier New" w:eastAsia="Courier New" w:hAnsi="Courier New"/>
                <w:sz w:val="13"/>
                <w:szCs w:val="13"/>
                <w:color w:val="auto"/>
              </w:rPr>
              <w:t>Industrial Molding GP, LLC</w:t>
            </w:r>
          </w:p>
        </w:tc>
        <w:tc>
          <w:tcPr>
            <w:tcW w:w="3580" w:type="dxa"/>
            <w:vAlign w:val="bottom"/>
          </w:tcPr>
          <w:p>
            <w:pPr>
              <w:jc w:val="right"/>
              <w:ind w:right="1053"/>
              <w:spacing w:after="0"/>
              <w:rPr>
                <w:sz w:val="20"/>
                <w:szCs w:val="20"/>
                <w:color w:val="auto"/>
              </w:rPr>
            </w:pPr>
            <w:r>
              <w:rPr>
                <w:rFonts w:ascii="Courier New" w:cs="Courier New" w:eastAsia="Courier New" w:hAnsi="Courier New"/>
                <w:sz w:val="13"/>
                <w:szCs w:val="13"/>
                <w:color w:val="auto"/>
              </w:rPr>
              <w:t>Delaware</w:t>
            </w:r>
          </w:p>
        </w:tc>
      </w:tr>
      <w:tr>
        <w:trPr>
          <w:trHeight w:val="308"/>
        </w:trPr>
        <w:tc>
          <w:tcPr>
            <w:tcW w:w="3160" w:type="dxa"/>
            <w:vAlign w:val="bottom"/>
          </w:tcPr>
          <w:p>
            <w:pPr>
              <w:spacing w:after="0"/>
              <w:rPr>
                <w:sz w:val="20"/>
                <w:szCs w:val="20"/>
                <w:color w:val="auto"/>
              </w:rPr>
            </w:pPr>
            <w:r>
              <w:rPr>
                <w:rFonts w:ascii="Courier New" w:cs="Courier New" w:eastAsia="Courier New" w:hAnsi="Courier New"/>
                <w:sz w:val="13"/>
                <w:szCs w:val="13"/>
                <w:color w:val="auto"/>
              </w:rPr>
              <w:t>Industrial Molding LP, LLC</w:t>
            </w:r>
          </w:p>
        </w:tc>
        <w:tc>
          <w:tcPr>
            <w:tcW w:w="3580" w:type="dxa"/>
            <w:vAlign w:val="bottom"/>
          </w:tcPr>
          <w:p>
            <w:pPr>
              <w:jc w:val="center"/>
              <w:ind w:left="553"/>
              <w:spacing w:after="0"/>
              <w:rPr>
                <w:sz w:val="20"/>
                <w:szCs w:val="20"/>
                <w:color w:val="auto"/>
              </w:rPr>
            </w:pPr>
            <w:r>
              <w:rPr>
                <w:rFonts w:ascii="Courier New" w:cs="Courier New" w:eastAsia="Courier New" w:hAnsi="Courier New"/>
                <w:sz w:val="13"/>
                <w:szCs w:val="13"/>
                <w:color w:val="auto"/>
              </w:rPr>
              <w:t>Tennessee</w:t>
            </w:r>
          </w:p>
        </w:tc>
      </w:tr>
      <w:tr>
        <w:trPr>
          <w:trHeight w:val="308"/>
        </w:trPr>
        <w:tc>
          <w:tcPr>
            <w:tcW w:w="3160" w:type="dxa"/>
            <w:vAlign w:val="bottom"/>
          </w:tcPr>
          <w:p>
            <w:pPr>
              <w:spacing w:after="0"/>
              <w:rPr>
                <w:sz w:val="20"/>
                <w:szCs w:val="20"/>
                <w:color w:val="auto"/>
              </w:rPr>
            </w:pPr>
            <w:r>
              <w:rPr>
                <w:rFonts w:ascii="Courier New" w:cs="Courier New" w:eastAsia="Courier New" w:hAnsi="Courier New"/>
                <w:sz w:val="13"/>
                <w:szCs w:val="13"/>
                <w:color w:val="auto"/>
              </w:rPr>
              <w:t>Industrial Molding Group, L.P.</w:t>
            </w:r>
          </w:p>
        </w:tc>
        <w:tc>
          <w:tcPr>
            <w:tcW w:w="3580" w:type="dxa"/>
            <w:vAlign w:val="bottom"/>
          </w:tcPr>
          <w:p>
            <w:pPr>
              <w:jc w:val="center"/>
              <w:ind w:left="553"/>
              <w:spacing w:after="0"/>
              <w:rPr>
                <w:sz w:val="20"/>
                <w:szCs w:val="20"/>
                <w:color w:val="auto"/>
              </w:rPr>
            </w:pPr>
            <w:r>
              <w:rPr>
                <w:rFonts w:ascii="Courier New" w:cs="Courier New" w:eastAsia="Courier New" w:hAnsi="Courier New"/>
                <w:sz w:val="13"/>
                <w:szCs w:val="13"/>
                <w:color w:val="auto"/>
              </w:rPr>
              <w:t>Tennessee</w:t>
            </w:r>
          </w:p>
        </w:tc>
      </w:tr>
      <w:tr>
        <w:trPr>
          <w:trHeight w:val="308"/>
        </w:trPr>
        <w:tc>
          <w:tcPr>
            <w:tcW w:w="3160" w:type="dxa"/>
            <w:vAlign w:val="bottom"/>
          </w:tcPr>
          <w:p>
            <w:pPr>
              <w:spacing w:after="0"/>
              <w:rPr>
                <w:sz w:val="20"/>
                <w:szCs w:val="20"/>
                <w:color w:val="auto"/>
              </w:rPr>
            </w:pPr>
            <w:r>
              <w:rPr>
                <w:rFonts w:ascii="Courier New" w:cs="Courier New" w:eastAsia="Courier New" w:hAnsi="Courier New"/>
                <w:sz w:val="13"/>
                <w:szCs w:val="13"/>
                <w:color w:val="auto"/>
              </w:rPr>
              <w:t>NN Euroball ApS</w:t>
            </w:r>
          </w:p>
        </w:tc>
        <w:tc>
          <w:tcPr>
            <w:tcW w:w="3580" w:type="dxa"/>
            <w:vAlign w:val="bottom"/>
          </w:tcPr>
          <w:p>
            <w:pPr>
              <w:jc w:val="center"/>
              <w:ind w:left="553"/>
              <w:spacing w:after="0"/>
              <w:rPr>
                <w:sz w:val="20"/>
                <w:szCs w:val="20"/>
                <w:color w:val="auto"/>
              </w:rPr>
            </w:pPr>
            <w:r>
              <w:rPr>
                <w:rFonts w:ascii="Courier New" w:cs="Courier New" w:eastAsia="Courier New" w:hAnsi="Courier New"/>
                <w:sz w:val="13"/>
                <w:szCs w:val="13"/>
                <w:color w:val="auto"/>
              </w:rPr>
              <w:t>Denmark</w:t>
            </w:r>
          </w:p>
        </w:tc>
      </w:tr>
      <w:tr>
        <w:trPr>
          <w:trHeight w:val="308"/>
        </w:trPr>
        <w:tc>
          <w:tcPr>
            <w:tcW w:w="3160" w:type="dxa"/>
            <w:vAlign w:val="bottom"/>
          </w:tcPr>
          <w:p>
            <w:pPr>
              <w:spacing w:after="0"/>
              <w:rPr>
                <w:sz w:val="20"/>
                <w:szCs w:val="20"/>
                <w:color w:val="auto"/>
              </w:rPr>
            </w:pPr>
            <w:r>
              <w:rPr>
                <w:rFonts w:ascii="Courier New" w:cs="Courier New" w:eastAsia="Courier New" w:hAnsi="Courier New"/>
                <w:sz w:val="13"/>
                <w:szCs w:val="13"/>
                <w:color w:val="auto"/>
              </w:rPr>
              <w:t>Kugelfertigung Eltmann GmbH</w:t>
            </w:r>
          </w:p>
        </w:tc>
        <w:tc>
          <w:tcPr>
            <w:tcW w:w="3580" w:type="dxa"/>
            <w:vAlign w:val="bottom"/>
          </w:tcPr>
          <w:p>
            <w:pPr>
              <w:jc w:val="center"/>
              <w:ind w:left="553"/>
              <w:spacing w:after="0"/>
              <w:rPr>
                <w:sz w:val="20"/>
                <w:szCs w:val="20"/>
                <w:color w:val="auto"/>
              </w:rPr>
            </w:pPr>
            <w:r>
              <w:rPr>
                <w:rFonts w:ascii="Courier New" w:cs="Courier New" w:eastAsia="Courier New" w:hAnsi="Courier New"/>
                <w:sz w:val="13"/>
                <w:szCs w:val="13"/>
                <w:color w:val="auto"/>
              </w:rPr>
              <w:t>Germany</w:t>
            </w:r>
          </w:p>
        </w:tc>
      </w:tr>
      <w:tr>
        <w:trPr>
          <w:trHeight w:val="308"/>
        </w:trPr>
        <w:tc>
          <w:tcPr>
            <w:tcW w:w="3160" w:type="dxa"/>
            <w:vAlign w:val="bottom"/>
          </w:tcPr>
          <w:p>
            <w:pPr>
              <w:spacing w:after="0"/>
              <w:rPr>
                <w:sz w:val="20"/>
                <w:szCs w:val="20"/>
                <w:color w:val="auto"/>
              </w:rPr>
            </w:pPr>
            <w:r>
              <w:rPr>
                <w:rFonts w:ascii="Courier New" w:cs="Courier New" w:eastAsia="Courier New" w:hAnsi="Courier New"/>
                <w:sz w:val="13"/>
                <w:szCs w:val="13"/>
                <w:color w:val="auto"/>
              </w:rPr>
              <w:t>Euroball S.p.A.</w:t>
            </w:r>
          </w:p>
        </w:tc>
        <w:tc>
          <w:tcPr>
            <w:tcW w:w="3580" w:type="dxa"/>
            <w:vAlign w:val="bottom"/>
          </w:tcPr>
          <w:p>
            <w:pPr>
              <w:jc w:val="center"/>
              <w:ind w:left="553"/>
              <w:spacing w:after="0"/>
              <w:rPr>
                <w:sz w:val="20"/>
                <w:szCs w:val="20"/>
                <w:color w:val="auto"/>
              </w:rPr>
            </w:pPr>
            <w:r>
              <w:rPr>
                <w:rFonts w:ascii="Courier New" w:cs="Courier New" w:eastAsia="Courier New" w:hAnsi="Courier New"/>
                <w:sz w:val="13"/>
                <w:szCs w:val="13"/>
                <w:color w:val="auto"/>
              </w:rPr>
              <w:t>Italy</w:t>
            </w:r>
          </w:p>
        </w:tc>
      </w:tr>
      <w:tr>
        <w:trPr>
          <w:trHeight w:val="308"/>
        </w:trPr>
        <w:tc>
          <w:tcPr>
            <w:tcW w:w="3160" w:type="dxa"/>
            <w:vAlign w:val="bottom"/>
          </w:tcPr>
          <w:p>
            <w:pPr>
              <w:spacing w:after="0"/>
              <w:rPr>
                <w:sz w:val="20"/>
                <w:szCs w:val="20"/>
                <w:color w:val="auto"/>
              </w:rPr>
            </w:pPr>
            <w:r>
              <w:rPr>
                <w:rFonts w:ascii="Courier New" w:cs="Courier New" w:eastAsia="Courier New" w:hAnsi="Courier New"/>
                <w:sz w:val="13"/>
                <w:szCs w:val="13"/>
                <w:color w:val="auto"/>
              </w:rPr>
              <w:t>NN Euroball Ireland, Ltd.</w:t>
            </w:r>
          </w:p>
        </w:tc>
        <w:tc>
          <w:tcPr>
            <w:tcW w:w="3580" w:type="dxa"/>
            <w:vAlign w:val="bottom"/>
          </w:tcPr>
          <w:p>
            <w:pPr>
              <w:jc w:val="center"/>
              <w:ind w:left="553"/>
              <w:spacing w:after="0"/>
              <w:rPr>
                <w:sz w:val="20"/>
                <w:szCs w:val="20"/>
                <w:color w:val="auto"/>
              </w:rPr>
            </w:pPr>
            <w:r>
              <w:rPr>
                <w:rFonts w:ascii="Courier New" w:cs="Courier New" w:eastAsia="Courier New" w:hAnsi="Courier New"/>
                <w:sz w:val="13"/>
                <w:szCs w:val="13"/>
                <w:color w:val="auto"/>
              </w:rPr>
              <w:t>Ireland</w:t>
            </w:r>
          </w:p>
        </w:tc>
      </w:tr>
      <w:tr>
        <w:trPr>
          <w:trHeight w:val="308"/>
        </w:trPr>
        <w:tc>
          <w:tcPr>
            <w:tcW w:w="3160" w:type="dxa"/>
            <w:vAlign w:val="bottom"/>
          </w:tcPr>
          <w:p>
            <w:pPr>
              <w:spacing w:after="0"/>
              <w:rPr>
                <w:sz w:val="20"/>
                <w:szCs w:val="20"/>
                <w:color w:val="auto"/>
              </w:rPr>
            </w:pPr>
            <w:r>
              <w:rPr>
                <w:rFonts w:ascii="Courier New" w:cs="Courier New" w:eastAsia="Courier New" w:hAnsi="Courier New"/>
                <w:sz w:val="13"/>
                <w:szCs w:val="13"/>
                <w:color w:val="auto"/>
              </w:rPr>
              <w:t>NN Mexico, LLC</w:t>
            </w:r>
          </w:p>
        </w:tc>
        <w:tc>
          <w:tcPr>
            <w:tcW w:w="3580" w:type="dxa"/>
            <w:vAlign w:val="bottom"/>
          </w:tcPr>
          <w:p>
            <w:pPr>
              <w:jc w:val="center"/>
              <w:ind w:left="473"/>
              <w:spacing w:after="0"/>
              <w:rPr>
                <w:sz w:val="20"/>
                <w:szCs w:val="20"/>
                <w:color w:val="auto"/>
              </w:rPr>
            </w:pPr>
            <w:r>
              <w:rPr>
                <w:rFonts w:ascii="Courier New" w:cs="Courier New" w:eastAsia="Courier New" w:hAnsi="Courier New"/>
                <w:sz w:val="13"/>
                <w:szCs w:val="13"/>
                <w:color w:val="auto"/>
              </w:rPr>
              <w:t>Delaware</w:t>
            </w:r>
          </w:p>
        </w:tc>
      </w:tr>
      <w:tr>
        <w:trPr>
          <w:trHeight w:val="308"/>
        </w:trPr>
        <w:tc>
          <w:tcPr>
            <w:tcW w:w="3160" w:type="dxa"/>
            <w:vAlign w:val="bottom"/>
          </w:tcPr>
          <w:p>
            <w:pPr>
              <w:spacing w:after="0"/>
              <w:rPr>
                <w:sz w:val="20"/>
                <w:szCs w:val="20"/>
                <w:color w:val="auto"/>
              </w:rPr>
            </w:pPr>
            <w:r>
              <w:rPr>
                <w:rFonts w:ascii="Courier New" w:cs="Courier New" w:eastAsia="Courier New" w:hAnsi="Courier New"/>
                <w:sz w:val="13"/>
                <w:szCs w:val="13"/>
                <w:color w:val="auto"/>
              </w:rPr>
              <w:t>NN Arte S. De R.L. De D.V.</w:t>
            </w:r>
          </w:p>
        </w:tc>
        <w:tc>
          <w:tcPr>
            <w:tcW w:w="3580" w:type="dxa"/>
            <w:vAlign w:val="bottom"/>
          </w:tcPr>
          <w:p>
            <w:pPr>
              <w:jc w:val="center"/>
              <w:ind w:left="473"/>
              <w:spacing w:after="0"/>
              <w:rPr>
                <w:sz w:val="20"/>
                <w:szCs w:val="20"/>
                <w:color w:val="auto"/>
              </w:rPr>
            </w:pPr>
            <w:r>
              <w:rPr>
                <w:rFonts w:ascii="Courier New" w:cs="Courier New" w:eastAsia="Courier New" w:hAnsi="Courier New"/>
                <w:sz w:val="13"/>
                <w:szCs w:val="13"/>
                <w:color w:val="auto"/>
              </w:rPr>
              <w:t>Mexico</w:t>
            </w:r>
          </w:p>
        </w:tc>
      </w:tr>
    </w:tbl>
    <w:p>
      <w:pPr>
        <w:sectPr>
          <w:pgSz w:w="11900" w:h="16838" w:orient="portrait"/>
          <w:cols w:equalWidth="0" w:num="1">
            <w:col w:w="10239"/>
          </w:cols>
          <w:pgMar w:left="220" w:top="295" w:right="1440" w:bottom="1440" w:gutter="0" w:footer="0" w:header="0"/>
        </w:sectPr>
      </w:pPr>
    </w:p>
    <w:bookmarkStart w:id="55" w:name="page56"/>
    <w:bookmarkEnd w:id="55"/>
    <w:p>
      <w:pPr>
        <w:ind w:left="2240"/>
        <w:spacing w:after="0"/>
        <w:rPr>
          <w:sz w:val="20"/>
          <w:szCs w:val="20"/>
          <w:color w:val="auto"/>
        </w:rPr>
      </w:pPr>
      <w:r>
        <w:rPr>
          <w:rFonts w:ascii="Courier New" w:cs="Courier New" w:eastAsia="Courier New" w:hAnsi="Courier New"/>
          <w:sz w:val="13"/>
          <w:szCs w:val="13"/>
          <w:color w:val="auto"/>
        </w:rPr>
        <w:t>[Letterhead of KPMG LLP]</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3"/>
          <w:szCs w:val="13"/>
          <w:u w:val="single" w:color="auto"/>
          <w:color w:val="auto"/>
        </w:rPr>
        <w:t>Independent Auditors' Consent</w:t>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NN Inc.</w:t>
      </w:r>
    </w:p>
    <w:p>
      <w:pPr>
        <w:spacing w:after="0" w:line="161" w:lineRule="exact"/>
        <w:rPr>
          <w:sz w:val="20"/>
          <w:szCs w:val="20"/>
          <w:color w:val="auto"/>
        </w:rPr>
      </w:pPr>
    </w:p>
    <w:p>
      <w:pPr>
        <w:ind w:right="3819"/>
        <w:spacing w:after="0" w:line="251" w:lineRule="auto"/>
        <w:rPr>
          <w:sz w:val="20"/>
          <w:szCs w:val="20"/>
          <w:color w:val="auto"/>
        </w:rPr>
      </w:pPr>
      <w:r>
        <w:rPr>
          <w:rFonts w:ascii="Courier New" w:cs="Courier New" w:eastAsia="Courier New" w:hAnsi="Courier New"/>
          <w:sz w:val="13"/>
          <w:szCs w:val="13"/>
          <w:color w:val="auto"/>
        </w:rPr>
        <w:t>We consent to the incorporation by reference in the registration statements (No. 33-87572, No. 333-50934, No. 333-69588) on Form S-8 and the registration statement (No. 333-100119) on Form S-3 of NN, Inc. of our report dated February 24, 2003, with respect to the consolidated balance sheets of NN, Inc. and Subsidiaries as of December 31, 2002 and 2001 and the related consolidated statements of income and comprehensive income, consolidated statements of changes in stockholders' equity, and consolidated statements of cash flows for each of the years in the three year period ended December 31, 2002, which report appears in the December 31, 2002 annual report on Form 10-K of NN, Inc. and Subsidiaries. Our report refers to a change in the Company's method of accounting for goodwill and other intangible assets in 2002 and a change in the Company's method of accounting for derivative instruments and hedging activities in 2001.</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860"/>
        <w:spacing w:after="0"/>
        <w:rPr>
          <w:sz w:val="20"/>
          <w:szCs w:val="20"/>
          <w:color w:val="auto"/>
        </w:rPr>
      </w:pPr>
      <w:r>
        <w:rPr>
          <w:rFonts w:ascii="Courier New" w:cs="Courier New" w:eastAsia="Courier New" w:hAnsi="Courier New"/>
          <w:sz w:val="13"/>
          <w:szCs w:val="13"/>
          <w:color w:val="auto"/>
        </w:rPr>
        <w:t>/s/ KPMG LLP</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Charlotte, North Carolina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March 31, 2003</w:t>
      </w:r>
    </w:p>
    <w:p>
      <w:pPr>
        <w:sectPr>
          <w:pgSz w:w="11900" w:h="16838" w:orient="portrait"/>
          <w:cols w:equalWidth="0" w:num="1">
            <w:col w:w="10239"/>
          </w:cols>
          <w:pgMar w:left="220" w:top="450" w:right="1440" w:bottom="1440" w:gutter="0" w:footer="0" w:header="0"/>
        </w:sectPr>
      </w:pPr>
    </w:p>
    <w:bookmarkStart w:id="56" w:name="page57"/>
    <w:bookmarkEnd w:id="56"/>
    <w:p>
      <w:pPr>
        <w:ind w:left="5380"/>
        <w:spacing w:after="0"/>
        <w:rPr>
          <w:sz w:val="20"/>
          <w:szCs w:val="20"/>
          <w:color w:val="auto"/>
        </w:rPr>
      </w:pPr>
      <w:r>
        <w:rPr>
          <w:rFonts w:ascii="Courier New" w:cs="Courier New" w:eastAsia="Courier New" w:hAnsi="Courier New"/>
          <w:sz w:val="13"/>
          <w:szCs w:val="13"/>
          <w:color w:val="auto"/>
        </w:rPr>
        <w:t>Exhibit 99.1</w:t>
      </w:r>
    </w:p>
    <w:p>
      <w:pPr>
        <w:spacing w:after="0" w:line="161" w:lineRule="exact"/>
        <w:rPr>
          <w:sz w:val="20"/>
          <w:szCs w:val="20"/>
          <w:color w:val="auto"/>
        </w:rPr>
      </w:pPr>
    </w:p>
    <w:p>
      <w:pPr>
        <w:ind w:left="1280"/>
        <w:spacing w:after="0"/>
        <w:rPr>
          <w:sz w:val="20"/>
          <w:szCs w:val="20"/>
          <w:color w:val="auto"/>
        </w:rPr>
      </w:pPr>
      <w:r>
        <w:rPr>
          <w:rFonts w:ascii="Courier New" w:cs="Courier New" w:eastAsia="Courier New" w:hAnsi="Courier New"/>
          <w:sz w:val="13"/>
          <w:szCs w:val="13"/>
          <w:color w:val="auto"/>
        </w:rPr>
        <w:t>CERTIFICATION OF CHIEF EXECUTIVE OFFICER PURSUANT</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3"/>
          <w:szCs w:val="13"/>
          <w:color w:val="auto"/>
        </w:rPr>
        <w:t>TO SECTION 906 OF THE SARBANES-OXLEY ACT OF 2002</w:t>
      </w:r>
    </w:p>
    <w:p>
      <w:pPr>
        <w:spacing w:after="0" w:line="16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In connection with the Annual Report of NN, Inc. (the "Company") on Form 10-K for the annual period ended December 31, 2002, as filed with the Securities and Exchange Commission on the date hereof (the "Report"), the undersigned, in the capacity and date indicated below, hereby certifies pursuant to 18 U.S.C. ss.1350, as adopted pursuant to ss.906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ectPr>
          <w:pgSz w:w="11900" w:h="16838" w:orient="portrait"/>
          <w:cols w:equalWidth="0" w:num="1">
            <w:col w:w="10239"/>
          </w:cols>
          <w:pgMar w:left="220" w:top="141" w:right="1440" w:bottom="1440" w:gutter="0" w:footer="0" w:header="0"/>
        </w:sect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Date:</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March 31, 2003</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Roderick R. Baty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Roderick R. Baty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Chairman, President and Chief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Executive Officer</w:t>
      </w:r>
    </w:p>
    <w:p>
      <w:pPr>
        <w:spacing w:after="0" w:line="200" w:lineRule="exact"/>
        <w:rPr>
          <w:sz w:val="20"/>
          <w:szCs w:val="20"/>
          <w:color w:val="auto"/>
        </w:rPr>
      </w:pPr>
    </w:p>
    <w:p>
      <w:pPr>
        <w:sectPr>
          <w:pgSz w:w="11900" w:h="16838" w:orient="portrait"/>
          <w:cols w:equalWidth="0" w:num="3">
            <w:col w:w="400" w:space="160"/>
            <w:col w:w="1940" w:space="720"/>
            <w:col w:w="7019"/>
          </w:cols>
          <w:pgMar w:left="220" w:top="141" w:right="1440" w:bottom="1440" w:gutter="0" w:footer="0" w:header="0"/>
          <w:type w:val="continuous"/>
        </w:sectPr>
      </w:pPr>
    </w:p>
    <w:p>
      <w:pPr>
        <w:spacing w:after="0" w:line="115" w:lineRule="exact"/>
        <w:rPr>
          <w:sz w:val="20"/>
          <w:szCs w:val="20"/>
          <w:color w:val="auto"/>
        </w:rPr>
      </w:pPr>
    </w:p>
    <w:p>
      <w:pPr>
        <w:ind w:right="4059"/>
        <w:spacing w:after="0" w:line="253" w:lineRule="auto"/>
        <w:rPr>
          <w:sz w:val="20"/>
          <w:szCs w:val="20"/>
          <w:color w:val="auto"/>
        </w:rPr>
      </w:pPr>
      <w:r>
        <w:rPr>
          <w:rFonts w:ascii="Courier New" w:cs="Courier New" w:eastAsia="Courier New" w:hAnsi="Courier New"/>
          <w:sz w:val="13"/>
          <w:szCs w:val="13"/>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0239"/>
          </w:cols>
          <w:pgMar w:left="220" w:top="141" w:right="1440" w:bottom="1440" w:gutter="0" w:footer="0" w:header="0"/>
          <w:type w:val="continuous"/>
        </w:sectPr>
      </w:pPr>
    </w:p>
    <w:bookmarkStart w:id="57" w:name="page58"/>
    <w:bookmarkEnd w:id="57"/>
    <w:p>
      <w:pPr>
        <w:jc w:val="right"/>
        <w:ind w:right="3819"/>
        <w:spacing w:after="0"/>
        <w:rPr>
          <w:sz w:val="20"/>
          <w:szCs w:val="20"/>
          <w:color w:val="auto"/>
        </w:rPr>
      </w:pPr>
      <w:r>
        <w:rPr>
          <w:rFonts w:ascii="Courier New" w:cs="Courier New" w:eastAsia="Courier New" w:hAnsi="Courier New"/>
          <w:sz w:val="13"/>
          <w:szCs w:val="13"/>
          <w:color w:val="auto"/>
        </w:rPr>
        <w:t>Exhibit 99.2</w:t>
      </w:r>
    </w:p>
    <w:p>
      <w:pPr>
        <w:spacing w:after="0" w:line="161" w:lineRule="exact"/>
        <w:rPr>
          <w:sz w:val="20"/>
          <w:szCs w:val="20"/>
          <w:color w:val="auto"/>
        </w:rPr>
      </w:pPr>
    </w:p>
    <w:p>
      <w:pPr>
        <w:ind w:left="1280"/>
        <w:spacing w:after="0"/>
        <w:rPr>
          <w:sz w:val="20"/>
          <w:szCs w:val="20"/>
          <w:color w:val="auto"/>
        </w:rPr>
      </w:pPr>
      <w:r>
        <w:rPr>
          <w:rFonts w:ascii="Courier New" w:cs="Courier New" w:eastAsia="Courier New" w:hAnsi="Courier New"/>
          <w:sz w:val="13"/>
          <w:szCs w:val="13"/>
          <w:color w:val="auto"/>
        </w:rPr>
        <w:t>CERTIFICATION OF CHIEF FINANCIAL OFFICER PURSUANT</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3"/>
          <w:szCs w:val="13"/>
          <w:color w:val="auto"/>
        </w:rPr>
        <w:t>TO SECTION 906 OF THE SARBANES-OXLEY ACT OF 2002</w:t>
      </w:r>
    </w:p>
    <w:p>
      <w:pPr>
        <w:spacing w:after="0" w:line="16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In connection with the Annual Report of NN, Inc. (the "Company") on Form 10-K for the annual period ended December 31, 2002, as filed with the Securities and Exchange Commission on the date hereof (the "Report"), the undersigned, in the capacity and date indicated below, hereby certifies pursuant to 18 U.S.C. ss.1350, as adopted pursuant to ss.906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ectPr>
          <w:pgSz w:w="11900" w:h="16838" w:orient="portrait"/>
          <w:cols w:equalWidth="0" w:num="1">
            <w:col w:w="10239"/>
          </w:cols>
          <w:pgMar w:left="220" w:top="450" w:right="1440" w:bottom="1440" w:gutter="0" w:footer="0" w:header="0"/>
        </w:sect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Date:</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March 31, 2003</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David L. Dyckman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David L. Dyckman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Chief Financial Officer</w:t>
      </w:r>
    </w:p>
    <w:p>
      <w:pPr>
        <w:spacing w:after="0" w:line="161" w:lineRule="exact"/>
        <w:rPr>
          <w:sz w:val="20"/>
          <w:szCs w:val="20"/>
          <w:color w:val="auto"/>
        </w:rPr>
      </w:pPr>
    </w:p>
    <w:p>
      <w:pPr>
        <w:sectPr>
          <w:pgSz w:w="11900" w:h="16838" w:orient="portrait"/>
          <w:cols w:equalWidth="0" w:num="3">
            <w:col w:w="400" w:space="160"/>
            <w:col w:w="2340" w:space="720"/>
            <w:col w:w="6619"/>
          </w:cols>
          <w:pgMar w:left="220" w:top="450" w:right="1440" w:bottom="1440" w:gutter="0" w:footer="0" w:header="0"/>
          <w:type w:val="continuous"/>
        </w:sectPr>
      </w:pPr>
    </w:p>
    <w:p>
      <w:pPr>
        <w:ind w:right="4059"/>
        <w:spacing w:after="0" w:line="253" w:lineRule="auto"/>
        <w:rPr>
          <w:sz w:val="20"/>
          <w:szCs w:val="20"/>
          <w:color w:val="auto"/>
        </w:rPr>
      </w:pPr>
      <w:r>
        <w:rPr>
          <w:rFonts w:ascii="Courier New" w:cs="Courier New" w:eastAsia="Courier New" w:hAnsi="Courier New"/>
          <w:sz w:val="13"/>
          <w:szCs w:val="13"/>
          <w:color w:val="auto"/>
        </w:rPr>
        <w:t>[A signed original of this written statement required by Section 906 has been provided to NN, Inc. and will be retained by NN, Inc. and furnished to the Securities and Exchange Commission or its staff upon request.]</w:t>
      </w:r>
    </w:p>
    <w:sectPr>
      <w:pgSz w:w="11900" w:h="16838" w:orient="portrait"/>
      <w:cols w:equalWidth="0" w:num="1">
        <w:col w:w="10239"/>
      </w:cols>
      <w:pgMar w:left="220" w:top="45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o"/>
      <w:numFmt w:val="bullet"/>
      <w:start w:val="1"/>
    </w:lvl>
  </w:abstractNum>
  <w:abstractNum w:abstractNumId="1">
    <w:nsid w:val="5577F8E1"/>
    <w:multiLevelType w:val="hybridMultilevel"/>
    <w:lvl w:ilvl="0">
      <w:lvlJc w:val="left"/>
      <w:lvlText w:val="o"/>
      <w:numFmt w:val="bullet"/>
      <w:start w:val="1"/>
    </w:lvl>
  </w:abstractNum>
  <w:abstractNum w:abstractNumId="2">
    <w:nsid w:val="440BADFC"/>
    <w:multiLevelType w:val="hybridMultilevel"/>
    <w:lvl w:ilvl="0">
      <w:lvlJc w:val="left"/>
      <w:lvlText w:val="o"/>
      <w:numFmt w:val="bullet"/>
      <w:start w:val="1"/>
    </w:lvl>
  </w:abstractNum>
  <w:abstractNum w:abstractNumId="3">
    <w:nsid w:val="5072367"/>
    <w:multiLevelType w:val="hybridMultilevel"/>
    <w:lvl w:ilvl="0">
      <w:lvlJc w:val="left"/>
      <w:lvlText w:val="%1"/>
      <w:numFmt w:val="upperLetter"/>
      <w:start w:val="40"/>
    </w:lvl>
  </w:abstractNum>
  <w:abstractNum w:abstractNumId="4">
    <w:nsid w:val="3804823E"/>
    <w:multiLevelType w:val="hybridMultilevel"/>
    <w:lvl w:ilvl="0">
      <w:lvlJc w:val="left"/>
      <w:lvlText w:val="(%1)"/>
      <w:numFmt w:val="decimal"/>
      <w:start w:val="1"/>
    </w:lvl>
    <w:lvl w:ilvl="1">
      <w:lvlJc w:val="left"/>
      <w:lvlText w:val="(%2)"/>
      <w:numFmt w:val="lowerLetter"/>
      <w:start w:val="1"/>
    </w:lvl>
  </w:abstractNum>
  <w:abstractNum w:abstractNumId="5">
    <w:nsid w:val="77465F01"/>
    <w:multiLevelType w:val="hybridMultilevel"/>
    <w:lvl w:ilvl="0">
      <w:lvlJc w:val="left"/>
      <w:lvlText w:val="(%1)"/>
      <w:numFmt w:val="lowerLetter"/>
      <w:start w:val="7"/>
    </w:lvl>
  </w:abstractNum>
  <w:abstractNum w:abstractNumId="6">
    <w:nsid w:val="7724C67E"/>
    <w:multiLevelType w:val="hybridMultilevel"/>
    <w:lvl w:ilvl="0">
      <w:lvlJc w:val="left"/>
      <w:lvlText w:val="(%1)"/>
      <w:numFmt w:val="lowerLetter"/>
      <w:start w:val="12"/>
    </w:lvl>
  </w:abstractNum>
  <w:abstractNum w:abstractNumId="7">
    <w:nsid w:val="5C482A97"/>
    <w:multiLevelType w:val="hybridMultilevel"/>
    <w:lvl w:ilvl="0">
      <w:lvlJc w:val="left"/>
      <w:lvlText w:val="(%1)"/>
      <w:numFmt w:val="lowerLetter"/>
      <w:start w:val="13"/>
    </w:lvl>
  </w:abstractNum>
  <w:abstractNum w:abstractNumId="8">
    <w:nsid w:val="2463B9EA"/>
    <w:multiLevelType w:val="hybridMultilevel"/>
    <w:lvl w:ilvl="0">
      <w:lvlJc w:val="left"/>
      <w:lvlText w:val="(%1)"/>
      <w:numFmt w:val="lowerLetter"/>
      <w:start w:val="14"/>
    </w:lvl>
  </w:abstractNum>
  <w:abstractNum w:abstractNumId="9">
    <w:nsid w:val="5E884ADC"/>
    <w:multiLevelType w:val="hybridMultilevel"/>
    <w:lvl w:ilvl="0">
      <w:lvlJc w:val="left"/>
      <w:lvlText w:val="(%1)"/>
      <w:numFmt w:val="decimal"/>
      <w:start w:val="2"/>
    </w:lvl>
  </w:abstractNum>
  <w:abstractNum w:abstractNumId="10">
    <w:nsid w:val="51EAD36B"/>
    <w:multiLevelType w:val="hybridMultilevel"/>
    <w:lvl w:ilvl="0">
      <w:lvlJc w:val="left"/>
      <w:lvlText w:val="%1"/>
      <w:numFmt w:val="upperLetter"/>
      <w:start w:val="40"/>
    </w:lvl>
  </w:abstractNum>
  <w:abstractNum w:abstractNumId="11">
    <w:nsid w:val="2D517796"/>
    <w:multiLevelType w:val="hybridMultilevel"/>
    <w:lvl w:ilvl="0">
      <w:lvlJc w:val="left"/>
      <w:lvlText w:val="(%1)"/>
      <w:numFmt w:val="decimal"/>
      <w:start w:val="3"/>
    </w:lvl>
  </w:abstractNum>
  <w:abstractNum w:abstractNumId="12">
    <w:nsid w:val="580BD78F"/>
    <w:multiLevelType w:val="hybridMultilevel"/>
    <w:lvl w:ilvl="0">
      <w:lvlJc w:val="left"/>
      <w:lvlText w:val="(%1)"/>
      <w:numFmt w:val="decimal"/>
      <w:start w:val="4"/>
    </w:lvl>
  </w:abstractNum>
  <w:abstractNum w:abstractNumId="13">
    <w:nsid w:val="153EA438"/>
    <w:multiLevelType w:val="hybridMultilevel"/>
    <w:lvl w:ilvl="0">
      <w:lvlJc w:val="left"/>
      <w:lvlText w:val="(%1)"/>
      <w:numFmt w:val="decimal"/>
      <w:start w:val="7"/>
    </w:lvl>
  </w:abstractNum>
  <w:abstractNum w:abstractNumId="14">
    <w:nsid w:val="3855585C"/>
    <w:multiLevelType w:val="hybridMultilevel"/>
    <w:lvl w:ilvl="0">
      <w:lvlJc w:val="left"/>
      <w:lvlText w:val="(%1)"/>
      <w:numFmt w:val="decimal"/>
      <w:start w:val="8"/>
    </w:lvl>
  </w:abstractNum>
  <w:abstractNum w:abstractNumId="15">
    <w:nsid w:val="70A64E2A"/>
    <w:multiLevelType w:val="hybridMultilevel"/>
    <w:lvl w:ilvl="0">
      <w:lvlJc w:val="left"/>
      <w:lvlText w:val="(%1)"/>
      <w:numFmt w:val="decimal"/>
      <w:start w:val="9"/>
    </w:lvl>
  </w:abstractNum>
  <w:abstractNum w:abstractNumId="16">
    <w:nsid w:val="6A2342EC"/>
    <w:multiLevelType w:val="hybridMultilevel"/>
    <w:lvl w:ilvl="0">
      <w:lvlJc w:val="left"/>
      <w:lvlText w:val="(%1)"/>
      <w:numFmt w:val="decimal"/>
      <w:start w:val="10"/>
    </w:lvl>
  </w:abstractNum>
  <w:abstractNum w:abstractNumId="17">
    <w:nsid w:val="2A487CB0"/>
    <w:multiLevelType w:val="hybridMultilevel"/>
    <w:lvl w:ilvl="0">
      <w:lvlJc w:val="left"/>
      <w:lvlText w:val="(%1)"/>
      <w:numFmt w:val="decimal"/>
      <w:start w:val="11"/>
    </w:lvl>
  </w:abstractNum>
  <w:abstractNum w:abstractNumId="18">
    <w:nsid w:val="1D4ED43B"/>
    <w:multiLevelType w:val="hybridMultilevel"/>
    <w:lvl w:ilvl="0">
      <w:lvlJc w:val="left"/>
      <w:lvlText w:val="(%1)"/>
      <w:numFmt w:val="decimal"/>
      <w:start w:val="12"/>
    </w:lvl>
  </w:abstractNum>
  <w:abstractNum w:abstractNumId="19">
    <w:nsid w:val="725A06FB"/>
    <w:multiLevelType w:val="hybridMultilevel"/>
    <w:lvl w:ilvl="0">
      <w:lvlJc w:val="left"/>
      <w:lvlText w:val="(%1)"/>
      <w:numFmt w:val="decimal"/>
      <w:start w:val="14"/>
    </w:lvl>
  </w:abstractNum>
  <w:abstractNum w:abstractNumId="20">
    <w:nsid w:val="2CD89A32"/>
    <w:multiLevelType w:val="hybridMultilevel"/>
    <w:lvl w:ilvl="0">
      <w:lvlJc w:val="left"/>
      <w:lvlText w:val="(%1)"/>
      <w:numFmt w:val="decimal"/>
      <w:start w:val="15"/>
    </w:lvl>
  </w:abstractNum>
  <w:abstractNum w:abstractNumId="21">
    <w:nsid w:val="57E4CCAF"/>
    <w:multiLevelType w:val="hybridMultilevel"/>
    <w:lvl w:ilvl="0">
      <w:lvlJc w:val="left"/>
      <w:lvlText w:val="%1"/>
      <w:numFmt w:val="decimal"/>
      <w:start w:val="1"/>
    </w:lvl>
    <w:lvl w:ilvl="1">
      <w:lvlJc w:val="left"/>
      <w:lvlText w:val="(%2)"/>
      <w:numFmt w:val="decimal"/>
      <w:start w:val="16"/>
    </w:lvl>
  </w:abstractNum>
  <w:abstractNum w:abstractNumId="22">
    <w:nsid w:val="7A6D8D3C"/>
    <w:multiLevelType w:val="hybridMultilevel"/>
    <w:lvl w:ilvl="0">
      <w:lvlJc w:val="left"/>
      <w:lvlText w:val="(%1)"/>
      <w:numFmt w:val="decimal"/>
      <w:start w:val="18"/>
    </w:lvl>
    <w:lvl w:ilvl="1">
      <w:lvlJc w:val="left"/>
      <w:lvlText w:val="%2"/>
      <w:numFmt w:val="decimal"/>
      <w:start w:val="1"/>
    </w:lvl>
  </w:abstractNum>
  <w:abstractNum w:abstractNumId="23">
    <w:nsid w:val="4B588F54"/>
    <w:multiLevelType w:val="hybridMultilevel"/>
    <w:lvl w:ilvl="0">
      <w:lvlJc w:val="left"/>
      <w:lvlText w:val="%1)"/>
      <w:numFmt w:val="lowerLetter"/>
      <w:start w:val="1"/>
    </w:lvl>
  </w:abstractNum>
  <w:abstractNum w:abstractNumId="24">
    <w:nsid w:val="542289EC"/>
    <w:multiLevelType w:val="hybridMultilevel"/>
    <w:lvl w:ilvl="0">
      <w:lvlJc w:val="left"/>
      <w:lvlText w:val="(%1)"/>
      <w:numFmt w:val="lowerLetter"/>
      <w:start w:val="3"/>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1."/>
      <w:numFmt w:val="decimal"/>
      <w:start w:val="1"/>
    </w:lvl>
    <w:lvl w:ilvl="1">
      <w:lvlJc w:val="left"/>
      <w:lvlText w:val="%2)"/>
      <w:numFmt w:val="lowerLetter"/>
      <w:start w:val="1"/>
    </w:lvl>
  </w:abstractNum>
  <w:abstractNum w:abstractNumId="28">
    <w:nsid w:val="32FFF902"/>
    <w:multiLevelType w:val="hybridMultilevel"/>
    <w:lvl w:ilvl="0">
      <w:lvlJc w:val="left"/>
      <w:lvlText w:val="%1"/>
      <w:numFmt w:val="decimal"/>
      <w:start w:val="1"/>
    </w:lvl>
    <w:lvl w:ilvl="1">
      <w:lvlJc w:val="left"/>
      <w:lvlText w:val="%2)"/>
      <w:numFmt w:val="lowerLetter"/>
      <w:start w:val="3"/>
    </w:lvl>
  </w:abstractNum>
  <w:abstractNum w:abstractNumId="29">
    <w:nsid w:val="684A481A"/>
    <w:multiLevelType w:val="hybridMultilevel"/>
    <w:lvl w:ilvl="0">
      <w:lvlJc w:val="left"/>
      <w:lvlText w:val="%1."/>
      <w:numFmt w:val="decimal"/>
      <w:start w:val="5"/>
    </w:lvl>
    <w:lvl w:ilvl="1">
      <w:lvlJc w:val="left"/>
      <w:lvlText w:val="%2)"/>
      <w:numFmt w:val="lowerLetter"/>
      <w:start w:val="1"/>
    </w:lvl>
  </w:abstractNum>
  <w:abstractNum w:abstractNumId="30">
    <w:nsid w:val="579478FE"/>
    <w:multiLevelType w:val="hybridMultilevel"/>
    <w:lvl w:ilvl="0">
      <w:lvlJc w:val="left"/>
      <w:lvlText w:val="%1."/>
      <w:numFmt w:val="decimal"/>
      <w:start w:val="1"/>
    </w:lvl>
    <w:lvl w:ilvl="1">
      <w:lvlJc w:val="left"/>
      <w:lvlText w:val="%2)"/>
      <w:numFmt w:val="lowerLetter"/>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lvl w:ilvl="1">
      <w:lvlJc w:val="left"/>
      <w:lvlText w:val="-"/>
      <w:numFmt w:val="bullet"/>
      <w:start w:val="1"/>
    </w:lvl>
  </w:abstractNum>
  <w:abstractNum w:abstractNumId="33">
    <w:nsid w:val="1BA026FA"/>
    <w:multiLevelType w:val="hybridMultilevel"/>
    <w:lvl w:ilvl="0">
      <w:lvlJc w:val="left"/>
      <w:lvlText w:val="%1."/>
      <w:numFmt w:val="decimal"/>
      <w:start w:val="1"/>
    </w:lvl>
  </w:abstractNum>
  <w:abstractNum w:abstractNumId="34">
    <w:nsid w:val="79A1DEAA"/>
    <w:multiLevelType w:val="hybridMultilevel"/>
    <w:lvl w:ilvl="0">
      <w:lvlJc w:val="left"/>
      <w:lvlText w:val="o"/>
      <w:numFmt w:val="bullet"/>
      <w:start w:val="1"/>
    </w:lvl>
  </w:abstractNum>
  <w:abstractNum w:abstractNumId="35">
    <w:nsid w:val="75C6C33A"/>
    <w:multiLevelType w:val="hybridMultilevel"/>
    <w:lvl w:ilvl="0">
      <w:lvlJc w:val="left"/>
      <w:lvlText w:val="o"/>
      <w:numFmt w:val="bullet"/>
      <w:start w:val="1"/>
    </w:lvl>
  </w:abstractNum>
  <w:abstractNum w:abstractNumId="36">
    <w:nsid w:val="12E685FB"/>
    <w:multiLevelType w:val="hybridMultilevel"/>
    <w:lvl w:ilvl="0">
      <w:lvlJc w:val="left"/>
      <w:lvlText w:val="o"/>
      <w:numFmt w:val="bullet"/>
      <w:start w:val="1"/>
    </w:lvl>
  </w:abstractNum>
  <w:abstractNum w:abstractNumId="37">
    <w:nsid w:val="70C6A529"/>
    <w:multiLevelType w:val="hybridMultilevel"/>
    <w:lvl w:ilvl="0">
      <w:lvlJc w:val="left"/>
      <w:lvlText w:val="o"/>
      <w:numFmt w:val="bullet"/>
      <w:start w:val="1"/>
    </w:lvl>
  </w:abstractNum>
  <w:abstractNum w:abstractNumId="38">
    <w:nsid w:val="520EEDD1"/>
    <w:multiLevelType w:val="hybridMultilevel"/>
    <w:lvl w:ilvl="0">
      <w:lvlJc w:val="left"/>
      <w:lvlText w:val="o"/>
      <w:numFmt w:val="bullet"/>
      <w:start w:val="1"/>
    </w:lvl>
  </w:abstractNum>
  <w:abstractNum w:abstractNumId="39">
    <w:nsid w:val="374A3FE6"/>
    <w:multiLevelType w:val="hybridMultilevel"/>
    <w:lvl w:ilvl="0">
      <w:lvlJc w:val="left"/>
      <w:lvlText w:val="o"/>
      <w:numFmt w:val="bullet"/>
      <w:start w:val="1"/>
    </w:lvl>
  </w:abstractNum>
  <w:abstractNum w:abstractNumId="40">
    <w:nsid w:val="4F4EF005"/>
    <w:multiLevelType w:val="hybridMultilevel"/>
    <w:lvl w:ilvl="0">
      <w:lvlJc w:val="left"/>
      <w:lvlText w:val="o"/>
      <w:numFmt w:val="bullet"/>
      <w:start w:val="1"/>
    </w:lvl>
  </w:abstractNum>
  <w:abstractNum w:abstractNumId="41">
    <w:nsid w:val="23F9C13C"/>
    <w:multiLevelType w:val="hybridMultilevel"/>
    <w:lvl w:ilvl="0">
      <w:lvlJc w:val="left"/>
      <w:lvlText w:val="o"/>
      <w:numFmt w:val="bullet"/>
      <w:start w:val="1"/>
    </w:lvl>
  </w:abstractNum>
  <w:abstractNum w:abstractNumId="42">
    <w:nsid w:val="649BB77C"/>
    <w:multiLevelType w:val="hybridMultilevel"/>
    <w:lvl w:ilvl="0">
      <w:lvlJc w:val="left"/>
      <w:lvlText w:val="%1)"/>
      <w:numFmt w:val="lowerLetter"/>
      <w:start w:val="1"/>
    </w:lvl>
  </w:abstractNum>
  <w:abstractNum w:abstractNumId="43">
    <w:nsid w:val="275AC794"/>
    <w:multiLevelType w:val="hybridMultilevel"/>
    <w:lvl w:ilvl="0">
      <w:lvlJc w:val="left"/>
      <w:lvlText w:val="o"/>
      <w:numFmt w:val="bullet"/>
      <w:start w:val="1"/>
    </w:lvl>
  </w:abstractNum>
  <w:abstractNum w:abstractNumId="44">
    <w:nsid w:val="39386575"/>
    <w:multiLevelType w:val="hybridMultilevel"/>
    <w:lvl w:ilvl="0">
      <w:lvlJc w:val="left"/>
      <w:lvlText w:val="o"/>
      <w:numFmt w:val="bullet"/>
      <w:start w:val="1"/>
    </w:lvl>
  </w:abstractNum>
  <w:abstractNum w:abstractNumId="45">
    <w:nsid w:val="1CF10FD8"/>
    <w:multiLevelType w:val="hybridMultilevel"/>
    <w:lvl w:ilvl="0">
      <w:lvlJc w:val="left"/>
      <w:lvlText w:val="o"/>
      <w:numFmt w:val="bullet"/>
      <w:start w:val="1"/>
    </w:lvl>
  </w:abstractNum>
  <w:abstractNum w:abstractNumId="46">
    <w:nsid w:val="180115BE"/>
    <w:multiLevelType w:val="hybridMultilevel"/>
    <w:lvl w:ilvl="0">
      <w:lvlJc w:val="left"/>
      <w:lvlText w:val="o"/>
      <w:numFmt w:val="bullet"/>
      <w:start w:val="1"/>
    </w:lvl>
  </w:abstractNum>
  <w:abstractNum w:abstractNumId="47">
    <w:nsid w:val="235BA861"/>
    <w:multiLevelType w:val="hybridMultilevel"/>
    <w:lvl w:ilvl="0">
      <w:lvlJc w:val="left"/>
      <w:lvlText w:val="o"/>
      <w:numFmt w:val="bullet"/>
      <w:start w:val="1"/>
    </w:lvl>
  </w:abstractNum>
  <w:abstractNum w:abstractNumId="48">
    <w:nsid w:val="47398C89"/>
    <w:multiLevelType w:val="hybridMultilevel"/>
    <w:lvl w:ilvl="0">
      <w:lvlJc w:val="left"/>
      <w:lvlText w:val="o"/>
      <w:numFmt w:val="bullet"/>
      <w:start w:val="1"/>
    </w:lvl>
  </w:abstractNum>
  <w:abstractNum w:abstractNumId="49">
    <w:nsid w:val="354FE9F9"/>
    <w:multiLevelType w:val="hybridMultilevel"/>
    <w:lvl w:ilvl="0">
      <w:lvlJc w:val="left"/>
      <w:lvlText w:val="%1."/>
      <w:numFmt w:val="decimal"/>
      <w:start w:val="7"/>
    </w:lvl>
  </w:abstractNum>
  <w:abstractNum w:abstractNumId="50">
    <w:nsid w:val="15B5AF5C"/>
    <w:multiLevelType w:val="hybridMultilevel"/>
    <w:lvl w:ilvl="0">
      <w:lvlJc w:val="left"/>
      <w:lvlText w:val="%1."/>
      <w:numFmt w:val="decimal"/>
      <w:start w:val="7"/>
    </w:lvl>
    <w:lvl w:ilvl="1">
      <w:lvlJc w:val="left"/>
      <w:lvlText w:val="-"/>
      <w:numFmt w:val="bullet"/>
      <w:start w:val="1"/>
    </w:lvl>
  </w:abstractNum>
  <w:abstractNum w:abstractNumId="51">
    <w:nsid w:val="741226BB"/>
    <w:multiLevelType w:val="hybridMultilevel"/>
    <w:lvl w:ilvl="0">
      <w:lvlJc w:val="left"/>
      <w:lvlText w:val="o"/>
      <w:numFmt w:val="bullet"/>
      <w:start w:val="1"/>
    </w:lvl>
  </w:abstractNum>
  <w:abstractNum w:abstractNumId="52">
    <w:nsid w:val="D34B6A8"/>
    <w:multiLevelType w:val="hybridMultilevel"/>
    <w:lvl w:ilvl="0">
      <w:lvlJc w:val="left"/>
      <w:lvlText w:val="o"/>
      <w:numFmt w:val="bullet"/>
      <w:start w:val="1"/>
    </w:lvl>
  </w:abstractNum>
  <w:abstractNum w:abstractNumId="53">
    <w:nsid w:val="10233C99"/>
    <w:multiLevelType w:val="hybridMultilevel"/>
    <w:lvl w:ilvl="0">
      <w:lvlJc w:val="left"/>
      <w:lvlText w:val="%1."/>
      <w:numFmt w:val="decimal"/>
      <w:start w:val="9"/>
    </w:lvl>
  </w:abstractNum>
  <w:abstractNum w:abstractNumId="54">
    <w:nsid w:val="3F6AB60F"/>
    <w:multiLevelType w:val="hybridMultilevel"/>
    <w:lvl w:ilvl="0">
      <w:lvlJc w:val="left"/>
      <w:lvlText w:val="o"/>
      <w:numFmt w:val="bullet"/>
      <w:start w:val="1"/>
    </w:lvl>
  </w:abstractNum>
  <w:abstractNum w:abstractNumId="55">
    <w:nsid w:val="61574095"/>
    <w:multiLevelType w:val="hybridMultilevel"/>
    <w:lvl w:ilvl="0">
      <w:lvlJc w:val="left"/>
      <w:lvlText w:val="o"/>
      <w:numFmt w:val="bullet"/>
      <w:start w:val="1"/>
    </w:lvl>
  </w:abstractNum>
  <w:abstractNum w:abstractNumId="56">
    <w:nsid w:val="7E0C57B1"/>
    <w:multiLevelType w:val="hybridMultilevel"/>
    <w:lvl w:ilvl="0">
      <w:lvlJc w:val="left"/>
      <w:lvlText w:val="o"/>
      <w:numFmt w:val="bullet"/>
      <w:start w:val="1"/>
    </w:lvl>
  </w:abstractNum>
  <w:abstractNum w:abstractNumId="57">
    <w:nsid w:val="77AE35EB"/>
    <w:multiLevelType w:val="hybridMultilevel"/>
    <w:lvl w:ilvl="0">
      <w:lvlJc w:val="left"/>
      <w:lvlText w:val="o"/>
      <w:numFmt w:val="bullet"/>
      <w:start w:val="1"/>
    </w:lvl>
  </w:abstractNum>
  <w:abstractNum w:abstractNumId="58">
    <w:nsid w:val="579BE4F1"/>
    <w:multiLevelType w:val="hybridMultilevel"/>
    <w:lvl w:ilvl="0">
      <w:lvlJc w:val="left"/>
      <w:lvlText w:val="o"/>
      <w:numFmt w:val="bullet"/>
      <w:start w:val="1"/>
    </w:lvl>
  </w:abstractNum>
  <w:abstractNum w:abstractNumId="59">
    <w:nsid w:val="310C50B3"/>
    <w:multiLevelType w:val="hybridMultilevel"/>
    <w:lvl w:ilvl="0">
      <w:lvlJc w:val="left"/>
      <w:lvlText w:val="o"/>
      <w:numFmt w:val="bullet"/>
      <w:start w:val="1"/>
    </w:lvl>
  </w:abstractNum>
  <w:abstractNum w:abstractNumId="60">
    <w:nsid w:val="5FF87E05"/>
    <w:multiLevelType w:val="hybridMultilevel"/>
    <w:lvl w:ilvl="0">
      <w:lvlJc w:val="left"/>
      <w:lvlText w:val="%1."/>
      <w:numFmt w:val="decimal"/>
      <w:start w:val="17"/>
    </w:lvl>
  </w:abstractNum>
  <w:abstractNum w:abstractNumId="61">
    <w:nsid w:val="2F305DEF"/>
    <w:multiLevelType w:val="hybridMultilevel"/>
    <w:lvl w:ilvl="0">
      <w:lvlJc w:val="left"/>
      <w:lvlText w:val="o"/>
      <w:numFmt w:val="bullet"/>
      <w:start w:val="1"/>
    </w:lvl>
  </w:abstractNum>
  <w:abstractNum w:abstractNumId="62">
    <w:nsid w:val="25A70BF7"/>
    <w:multiLevelType w:val="hybridMultilevel"/>
    <w:lvl w:ilvl="0">
      <w:lvlJc w:val="left"/>
      <w:lvlText w:val="o"/>
      <w:numFmt w:val="bullet"/>
      <w:start w:val="1"/>
    </w:lvl>
  </w:abstractNum>
  <w:abstractNum w:abstractNumId="63">
    <w:nsid w:val="1DBABF00"/>
    <w:multiLevelType w:val="hybridMultilevel"/>
    <w:lvl w:ilvl="0">
      <w:lvlJc w:val="left"/>
      <w:lvlText w:val="%1."/>
      <w:numFmt w:val="decimal"/>
      <w:start w:val="18"/>
    </w:lvl>
  </w:abstractNum>
  <w:abstractNum w:abstractNumId="64">
    <w:nsid w:val="4AD084E9"/>
    <w:multiLevelType w:val="hybridMultilevel"/>
    <w:lvl w:ilvl="0">
      <w:lvlJc w:val="left"/>
      <w:lvlText w:val="%1."/>
      <w:numFmt w:val="decimal"/>
      <w:start w:val="19"/>
    </w:lvl>
  </w:abstractNum>
  <w:abstractNum w:abstractNumId="65">
    <w:nsid w:val="1F48EAA1"/>
    <w:multiLevelType w:val="hybridMultilevel"/>
    <w:lvl w:ilvl="0">
      <w:lvlJc w:val="left"/>
      <w:lvlText w:val="%1."/>
      <w:numFmt w:val="decimal"/>
      <w:start w:val="20"/>
    </w:lvl>
  </w:abstractNum>
  <w:abstractNum w:abstractNumId="66">
    <w:nsid w:val="1381823A"/>
    <w:multiLevelType w:val="hybridMultilevel"/>
    <w:lvl w:ilvl="0">
      <w:lvlJc w:val="left"/>
      <w:lvlText w:val="%1."/>
      <w:numFmt w:val="decimal"/>
      <w:start w:val="21"/>
    </w:lvl>
  </w:abstractNum>
  <w:abstractNum w:abstractNumId="67">
    <w:nsid w:val="5DB70AE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2019-12-11T23:45:14Z</dcterms:created>
  <dcterms:modified xsi:type="dcterms:W3CDTF">2019-12-11T23:45:14Z</dcterms:modified>
</cp:coreProperties>
</file>