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20" w:right="4700" w:firstLine="262"/>
        <w:spacing w:after="0" w:line="498" w:lineRule="auto"/>
        <w:tabs>
          <w:tab w:leader="none" w:pos="51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7)</w:t>
      </w:r>
      <w:r>
        <w:rPr>
          <w:rFonts w:ascii="Arial" w:cs="Arial" w:eastAsia="Arial" w:hAnsi="Arial"/>
          <w:sz w:val="10"/>
          <w:szCs w:val="10"/>
          <w:color w:val="auto"/>
        </w:rPr>
        <w:t>1</w:t>
      </w:r>
    </w:p>
    <w:p>
      <w:pPr>
        <w:jc w:val="center"/>
        <w:ind w:right="-19"/>
        <w:spacing w:after="0"/>
        <w:rPr>
          <w:sz w:val="20"/>
          <w:szCs w:val="20"/>
          <w:color w:val="auto"/>
        </w:rPr>
      </w:pPr>
      <w:r>
        <w:rPr>
          <w:rFonts w:ascii="Arial" w:cs="Arial" w:eastAsia="Arial" w:hAnsi="Arial"/>
          <w:sz w:val="18"/>
          <w:szCs w:val="18"/>
          <w:u w:val="single" w:color="auto"/>
          <w:color w:val="auto"/>
        </w:rPr>
        <w:t>NN,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629337106</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CHRISTOPHER S. KIPER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LEGION PARTNERS ASSET MANAGEMENT,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12121 Wilshire Blvd, Suite 1240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Los Angeles, CA 90025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(424) 253-1773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ELIZABETH GONZALEZ-SUSSMAN,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(212) 451-2300</w:t>
      </w:r>
    </w:p>
    <w:p>
      <w:pPr>
        <w:jc w:val="center"/>
        <w:ind w:right="-19"/>
        <w:spacing w:after="0" w:line="235"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January 7, 2022</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both"/>
        <w:ind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629337106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3,181,582</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3,181,582</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3,181,582*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477"/>
        </w:trPr>
        <w:tc>
          <w:tcPr>
            <w:tcW w:w="10060" w:type="dxa"/>
            <w:vAlign w:val="bottom"/>
            <w:gridSpan w:val="5"/>
          </w:tcPr>
          <w:p>
            <w:pPr>
              <w:spacing w:after="0"/>
              <w:rPr>
                <w:sz w:val="20"/>
                <w:szCs w:val="20"/>
                <w:color w:val="auto"/>
              </w:rPr>
            </w:pPr>
            <w:r>
              <w:rPr>
                <w:rFonts w:ascii="Arial" w:cs="Arial" w:eastAsia="Arial" w:hAnsi="Arial"/>
                <w:sz w:val="22"/>
                <w:szCs w:val="22"/>
                <w:color w:val="auto"/>
              </w:rPr>
              <w:t>* Includes 214,095 Shares underlying certain Warrants beneficially owned by Legion Partners, L.P. I.</w:t>
            </w:r>
          </w:p>
        </w:tc>
        <w:tc>
          <w:tcPr>
            <w:tcW w:w="1180" w:type="dxa"/>
            <w:vAlign w:val="bottom"/>
          </w:tcPr>
          <w:p>
            <w:pPr>
              <w:spacing w:after="0"/>
              <w:rPr>
                <w:sz w:val="24"/>
                <w:szCs w:val="24"/>
                <w:color w:val="auto"/>
              </w:rPr>
            </w:pPr>
          </w:p>
        </w:tc>
      </w:tr>
      <w:tr>
        <w:trPr>
          <w:trHeight w:val="321"/>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629337106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II</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248,392</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248,392</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248,392*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477"/>
        </w:trPr>
        <w:tc>
          <w:tcPr>
            <w:tcW w:w="10060" w:type="dxa"/>
            <w:vAlign w:val="bottom"/>
            <w:gridSpan w:val="5"/>
          </w:tcPr>
          <w:p>
            <w:pPr>
              <w:spacing w:after="0"/>
              <w:rPr>
                <w:sz w:val="20"/>
                <w:szCs w:val="20"/>
                <w:color w:val="auto"/>
              </w:rPr>
            </w:pPr>
            <w:r>
              <w:rPr>
                <w:rFonts w:ascii="Arial" w:cs="Arial" w:eastAsia="Arial" w:hAnsi="Arial"/>
                <w:sz w:val="22"/>
                <w:szCs w:val="22"/>
                <w:color w:val="auto"/>
              </w:rPr>
              <w:t>* Includes 10,905 Shares underlying certain Warrants beneficially owned by Legion Partners, L.P. II.</w:t>
            </w:r>
          </w:p>
        </w:tc>
        <w:tc>
          <w:tcPr>
            <w:tcW w:w="1180" w:type="dxa"/>
            <w:vAlign w:val="bottom"/>
          </w:tcPr>
          <w:p>
            <w:pPr>
              <w:spacing w:after="0"/>
              <w:rPr>
                <w:sz w:val="24"/>
                <w:szCs w:val="24"/>
                <w:color w:val="auto"/>
              </w:rPr>
            </w:pPr>
          </w:p>
        </w:tc>
      </w:tr>
      <w:tr>
        <w:trPr>
          <w:trHeight w:val="314"/>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3</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Special Opportunities, L.P. XI</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868,877</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868,877</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868,877</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2.01%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4,298,851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4,298,851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4,298,851*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300" w:firstLine="8"/>
        <w:spacing w:after="0" w:line="250"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Includes (i) 214,095 Shares underlying certain Warrants beneficially owned by Legion Partners, L.P. I and (ii) 10,905 Shares underlying certain Warrants beneficially owned by Legion Partners, L.P. II.</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8700" w:type="dxa"/>
            <w:vAlign w:val="bottom"/>
          </w:tcPr>
          <w:p>
            <w:pPr>
              <w:ind w:left="48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Legion Partners Asset Management, LLC</w:t>
            </w:r>
          </w:p>
        </w:tc>
        <w:tc>
          <w:tcPr>
            <w:tcW w:w="1180" w:type="dxa"/>
            <w:vAlign w:val="bottom"/>
            <w:tcBorders>
              <w:bottom w:val="single" w:sz="8" w:color="auto"/>
            </w:tcBorders>
          </w:tcPr>
          <w:p>
            <w:pPr>
              <w:spacing w:after="0"/>
              <w:rPr>
                <w:sz w:val="24"/>
                <w:szCs w:val="24"/>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870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36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8700" w:type="dxa"/>
            <w:vAlign w:val="bottom"/>
          </w:tcPr>
          <w:p>
            <w:pPr>
              <w:ind w:left="480"/>
              <w:spacing w:after="0"/>
              <w:rPr>
                <w:sz w:val="20"/>
                <w:szCs w:val="20"/>
                <w:color w:val="auto"/>
              </w:rPr>
            </w:pPr>
            <w:r>
              <w:rPr>
                <w:rFonts w:ascii="Arial" w:cs="Arial" w:eastAsia="Arial" w:hAnsi="Arial"/>
                <w:sz w:val="18"/>
                <w:szCs w:val="18"/>
                <w:color w:val="auto"/>
              </w:rPr>
              <w:t>SEC USE ONLY</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8700" w:type="dxa"/>
            <w:vAlign w:val="bottom"/>
          </w:tcPr>
          <w:p>
            <w:pPr>
              <w:ind w:left="48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AF</w:t>
            </w:r>
          </w:p>
        </w:tc>
        <w:tc>
          <w:tcPr>
            <w:tcW w:w="11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8700" w:type="dxa"/>
            <w:vAlign w:val="bottom"/>
          </w:tcPr>
          <w:p>
            <w:pPr>
              <w:ind w:left="4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40" w:hanging="1026"/>
        <w:spacing w:after="0"/>
        <w:tabs>
          <w:tab w:leader="none" w:pos="1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4,298,851</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4,298,851</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4,298,851*</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14" w:lineRule="exact"/>
        <w:rPr>
          <w:rFonts w:ascii="Arial" w:cs="Arial" w:eastAsia="Arial" w:hAnsi="Arial"/>
          <w:sz w:val="18"/>
          <w:szCs w:val="18"/>
          <w:color w:val="auto"/>
        </w:rPr>
      </w:pPr>
    </w:p>
    <w:p>
      <w:pPr>
        <w:ind w:right="300"/>
        <w:spacing w:after="0" w:line="250" w:lineRule="auto"/>
        <w:rPr>
          <w:rFonts w:ascii="Arial" w:cs="Arial" w:eastAsia="Arial" w:hAnsi="Arial"/>
          <w:sz w:val="18"/>
          <w:szCs w:val="18"/>
          <w:color w:val="auto"/>
        </w:rPr>
      </w:pPr>
      <w:r>
        <w:rPr>
          <w:rFonts w:ascii="Arial" w:cs="Arial" w:eastAsia="Arial" w:hAnsi="Arial"/>
          <w:sz w:val="22"/>
          <w:szCs w:val="22"/>
          <w:color w:val="auto"/>
        </w:rPr>
        <w:t>* Includes (i) 214,095 Shares underlying certain Warrants beneficially owned by Legion Partners, L.P. I and (ii) 10,905 Shares underlying certain Warrants beneficially owned by Legion Partners, L.P.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-637540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-637540</wp:posOffset>
            </wp:positionV>
            <wp:extent cx="889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-637540</wp:posOffset>
            </wp:positionV>
            <wp:extent cx="889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-637540</wp:posOffset>
            </wp:positionV>
            <wp:extent cx="35115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Holdings,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4,299,151*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300" w:firstLine="8"/>
        <w:spacing w:after="0" w:line="250" w:lineRule="auto"/>
        <w:tabs>
          <w:tab w:leader="none" w:pos="162"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Includes (i) 214,095 Shares underlying certain Warrants beneficially owned by Legion Partners, L.P. I and (ii) 10,905 Shares underlying certain Warrants beneficially owned by Legion Partners, L.P. II.</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Christopher S. Kiper</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4,299,151*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300" w:firstLine="8"/>
        <w:spacing w:after="0" w:line="250" w:lineRule="auto"/>
        <w:tabs>
          <w:tab w:leader="none" w:pos="162"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(i) 214,095 Shares underlying certain Warrants beneficially owned by Legion Partners, L.P. I and (ii) 10,905 Shares underlying certain Warrants beneficially owned by Legion Partners, L.P. II.</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2"/>
              </w:rPr>
              <w:t>Raymond White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4,299,151*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300" w:firstLine="8"/>
        <w:spacing w:after="0" w:line="250" w:lineRule="auto"/>
        <w:tabs>
          <w:tab w:leader="none" w:pos="162"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Includes (i) 214,095 Shares underlying certain Warrants beneficially owned by Legion Partners, L.P. I and (ii) 10,905 Shares underlying certain Warrants beneficially owned by Legion Partners, L.P. II.</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both"/>
        <w:ind w:firstLine="1343"/>
        <w:spacing w:after="0" w:line="277" w:lineRule="auto"/>
        <w:rPr>
          <w:sz w:val="20"/>
          <w:szCs w:val="20"/>
          <w:color w:val="auto"/>
        </w:rPr>
      </w:pPr>
      <w:r>
        <w:rPr>
          <w:rFonts w:ascii="Arial" w:cs="Arial" w:eastAsia="Arial" w:hAnsi="Arial"/>
          <w:sz w:val="18"/>
          <w:szCs w:val="18"/>
          <w:color w:val="auto"/>
        </w:rPr>
        <w:t>The following constitutes Amendment No. 7 to the Schedule 13D filed by the undersigned (the “Amendment No. 7”). This Amendment No. 7 amends and restates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in its entirety as follows: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Shares purchased by each of Legion Partners I, Legion Partners II and Legion Partners XI were purchased with working capital (which may, at any given time, include margin loans made by brokerage firms in the ordinary course of business) in open market purchases, except as otherwise noted herein or in Schedule A, which is incorporated herein by reference.</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aggregate purchase price of the 2,967,487 Shares owned directly by Legion Partners I is approximately $30,980,902, including brokerage commissions. The aggregate purchase price of the 214,095 Shares underlying certain Warrants owned directly by Legion Partners I is approximately $155,283, including brokerage commissions. The aggregate purchase price of the 237,487 Shares owned directly by Legion Partners II is approximately $1,475,115, including brokerage commissions. The aggregate purchase price of the 10,905 Shares underlying certain Warrants owned directly by Legion Partners II is approximately $7,909, including brokerage commissions. The aggregate purchase price of the 868,877 Shares owned directly by Legion Partners XI is approximately $7,823,226, including brokerage commissions. The aggregate purchase price of the 300 Shares owned directly by Legion Partners Holdings is approximately $2,568, including brokerage commissions.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5(a)-(c) are hereby amended and restated in their entirety as follows: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aggregate percentage of Shares reported owned by each person named herein is based on a denominator that is the sum of: (i) 43,033,548 Shares outstanding as of November 1, 2021, which is the total number of Shares outstanding as reported in the Issuer’s quarterly report on Form 10-Q filed with the Securities and Exchange Commission on November 5, 2021 and (ii) 225,000 Shares underlying the Warrants.</w:t>
      </w:r>
    </w:p>
    <w:p>
      <w:pPr>
        <w:spacing w:after="0" w:line="16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Legion Partners I</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of the close of business on January 11, 2022, Legion Partners I beneficially owned directly 3,181,582 Shares, including 214,095 Shares underlying certain Warrants.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7.35%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3,181,582</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3,181,582</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Legion Partners I has not entered into any transactions in the securities of the Issuer during the past sixty days.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Legion Partners II</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January 11, 2022, Legion Partners II beneficially owned directly 248,392 Shares, including 10,905 Shares underlying certain Warrants.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Less than 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248,392</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248,392</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Legion Partners II has not entered into any transactions in the securities of the Issuer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Legion Partners XI</w:t>
      </w:r>
    </w:p>
    <w:p>
      <w:pPr>
        <w:spacing w:after="0" w:line="225" w:lineRule="exact"/>
        <w:rPr>
          <w:rFonts w:ascii="Arial" w:cs="Arial" w:eastAsia="Arial" w:hAnsi="Arial"/>
          <w:sz w:val="18"/>
          <w:szCs w:val="18"/>
          <w:color w:val="auto"/>
        </w:rPr>
      </w:pPr>
    </w:p>
    <w:p>
      <w:pPr>
        <w:ind w:left="1300" w:right="1840" w:hanging="644"/>
        <w:spacing w:after="0" w:line="50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January 11, 2022, Legion Partners XI beneficially owned directly 868,877 Shares. Percentage: Approximately 2.01%</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868,877</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868,877</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transactions in the securities of the Issuer by Legion Partners XI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Legion Partners, LLC</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the general partner of each of Legion Partners I, Legion Partners II and Legion Partners XI, Legion Partners, LLC may be deemed the beneficial owner of the (i) 3,181,582 Shares beneficially owned directly by Legion Partners I, (ii) 248,392 Shares beneficially owned directly by Legion Partners II and (iii) 868,877 Shares beneficially owned directly by Legion Partners XI.</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9.94%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4,298,851</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4,298,851</w:t>
      </w:r>
    </w:p>
    <w:p>
      <w:pPr>
        <w:spacing w:after="0" w:line="210"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Legion Partners, LLC has not entered into any transactions in the securities of the Issuer during the past sixty days. The transactions in the securities of the Issuer by Legion Partners XI during the past sixty days are set forth in Schedule A and are incorporated herein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Legion Partners Asset Management</w:t>
      </w:r>
    </w:p>
    <w:p>
      <w:pPr>
        <w:spacing w:after="0" w:line="225"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As the investment advisor of each of Legion Partners I, Legion Partners II and Legion Partners XI, Legion Partners Asset Management may be deemed the beneficial owner of the (i) 3,181,582 Shares beneficially owned directly by Legion Partners I, (ii) 248,392 Shares beneficially owned directly by Legion Partners II and (iii) 868,877 Shares beneficially owned directly by Legion Partners XI.</w:t>
      </w:r>
    </w:p>
    <w:p>
      <w:pPr>
        <w:spacing w:after="0" w:line="148"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Percentage: Approximately 9.94%</w:t>
      </w:r>
    </w:p>
    <w:p>
      <w:pPr>
        <w:spacing w:after="0" w:line="225" w:lineRule="exact"/>
        <w:rPr>
          <w:rFonts w:ascii="Arial" w:cs="Arial" w:eastAsia="Arial" w:hAnsi="Arial"/>
          <w:sz w:val="16"/>
          <w:szCs w:val="16"/>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4,298,851</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4,298,851</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Legion Partners Asset Management has not entered into any transactions in the securities of the Issuer during the past sixty days. The transactions in the securities of the Issuer by Legion Partners XI during the past sixty days are set forth in Schedule A and are incorporated herein by reference.</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Legion Partners Holdings</w:t>
      </w:r>
    </w:p>
    <w:p>
      <w:pPr>
        <w:spacing w:after="0" w:line="225"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As of the close of business on January 11, 2022, Legion Partners Holdings beneficially owned directly 300 Shares. In addition, as the sole member of Legion Partners Asset Management and the sole member of Legion Partners, LLC, Legion Partners Holdings may be deemed the beneficial owner of the (i) 3,181,582 Shares beneficially owned directly by Legion Partners I, (ii) 248,392 Shares beneficially owned directly by Legion Partners II and (iii) 868,877 Shares beneficially owned directly by Legion Partners XI.</w:t>
      </w:r>
    </w:p>
    <w:p>
      <w:pPr>
        <w:spacing w:after="0" w:line="17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9.94%</w:t>
      </w:r>
    </w:p>
    <w:p>
      <w:pPr>
        <w:spacing w:after="0" w:line="225" w:lineRule="exact"/>
        <w:rPr>
          <w:rFonts w:ascii="Arial" w:cs="Arial" w:eastAsia="Arial" w:hAnsi="Arial"/>
          <w:sz w:val="17"/>
          <w:szCs w:val="17"/>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4,299,151</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4,299,151</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Legion Partners Holdings has not entered into any transactions in the securities of the Issuer during the past sixty days. The transactions in the securities of the Issuer by Legion Partners XI during the past sixty days are set forth in Schedule A and are incorporated herein by reference.</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Messrs. Kiper and White</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of Messrs. Kiper and White, as a managing director of Legion Partners Asset Management and a managing member of Legion Partners Holdings, may be deemed the beneficial owner of the (i) 3,181,582 Shares beneficially owned directly by Legion Partners I, (ii) 248,392 Shares beneficially owned directly by Legion Partners II, (iii) 868,877 Shares beneficially owned directly by Legion Partners XI and (iv) 300 Shares beneficially owned directly by Legion Partners Holdings.</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9.94%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4,299,151</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4,299,151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both"/>
        <w:ind w:left="1300" w:hanging="644"/>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Mr. Kiper nor Mr. White has entered into any transactions in the securities of the Issuer during the past sixty days. The transactions in the securities of the Issuer by Legion Partners XI during the past sixty days are set forth in Schedule A and are incorporated herein by reference.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filing of this Schedule 13D shall not be deemed an admission that the Reporting Persons are, for purposes of Section 13(d) of the Exchange Act, the beneficial owners of any securities of the Issuer that he or it does not directly own. Each of the Reporting Persons specifically disclaims beneficial ownership of the securities reported herein that he or it does not directly own.</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Legion Partners I has entered into certain cash-settled total return swap agreements with Normura Global Financial Products Inc. (“Nomura”) as the counterparty (the “Swap Agreements”). The swaps with Nomura constitute economic exposure to an aggregate of 505,847 notional Shares, representing approximately 1.17% of the outstanding Shares, which swaps have a maturity date of January 30, 2025 and a weighted average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reference price of $4.1928</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per Share. The Swap Agreements provide Legion Partners I with economic results that are comparable to the economic results of ownership but do not provide them with the power to vote or direct the voting or dispose of or direct the disposition of the Shares that are the subject of the Swap Agreements. The Reporting Persons disclaim beneficial ownership of the Shares that are the subject of the Swap Agreements.</w:t>
      </w:r>
    </w:p>
    <w:p>
      <w:pPr>
        <w:spacing w:after="0" w:line="19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Legion Partners II has entered into certain Swap Agreements with Nomura. The swaps with Nomura constitute economic exposure to an aggregate of 39,513 notional Shares, representing less than 1% of the outstanding Shares, which swaps have a maturity date of January 30, 2025 and a</w:t>
      </w:r>
    </w:p>
    <w:p>
      <w:pPr>
        <w:jc w:val="both"/>
        <w:spacing w:after="0" w:line="250" w:lineRule="auto"/>
        <w:rPr>
          <w:sz w:val="20"/>
          <w:szCs w:val="20"/>
          <w:color w:val="auto"/>
        </w:rPr>
      </w:pPr>
      <w:r>
        <w:rPr>
          <w:rFonts w:ascii="Arial" w:cs="Arial" w:eastAsia="Arial" w:hAnsi="Arial"/>
          <w:sz w:val="16"/>
          <w:szCs w:val="16"/>
          <w:color w:val="auto"/>
        </w:rPr>
        <w:t>weighted average reference price of $4.1929</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per Share. The Swap Agreements provide Legion Partners II with economic results that are comparable to the economic results of ownership but do not provide them with the power to vote or direct the voting or dispose of or direct the disposition of the Shares that are the subject of the Swap Agreements. The Reporting Persons disclaim beneficial ownership of the Shares that are the subject of the Swap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5645"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57"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The reference price reported for these swaps is a weighted average price. These swaps were entered into at reference prices ranging from $4.1070 to</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$4.2624 per Share. The Reporting Persons undertake to provide to the Issuer, any security holder of the Issuer or the Staff of the Securities and Exchange Commission, upon request, full information regarding the number of notional shares at each separate reference price for each swap within the range set forth in this footnote 1.</w:t>
      </w:r>
    </w:p>
    <w:p>
      <w:pPr>
        <w:spacing w:after="0" w:line="151"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27"/>
          <w:szCs w:val="27"/>
          <w:color w:val="auto"/>
          <w:vertAlign w:val="superscript"/>
        </w:rPr>
      </w:pPr>
      <w:r>
        <w:rPr>
          <w:rFonts w:ascii="Arial" w:cs="Arial" w:eastAsia="Arial" w:hAnsi="Arial"/>
          <w:sz w:val="16"/>
          <w:szCs w:val="16"/>
          <w:color w:val="auto"/>
        </w:rPr>
        <w:t>The reference price reported for these swaps is a weighted average price. These swaps were entered into at reference prices ranging from $4.1070 to</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$4.2624 per Share. The Reporting Persons undertake to provide to the Issuer, any security holder of the Issuer or the Staff of the Securities and Exchange Commission, upon request, full information regarding the number of notional shares at each separate reference price for each swap within the range set forth in this footnote 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his knowledge and belief, each of the undersigned certifies that the information set forth in this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statement is true, complete and correct.</w:t>
            </w:r>
          </w:p>
        </w:tc>
        <w:tc>
          <w:tcPr>
            <w:tcW w:w="10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520" w:type="dxa"/>
            <w:vAlign w:val="bottom"/>
          </w:tcPr>
          <w:p>
            <w:pPr>
              <w:spacing w:after="0"/>
              <w:rPr>
                <w:sz w:val="20"/>
                <w:szCs w:val="20"/>
                <w:color w:val="auto"/>
              </w:rPr>
            </w:pPr>
            <w:r>
              <w:rPr>
                <w:rFonts w:ascii="Arial" w:cs="Arial" w:eastAsia="Arial" w:hAnsi="Arial"/>
                <w:sz w:val="18"/>
                <w:szCs w:val="18"/>
                <w:color w:val="auto"/>
              </w:rPr>
              <w:t>Dated: January 11, 2022</w:t>
            </w:r>
          </w:p>
        </w:tc>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40" w:type="dxa"/>
            <w:vAlign w:val="bottom"/>
            <w:gridSpan w:val="2"/>
          </w:tcPr>
          <w:p>
            <w:pPr>
              <w:ind w:left="5840"/>
              <w:spacing w:after="0"/>
              <w:rPr>
                <w:sz w:val="20"/>
                <w:szCs w:val="20"/>
                <w:color w:val="auto"/>
              </w:rPr>
            </w:pPr>
            <w:r>
              <w:rPr>
                <w:rFonts w:ascii="Arial" w:cs="Arial" w:eastAsia="Arial" w:hAnsi="Arial"/>
                <w:sz w:val="18"/>
                <w:szCs w:val="18"/>
                <w:color w:val="auto"/>
                <w:w w:val="93"/>
              </w:rPr>
              <w:t>Legion Partners, L.P. I</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540" w:type="dxa"/>
            <w:vAlign w:val="bottom"/>
            <w:gridSpan w:val="2"/>
          </w:tcPr>
          <w:p>
            <w:pPr>
              <w:ind w:left="5840"/>
              <w:spacing w:after="0"/>
              <w:rPr>
                <w:sz w:val="20"/>
                <w:szCs w:val="20"/>
                <w:color w:val="auto"/>
              </w:rPr>
            </w:pPr>
            <w:r>
              <w:rPr>
                <w:rFonts w:ascii="Arial" w:cs="Arial" w:eastAsia="Arial" w:hAnsi="Arial"/>
                <w:sz w:val="18"/>
                <w:szCs w:val="18"/>
                <w:color w:val="auto"/>
                <w:w w:val="91"/>
              </w:rPr>
              <w:t>Legion Partners, L.P. II</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11140" w:type="dxa"/>
            <w:vAlign w:val="bottom"/>
            <w:gridSpan w:val="3"/>
          </w:tcPr>
          <w:p>
            <w:pPr>
              <w:ind w:left="5840"/>
              <w:spacing w:after="0"/>
              <w:rPr>
                <w:sz w:val="20"/>
                <w:szCs w:val="20"/>
                <w:color w:val="auto"/>
              </w:rPr>
            </w:pPr>
            <w:r>
              <w:rPr>
                <w:rFonts w:ascii="Arial" w:cs="Arial" w:eastAsia="Arial" w:hAnsi="Arial"/>
                <w:sz w:val="18"/>
                <w:szCs w:val="18"/>
                <w:color w:val="auto"/>
              </w:rPr>
              <w:t>Legion Partners Special Opportunities, L.P. XI</w:t>
            </w: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540" w:type="dxa"/>
            <w:vAlign w:val="bottom"/>
            <w:gridSpan w:val="2"/>
          </w:tcPr>
          <w:p>
            <w:pPr>
              <w:ind w:left="5840"/>
              <w:spacing w:after="0"/>
              <w:rPr>
                <w:sz w:val="20"/>
                <w:szCs w:val="20"/>
                <w:color w:val="auto"/>
              </w:rPr>
            </w:pPr>
            <w:r>
              <w:rPr>
                <w:rFonts w:ascii="Arial" w:cs="Arial" w:eastAsia="Arial" w:hAnsi="Arial"/>
                <w:sz w:val="18"/>
                <w:szCs w:val="18"/>
                <w:color w:val="auto"/>
                <w:w w:val="98"/>
              </w:rPr>
              <w:t>Legion Partners, LLC</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Holdings,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11140" w:type="dxa"/>
            <w:vAlign w:val="bottom"/>
            <w:gridSpan w:val="3"/>
          </w:tcPr>
          <w:p>
            <w:pPr>
              <w:ind w:left="5840"/>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540"/>
        </w:trPr>
        <w:tc>
          <w:tcPr>
            <w:tcW w:w="65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right"/>
        <w:ind w:right="3020"/>
        <w:spacing w:after="0"/>
        <w:rPr>
          <w:sz w:val="20"/>
          <w:szCs w:val="20"/>
          <w:color w:val="auto"/>
        </w:rPr>
      </w:pPr>
      <w:r>
        <w:rPr>
          <w:rFonts w:ascii="Arial" w:cs="Arial" w:eastAsia="Arial" w:hAnsi="Arial"/>
          <w:sz w:val="18"/>
          <w:szCs w:val="18"/>
          <w:color w:val="auto"/>
        </w:rPr>
        <w:t>Legion Partners Holdings,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Christopher S. Kiper</w:t>
      </w: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Raymond White</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629337106</w:t>
      </w:r>
    </w:p>
    <w:p>
      <w:pPr>
        <w:spacing w:after="0" w:line="8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80" w:type="dxa"/>
            <w:vAlign w:val="bottom"/>
            <w:gridSpan w:val="5"/>
          </w:tcPr>
          <w:p>
            <w:pPr>
              <w:jc w:val="center"/>
              <w:ind w:right="2720"/>
              <w:spacing w:after="0"/>
              <w:rPr>
                <w:sz w:val="20"/>
                <w:szCs w:val="20"/>
                <w:color w:val="auto"/>
              </w:rPr>
            </w:pPr>
            <w:r>
              <w:rPr>
                <w:rFonts w:ascii="Arial" w:cs="Arial" w:eastAsia="Arial" w:hAnsi="Arial"/>
                <w:sz w:val="18"/>
                <w:szCs w:val="18"/>
                <w:b w:val="1"/>
                <w:bCs w:val="1"/>
                <w:color w:val="auto"/>
                <w:w w:val="99"/>
              </w:rPr>
              <w:t>SCHEDULE A</w:t>
            </w: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6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89"/>
              </w:rPr>
              <w:t>Transactions in the Securities of the Issuer During the Past Sixty Days</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Date of</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3"/>
          </w:tcPr>
          <w:p>
            <w:pPr>
              <w:jc w:val="center"/>
              <w:ind w:right="1140"/>
              <w:spacing w:after="0"/>
              <w:rPr>
                <w:sz w:val="20"/>
                <w:szCs w:val="20"/>
                <w:color w:val="auto"/>
              </w:rPr>
            </w:pPr>
            <w:r>
              <w:rPr>
                <w:rFonts w:ascii="Arial" w:cs="Arial" w:eastAsia="Arial" w:hAnsi="Arial"/>
                <w:sz w:val="18"/>
                <w:szCs w:val="18"/>
                <w:color w:val="auto"/>
                <w:w w:val="95"/>
              </w:rPr>
              <w:t>Amount of</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0"/>
        </w:trPr>
        <w:tc>
          <w:tcPr>
            <w:tcW w:w="520" w:type="dxa"/>
            <w:vAlign w:val="bottom"/>
          </w:tcPr>
          <w:p>
            <w:pPr>
              <w:spacing w:after="0"/>
              <w:rPr>
                <w:sz w:val="16"/>
                <w:szCs w:val="16"/>
                <w:color w:val="auto"/>
              </w:rPr>
            </w:pPr>
          </w:p>
        </w:tc>
        <w:tc>
          <w:tcPr>
            <w:tcW w:w="1580" w:type="dxa"/>
            <w:vAlign w:val="bottom"/>
          </w:tcPr>
          <w:p>
            <w:pPr>
              <w:spacing w:after="0" w:line="190" w:lineRule="exact"/>
              <w:rPr>
                <w:sz w:val="20"/>
                <w:szCs w:val="20"/>
                <w:color w:val="auto"/>
              </w:rPr>
            </w:pPr>
            <w:r>
              <w:rPr>
                <w:rFonts w:ascii="Arial" w:cs="Arial" w:eastAsia="Arial" w:hAnsi="Arial"/>
                <w:sz w:val="18"/>
                <w:szCs w:val="18"/>
                <w:color w:val="auto"/>
                <w:w w:val="90"/>
              </w:rPr>
              <w:t>Nature of Transaction</w:t>
            </w: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gridSpan w:val="2"/>
          </w:tcPr>
          <w:p>
            <w:pPr>
              <w:jc w:val="center"/>
              <w:ind w:right="500"/>
              <w:spacing w:after="0" w:line="190" w:lineRule="exact"/>
              <w:rPr>
                <w:sz w:val="20"/>
                <w:szCs w:val="20"/>
                <w:color w:val="auto"/>
              </w:rPr>
            </w:pPr>
            <w:r>
              <w:rPr>
                <w:rFonts w:ascii="Arial" w:cs="Arial" w:eastAsia="Arial" w:hAnsi="Arial"/>
                <w:sz w:val="18"/>
                <w:szCs w:val="18"/>
                <w:color w:val="auto"/>
                <w:w w:val="84"/>
              </w:rPr>
              <w:t>Purchase</w:t>
            </w:r>
          </w:p>
        </w:tc>
        <w:tc>
          <w:tcPr>
            <w:tcW w:w="1160" w:type="dxa"/>
            <w:vAlign w:val="bottom"/>
          </w:tcPr>
          <w:p>
            <w:pPr>
              <w:spacing w:after="0"/>
              <w:rPr>
                <w:sz w:val="16"/>
                <w:szCs w:val="16"/>
                <w:color w:val="auto"/>
              </w:rPr>
            </w:pPr>
          </w:p>
        </w:tc>
        <w:tc>
          <w:tcPr>
            <w:tcW w:w="2720" w:type="dxa"/>
            <w:vAlign w:val="bottom"/>
            <w:gridSpan w:val="4"/>
          </w:tcPr>
          <w:p>
            <w:pPr>
              <w:jc w:val="center"/>
              <w:ind w:right="1060"/>
              <w:spacing w:after="0" w:line="190" w:lineRule="exact"/>
              <w:rPr>
                <w:sz w:val="20"/>
                <w:szCs w:val="20"/>
                <w:color w:val="auto"/>
              </w:rPr>
            </w:pPr>
            <w:r>
              <w:rPr>
                <w:rFonts w:ascii="Arial" w:cs="Arial" w:eastAsia="Arial" w:hAnsi="Arial"/>
                <w:sz w:val="18"/>
                <w:szCs w:val="18"/>
                <w:color w:val="auto"/>
                <w:w w:val="88"/>
              </w:rPr>
              <w:t>Securities Purchased</w:t>
            </w:r>
          </w:p>
        </w:tc>
        <w:tc>
          <w:tcPr>
            <w:tcW w:w="1220" w:type="dxa"/>
            <w:vAlign w:val="bottom"/>
            <w:gridSpan w:val="2"/>
          </w:tcPr>
          <w:p>
            <w:pPr>
              <w:jc w:val="center"/>
              <w:ind w:left="510"/>
              <w:spacing w:after="0" w:line="190" w:lineRule="exact"/>
              <w:rPr>
                <w:sz w:val="20"/>
                <w:szCs w:val="20"/>
                <w:color w:val="auto"/>
              </w:rPr>
            </w:pPr>
            <w:r>
              <w:rPr>
                <w:rFonts w:ascii="Arial" w:cs="Arial" w:eastAsia="Arial" w:hAnsi="Arial"/>
                <w:sz w:val="18"/>
                <w:szCs w:val="18"/>
                <w:color w:val="auto"/>
                <w:w w:val="91"/>
              </w:rPr>
              <w:t xml:space="preserve">Price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r>
      <w:tr>
        <w:trPr>
          <w:trHeight w:val="20"/>
        </w:trPr>
        <w:tc>
          <w:tcPr>
            <w:tcW w:w="5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LEGION PARTNERS SPECIAL OPPORTUNITIES, L.P. XI</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3"/>
        </w:trPr>
        <w:tc>
          <w:tcPr>
            <w:tcW w:w="2460" w:type="dxa"/>
            <w:vAlign w:val="bottom"/>
            <w:gridSpan w:val="3"/>
          </w:tcPr>
          <w:p>
            <w:pPr>
              <w:spacing w:after="0"/>
              <w:rPr>
                <w:sz w:val="20"/>
                <w:szCs w:val="20"/>
                <w:color w:val="auto"/>
              </w:rPr>
            </w:pPr>
            <w:r>
              <w:rPr>
                <w:rFonts w:ascii="Arial" w:cs="Arial" w:eastAsia="Arial" w:hAnsi="Arial"/>
                <w:sz w:val="18"/>
                <w:szCs w:val="18"/>
                <w:color w:val="auto"/>
              </w:rPr>
              <w:t>Purchase of Common Stock</w:t>
            </w:r>
          </w:p>
        </w:tc>
        <w:tc>
          <w:tcPr>
            <w:tcW w:w="2480" w:type="dxa"/>
            <w:vAlign w:val="bottom"/>
            <w:gridSpan w:val="4"/>
          </w:tcPr>
          <w:p>
            <w:pPr>
              <w:jc w:val="center"/>
              <w:ind w:left="750"/>
              <w:spacing w:after="0"/>
              <w:rPr>
                <w:sz w:val="20"/>
                <w:szCs w:val="20"/>
                <w:color w:val="auto"/>
              </w:rPr>
            </w:pPr>
            <w:r>
              <w:rPr>
                <w:rFonts w:ascii="Arial" w:cs="Arial" w:eastAsia="Arial" w:hAnsi="Arial"/>
                <w:sz w:val="18"/>
                <w:szCs w:val="18"/>
                <w:color w:val="auto"/>
                <w:w w:val="88"/>
              </w:rPr>
              <w:t>11/30/2021</w:t>
            </w:r>
          </w:p>
        </w:tc>
        <w:tc>
          <w:tcPr>
            <w:tcW w:w="2740" w:type="dxa"/>
            <w:vAlign w:val="bottom"/>
            <w:gridSpan w:val="3"/>
          </w:tcPr>
          <w:p>
            <w:pPr>
              <w:jc w:val="center"/>
              <w:ind w:left="1150"/>
              <w:spacing w:after="0"/>
              <w:rPr>
                <w:sz w:val="20"/>
                <w:szCs w:val="20"/>
                <w:color w:val="auto"/>
              </w:rPr>
            </w:pPr>
            <w:r>
              <w:rPr>
                <w:rFonts w:ascii="Arial" w:cs="Arial" w:eastAsia="Arial" w:hAnsi="Arial"/>
                <w:sz w:val="18"/>
                <w:szCs w:val="18"/>
                <w:color w:val="auto"/>
                <w:w w:val="90"/>
              </w:rPr>
              <w:t>20,000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4.4500</w:t>
            </w:r>
          </w:p>
        </w:tc>
      </w:tr>
    </w:tbl>
    <w:p>
      <w:pPr>
        <w:spacing w:after="0" w:line="1" w:lineRule="exact"/>
        <w:rPr>
          <w:sz w:val="20"/>
          <w:szCs w:val="20"/>
          <w:color w:val="auto"/>
        </w:rPr>
      </w:pPr>
    </w:p>
    <w:sectPr>
      <w:pgSz w:w="11900" w:h="16838" w:orient="portrait"/>
      <w:cols w:equalWidth="0" w:num="1">
        <w:col w:w="10140"/>
      </w:cols>
      <w:pgMar w:left="320" w:top="226"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6"/>
      <w:numFmt w:val="bullet"/>
      <w:start w:val="1"/>
    </w:lvl>
  </w:abstractNum>
  <w:abstractNum w:abstractNumId="4">
    <w:nsid w:val="12200854"/>
    <w:multiLevelType w:val="hybridMultilevel"/>
    <w:lvl w:ilvl="0">
      <w:lvlJc w:val="left"/>
      <w:lvlText w:val="*"/>
      <w:numFmt w:val="bullet"/>
      <w:start w:val="1"/>
    </w:lvl>
    <w:lvl w:ilvl="1">
      <w:lvlJc w:val="left"/>
      <w:lvlText w:val="%2"/>
      <w:numFmt w:val="decimal"/>
      <w:start w:val="14"/>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9">
    <w:nsid w:val="66EF438D"/>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10">
    <w:nsid w:val="140E0F76"/>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1"/>
      <w:numFmt w:val="bullet"/>
      <w:start w:val="1"/>
    </w:lvl>
  </w:abstractNum>
  <w:abstractNum w:abstractNumId="13">
    <w:nsid w:val="DED726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2022-01-11T16:06:22Z</dcterms:created>
  <dcterms:modified xsi:type="dcterms:W3CDTF">2022-01-11T16:06:22Z</dcterms:modified>
</cp:coreProperties>
</file>